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 Change, Assessment Systems, and Property-Tax Incidence:</w:t>
        <w:br/>
        <w:t>Evidence from Benton County’s Calibrated Cost Governance</w:t>
      </w:r>
    </w:p>
    <w:p>
      <w:pPr>
        <w:jc w:val="center"/>
      </w:pPr>
      <w:r>
        <w:rPr>
          <w:i/>
        </w:rPr>
        <w:t>Full research paper (filled draft)</w:t>
      </w:r>
    </w:p>
    <w:p>
      <w:pPr>
        <w:jc w:val="center"/>
      </w:pPr>
      <w:r>
        <w:t>Prepared: January 13, 2026 (Updated: January 19, 2026)</w:t>
      </w:r>
    </w:p>
    <w:p>
      <w:pPr>
        <w:jc w:val="center"/>
      </w:pPr>
      <w:r>
        <w:rPr>
          <w:sz w:val="18"/>
        </w:rPr>
        <w:t>Benton County Assessor’s Office (draft for internal review)</w:t>
      </w:r>
    </w:p>
    <w:p>
      <w:pPr>
        <w:jc w:val="center"/>
      </w:pPr>
      <w:r>
        <w:t>Workfile/Version: Draft v0.3 (internal)</w:t>
      </w:r>
    </w:p>
    <w:p>
      <w:pPr>
        <w:pStyle w:val="Heading1"/>
      </w:pPr>
      <w:r>
        <w:t>Executive summary (policy and practice)</w:t>
      </w:r>
    </w:p>
    <w:p>
      <w:pPr>
        <w:pStyle w:val="ListBullet"/>
      </w:pPr>
      <w:r>
        <w:t>Property tax bills change for two distinct reasons: (1) taxable value (assessment) and (2) levy/rate decisions. Public frustration often attributes the full bill change to assessment alone.</w:t>
      </w:r>
    </w:p>
    <w:p>
      <w:pPr>
        <w:pStyle w:val="ListBullet"/>
      </w:pPr>
      <w:r>
        <w:t>This report treats Benton County’s calibrated cost system as a governed measurement system: diagnostics (level, uniformity, vertical equity) trigger bounded, versioned adjustments that must pass holdout validation.</w:t>
      </w:r>
    </w:p>
    <w:p>
      <w:pPr>
        <w:pStyle w:val="ListBullet"/>
      </w:pPr>
      <w:r>
        <w:t>Using the provided 2022 parcel tax-bill extract (N=91,876), the median tax bill is $2,232 with an interquartile range of $683–$3,496; total billed taxes sum to $274,891,498.</w:t>
      </w:r>
    </w:p>
    <w:p>
      <w:pPr>
        <w:pStyle w:val="ListBullet"/>
      </w:pPr>
      <w:r>
        <w:t>Using 2024 subset-level vertical equity diagnostics (35 subsets; 908 qualified sales), 40% of subsets show statistically significant price-related bias (p&lt;0.05), identifying where regressivity risk concentrates.</w:t>
      </w:r>
    </w:p>
    <w:p>
      <w:pPr>
        <w:pStyle w:val="ListBullet"/>
      </w:pPr>
      <w:r>
        <w:t>A counter-ready bill decomposition (value vs rate vs interaction) improves taxpayer communication and reduces appeals friction by showing what is (and is not) caused by assessment.</w:t>
      </w:r>
    </w:p>
    <w:p>
      <w:pPr>
        <w:pStyle w:val="ListBullet"/>
      </w:pPr>
      <w:r>
        <w:t>Governance artifacts (gate-based targeting, documented change lists, before/after validation packets) provide hearing-ready defensibility while maintaining a sales-chasing firewall.</w:t>
      </w:r>
    </w:p>
    <w:p>
      <w:pPr>
        <w:pStyle w:val="ListBullet"/>
      </w:pPr>
      <w:r>
        <w:t>Policy implication: levy-limit mechanics and inflation interact with local service demands; assessment administration can improve equity and stability, but it cannot substitute for policy decisions about revenue growth and allocation.</w:t>
      </w:r>
    </w:p>
    <w:p>
      <w:pPr/>
      <w:r>
        <w:t>How to read this draft: Sections 3–6 define the data, diagnostics, and decomposition. Sections 7–8 describe the governance controls and equity lens. Appendix A crosswalks evidence bundles used in validation and public communication.</w:t>
      </w:r>
    </w:p>
    <w:p>
      <w:pPr/>
    </w:p>
    <w:p>
      <w:r>
        <w:br w:type="page"/>
      </w:r>
    </w:p>
    <w:p>
      <w:pPr>
        <w:pStyle w:val="Heading1"/>
      </w:pPr>
      <w:r>
        <w:t>Abstract</w:t>
      </w:r>
    </w:p>
    <w:p>
      <w:r>
        <w:t>This paper connects neighborhood change, assessment performance, and tax-bill outcomes using Benton County’s market-calibrated cost approach and governance system. We integrate (i) ratio-study diagnostics (level, uniformity, and vertical equity), (ii) a decomposition of tax-bill change into value and rate components, and (iii) a fail-closed calibration workflow that documents changes via versioned tables/curves and validates deployments with holdout testing. Using the provided Benton County tax-bill extract for 2022 (N=91,876 parcels), the median parcel tax bill is $2,232 (IQR $683–$3,496) and total billed taxes sum to $274,891,498. Separately, using the 2024 “all subsets” tilt diagnostics (35 subsets; 908 qualified sales), 40% of subsets show statistically significant price-related differential (p&lt;0.05) with a median log-price tilt coefficient of -0.459, indicating where vertical equity stress concentrates. We show how Benton’s governance artifacts—gate-based subset targeting, documented change lists, and before/after validation packets—translate these diagnostics into auditable adjustments while maintaining a sales-chasing firewall. Finally, we outline an equity-lens reporting approach that can incorporate area-level demographics descriptively (with suppression) without using protected-class variables as valuation inputs.</w:t>
      </w:r>
    </w:p>
    <w:p>
      <w:pPr>
        <w:pStyle w:val="Heading2"/>
      </w:pPr>
      <w:r>
        <w:t>Keywords</w:t>
      </w:r>
    </w:p>
    <w:p>
      <w:r>
        <w:t>property tax; mass appraisal; vertical equity; reassessment; neighborhood change; tax incidence; governance; sales chasing; calibrated cost approach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Property tax fairness debates often collapse distinct mechanisms into a single complaint: “the assessor raised my taxes.” In practice,</w:t>
        <w:br/>
        <w:t>a taxpayer’s bill can change because taxable value changes, because levy rates change, or because both change simultaneously.</w:t>
        <w:br/>
        <w:t>At the same time, housing market dynamics—turnover, redevelopment, rapid price growth, and shifting demand—can stress any mass appraisal</w:t>
        <w:br/>
        <w:t>system and create systematic patterns in assessment ratios and vertical equity metrics. Those patterns can be perceived as unfairness</w:t>
        <w:br/>
        <w:t>between neighborhoods or price tiers, and they can intensify skepticism about practices such as “sales chasing.”</w:t>
      </w:r>
    </w:p>
    <w:p>
      <w:r>
        <w:t>This paper frames the problem as an engineering-and-governance question: how should an assessor’s office measure market change,</w:t>
        <w:br/>
        <w:t>detect where performance degrades, and then deploy calibrations in a way that is auditable, repeatable, and explicitly fail-closed?</w:t>
        <w:br/>
        <w:t>We develop that frame using Benton County’s market-calibrated cost approach and a set of standardized governance artifacts</w:t>
        <w:br/>
        <w:t>(Top-subset targeting, documented change lists, before/after validation packets, and a sales-chasing firewall attestation).</w:t>
      </w:r>
    </w:p>
    <w:p>
      <w:r>
        <w:t>We also align our work with two complementary research traditions. First, neighborhood-change research emphasizes how dynamics such as</w:t>
        <w:br/>
        <w:t>gentrification and turnover can interact with assessment systems to produce distributional consequences, including racial inequality in</w:t>
        <w:br/>
        <w:t>property tax burdens. Second, reassessment research emphasizes that property tax incidence depends critically on assessment accuracy:</w:t>
        <w:br/>
        <w:t>even an otherwise proportional (ad valorem) tax becomes regressive or unfair when assessments deviate systematically across value tiers</w:t>
        <w:br/>
        <w:t>or neighborhoods.</w:t>
      </w:r>
    </w:p>
    <w:p>
      <w:pPr>
        <w:pStyle w:val="Heading2"/>
      </w:pPr>
      <w:r>
        <w:t>1.1 Research questions</w:t>
      </w:r>
    </w:p>
    <w:p>
      <w:pPr>
        <w:pStyle w:val="ListNumber"/>
      </w:pPr>
      <w:r>
        <w:t>RQ1: Where does assessment performance degrade when neighborhoods change quickly (turnover, price growth, new construction, dispersion)?</w:t>
      </w:r>
    </w:p>
    <w:p>
      <w:pPr>
        <w:pStyle w:val="ListNumber"/>
      </w:pPr>
      <w:r>
        <w:t>RQ2: Do Benton’s calibration gates and versioned interventions reduce vertical equity defects and instability over time?</w:t>
      </w:r>
    </w:p>
    <w:p>
      <w:pPr>
        <w:pStyle w:val="ListNumber"/>
      </w:pPr>
      <w:r>
        <w:t>RQ3: How much of observed tax-bill change is driven by taxable value versus levy/rate (and their interaction), and how does that vary by value tier and exemption status?</w:t>
      </w:r>
    </w:p>
    <w:p>
      <w:pPr>
        <w:pStyle w:val="ListNumber"/>
      </w:pPr>
      <w:r>
        <w:t>RQ4: How can an assessor report distributional patterns with an equity lens—potentially including area-level demographics descriptively—without using protected-class variables as valuation inputs?</w:t>
      </w:r>
    </w:p>
    <w:p>
      <w:pPr>
        <w:pStyle w:val="Heading2"/>
      </w:pPr>
      <w:r>
        <w:t>1.2 Contributions</w:t>
      </w:r>
    </w:p>
    <w:p>
      <w:r>
        <w:t>(1) A tax-bill decomposition that separates bill changes into value and rate components, suitable for public counter use and for</w:t>
        <w:br/>
        <w:t>distributional analysis (Exhibit/Appendix TAX-1). (2) A neighborhood-change and QA clustering framework that produces triage-ready</w:t>
        <w:br/>
        <w:t>hotspots without embedding demographics into valuation (Exhibit/Appendix NC-1). (3) A governance evidence bundle that operationalizes</w:t>
        <w:br/>
        <w:t>a sales-chasing firewall through scope locks, versioned change logs, and holdout validation (Exhibit/Appendix SC-1, plus D/E/F).</w:t>
        <w:br/>
        <w:t>(4) A matched-pair (stratified matching) audit that enables apples-to-apples performance comparisons across groups/areas after</w:t>
        <w:br/>
        <w:t>holding observable property characteristics constant (Exhibit/Appendix MP-1).</w:t>
      </w:r>
    </w:p>
    <w:p>
      <w:pPr>
        <w:pStyle w:val="Heading1"/>
      </w:pPr>
      <w:r>
        <w:t>2. Institutional Background</w:t>
      </w:r>
    </w:p>
    <w:p>
      <w:pPr>
        <w:pStyle w:val="Heading2"/>
      </w:pPr>
      <w:r>
        <w:t>2.1 Benton’s market-calibrated cost system (overview)</w:t>
      </w:r>
    </w:p>
    <w:p>
      <w:r>
        <w:t>Benton’s internal one-page description of the system summarizes the workflow as follows (excerpted from the internal one-pager):</w:t>
      </w:r>
    </w:p>
    <w:p>
      <w:pPr/>
      <w:r>
        <w:rPr>
          <w:b/>
        </w:rPr>
        <w:t>Figure 1. Benton market-calibrated cost governance (simplified).</w:t>
      </w:r>
    </w:p>
    <w:p>
      <w:pPr/>
      <w:r>
        <w:rPr>
          <w:b/>
        </w:rPr>
        <w:t>Inputs -&gt; Calibration -&gt; Quality assurance -&gt; Governance</w:t>
      </w:r>
    </w:p>
    <w:p>
      <w:pPr>
        <w:pStyle w:val="ListBullet"/>
      </w:pPr>
      <w:r>
        <w:t>Inputs: Verified arms-length sales; property characteristics; local construction cost inputs.</w:t>
      </w:r>
    </w:p>
    <w:p>
      <w:pPr>
        <w:pStyle w:val="ListBullet"/>
      </w:pPr>
      <w:r>
        <w:t>Calibration: Estimate percent-of-base curves and local cost tables from sales evidence; retain only characteristics with stable price signal.</w:t>
      </w:r>
    </w:p>
    <w:p>
      <w:pPr>
        <w:pStyle w:val="ListBullet"/>
      </w:pPr>
      <w:r>
        <w:t>Quality assurance: Run ratio-study metrics (level/uniformity) and vertical equity diagnostics (PRD/PRB); segment by class/neighborhood/tier.</w:t>
      </w:r>
    </w:p>
    <w:p>
      <w:pPr>
        <w:pStyle w:val="ListBullet"/>
      </w:pPr>
      <w:r>
        <w:t>Governance: Deploy only versioned, documented changes that pass holdout tests; maintain change logs and peer review sign-off.</w:t>
      </w:r>
    </w:p>
    <w:p>
      <w:pPr/>
      <w:r>
        <w:rPr>
          <w:b/>
        </w:rPr>
        <w:t>Sales-chasing firewall controls (operational).</w:t>
      </w:r>
    </w:p>
    <w:p>
      <w:pPr/>
      <w:r>
        <w:rPr>
          <w:b/>
        </w:rPr>
        <w:t>Operational artifacts (examples in workbooks):</w:t>
      </w:r>
    </w:p>
    <w:p>
      <w:pPr>
        <w:pStyle w:val="ListBullet"/>
      </w:pPr>
      <w:r>
        <w:t>SalesDashboard_Ratio Sheets.xlsx (raw sales + charts)</w:t>
      </w:r>
    </w:p>
    <w:p>
      <w:pPr>
        <w:pStyle w:val="ListBullet"/>
      </w:pPr>
      <w:r>
        <w:t>Chris Dashboard Test.xlsx (all parcels; ratio sheet; analytics/statistics)</w:t>
      </w:r>
    </w:p>
    <w:p>
      <w:pPr>
        <w:pStyle w:val="ListBullet"/>
      </w:pPr>
      <w:r>
        <w:t>Revaluation trend sheets (neighborhood/subdivision ratio trends)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Control</w:t>
            </w:r>
          </w:p>
        </w:tc>
        <w:tc>
          <w:tcPr>
            <w:tcW w:type="dxa" w:w="2880"/>
          </w:tcPr>
          <w:p>
            <w:r>
              <w:t>What it blocks</w:t>
            </w:r>
          </w:p>
        </w:tc>
        <w:tc>
          <w:tcPr>
            <w:tcW w:type="dxa" w:w="2880"/>
          </w:tcPr>
          <w:p>
            <w:r>
              <w:t>How it is evidenced</w:t>
            </w:r>
          </w:p>
        </w:tc>
      </w:tr>
      <w:tr>
        <w:tc>
          <w:tcPr>
            <w:tcW w:type="dxa" w:w="2880"/>
          </w:tcPr>
          <w:p>
            <w:r>
              <w:t>Temporal separation</w:t>
            </w:r>
          </w:p>
        </w:tc>
        <w:tc>
          <w:tcPr>
            <w:tcW w:type="dxa" w:w="2880"/>
          </w:tcPr>
          <w:p>
            <w:r>
              <w:t>Adjusting to individual sales</w:t>
            </w:r>
          </w:p>
        </w:tc>
        <w:tc>
          <w:tcPr>
            <w:tcW w:type="dxa" w:w="2880"/>
          </w:tcPr>
          <w:p>
            <w:r>
              <w:t>Defined study period; sales cutoff lock; effective date and roll date documented.</w:t>
            </w:r>
          </w:p>
        </w:tc>
      </w:tr>
      <w:tr>
        <w:tc>
          <w:tcPr>
            <w:tcW w:type="dxa" w:w="2880"/>
          </w:tcPr>
          <w:p>
            <w:r>
              <w:t>Holdout / out-of-sample validation</w:t>
            </w:r>
          </w:p>
        </w:tc>
        <w:tc>
          <w:tcPr>
            <w:tcW w:type="dxa" w:w="2880"/>
          </w:tcPr>
          <w:p>
            <w:r>
              <w:t>Overfitting the sold set</w:t>
            </w:r>
          </w:p>
        </w:tc>
        <w:tc>
          <w:tcPr>
            <w:tcW w:type="dxa" w:w="2880"/>
          </w:tcPr>
          <w:p>
            <w:r>
              <w:t>Holdout sample maintained; pre/post metrics reported on holdout and unsold proxies where available.</w:t>
            </w:r>
          </w:p>
        </w:tc>
      </w:tr>
      <w:tr>
        <w:tc>
          <w:tcPr>
            <w:tcW w:type="dxa" w:w="2880"/>
          </w:tcPr>
          <w:p>
            <w:r>
              <w:t>Model-first, sale-second changes</w:t>
            </w:r>
          </w:p>
        </w:tc>
        <w:tc>
          <w:tcPr>
            <w:tcW w:type="dxa" w:w="2880"/>
          </w:tcPr>
          <w:p>
            <w:r>
              <w:t>Manual tuning to “hit” a sale</w:t>
            </w:r>
          </w:p>
        </w:tc>
        <w:tc>
          <w:tcPr>
            <w:tcW w:type="dxa" w:w="2880"/>
          </w:tcPr>
          <w:p>
            <w:r>
              <w:t>Changes applied via tables/curves/matrices rather than parcel edits; exceptions are rare and logged.</w:t>
            </w:r>
          </w:p>
        </w:tc>
      </w:tr>
      <w:tr>
        <w:tc>
          <w:tcPr>
            <w:tcW w:type="dxa" w:w="2880"/>
          </w:tcPr>
          <w:p>
            <w:r>
              <w:t>Stratified equity tests</w:t>
            </w:r>
          </w:p>
        </w:tc>
        <w:tc>
          <w:tcPr>
            <w:tcW w:type="dxa" w:w="2880"/>
          </w:tcPr>
          <w:p>
            <w:r>
              <w:t>Regressivity/progressivity</w:t>
            </w:r>
          </w:p>
        </w:tc>
        <w:tc>
          <w:tcPr>
            <w:tcW w:type="dxa" w:w="2880"/>
          </w:tcPr>
          <w:p>
            <w:r>
              <w:t>PRD and PRB by tiers/segments compared before/after; neutrality required or explicit policy rationale documented.</w:t>
            </w:r>
          </w:p>
        </w:tc>
      </w:tr>
      <w:tr>
        <w:tc>
          <w:tcPr>
            <w:tcW w:type="dxa" w:w="2880"/>
          </w:tcPr>
          <w:p>
            <w:r>
              <w:t>Versioned change governance</w:t>
            </w:r>
          </w:p>
        </w:tc>
        <w:tc>
          <w:tcPr>
            <w:tcW w:type="dxa" w:w="2880"/>
          </w:tcPr>
          <w:p>
            <w:r>
              <w:t>Unreviewed tweaks</w:t>
            </w:r>
          </w:p>
        </w:tc>
        <w:tc>
          <w:tcPr>
            <w:tcW w:type="dxa" w:w="2880"/>
          </w:tcPr>
          <w:p>
            <w:r>
              <w:t>Version tables; change memos; peer review sign-off; reproducible artifacts for audit/appeal.</w:t>
            </w:r>
          </w:p>
        </w:tc>
      </w:tr>
    </w:tbl>
    <w:p>
      <w:pPr>
        <w:pStyle w:val="Heading2"/>
      </w:pPr>
      <w:r>
        <w:t>2.2 Why governance matters: sales chasing versus controlled calibration</w:t>
      </w:r>
    </w:p>
    <w:p>
      <w:r>
        <w:t>A core concern in public discussions is “sales chasing,” typically understood as adjusting assessed values on sold parcels to match</w:t>
        <w:br/>
        <w:t>sales while leaving unsold parcels lagging. Benton’s governance model is designed to avoid that failure mode by enforcing:</w:t>
        <w:br/>
        <w:t>(i) scope locks (sales cutoff and model lock), (ii) segment-level changes applied through tables/curves/matrices rather than parcel-by-parcel overrides,</w:t>
        <w:br/>
        <w:t>(iii) holdout validation with fail-closed deployment rules, and (iv) a complete versioned change log tied to objective diagnostics.</w:t>
        <w:br/>
        <w:t>These controls make the calibration process auditable and reproducible, and they produce a record that can be reviewed internally,</w:t>
        <w:br/>
        <w:t>by auditors, or in an appeals context.</w:t>
      </w:r>
    </w:p>
    <w:p>
      <w:pPr>
        <w:pStyle w:val="Heading2"/>
      </w:pPr>
      <w:r>
        <w:t>2.3 Key diagnostic definitions</w:t>
      </w:r>
    </w:p>
    <w:p>
      <w:r>
        <w:t>We use standard ratio-study and vertical equity diagnostics that are widely referenced in professional practice:</w:t>
        <w:br/>
        <w:t>median assessment ratio (level), coefficient of dispersion (uniformity), and price-related differential metrics (e.g., PRD/PRB).</w:t>
        <w:br/>
        <w:t>To diagnose vertical equity more directly, we also use tier plots and a controlled “tilt” regression that estimates how assessment</w:t>
        <w:br/>
        <w:t>error varies with price (reported as a slope on log price with a p-value). In this paper, these diagnostics are treated as measurement</w:t>
        <w:br/>
        <w:t>outputs that trigger investigation and governance steps; they are not used to target outcomes for any protected class.</w:t>
      </w:r>
    </w:p>
    <w:p>
      <w:pPr>
        <w:pStyle w:val="Heading1"/>
      </w:pPr>
      <w:r>
        <w:t>3. Related Literature</w:t>
      </w:r>
    </w:p>
    <w:p>
      <w:pPr>
        <w:pStyle w:val="Heading2"/>
      </w:pPr>
      <w:r>
        <w:t>3.1 Neighborhood change and racial inequality in property taxes</w:t>
      </w:r>
    </w:p>
    <w:p>
      <w:r>
        <w:t>The RAND dissertation “Neighborhood Change, Housing Market Dynamics, and Racial Inequality in Property Taxes” situates property tax</w:t>
        <w:br/>
        <w:t>inequality within persistent racial wealth inequality and emphasizes the role of neighborhood change, gentrification, and sales volume.</w:t>
        <w:br/>
        <w:t>Its abstract highlights mechanisms through which local assessment practices, market dynamics, and neighborhood amenities can interact,</w:t>
        <w:br/>
        <w:t>and argues for routine, high-quality reassessment as part of the policy response. We summarize the argument here rather than reproducing extended text excerpts.</w:t>
      </w:r>
    </w:p>
    <w:p>
      <w:pPr/>
      <w:r>
        <w:t>O’Hollaren (RAND) documents how neighborhood market dynamics and reassessment practices can interact to produce systematic assessment gaps. A central empirical pattern in that work is that jurisdictions/areas with higher sales volume and market transparency tend to show smaller gaps, supporting a practice implication: routine ratio-study monitoring and governed recalibration are necessary conditions for equitable, defensible assessments.</w:t>
      </w:r>
    </w:p>
    <w:p>
      <w:pPr>
        <w:pStyle w:val="Heading2"/>
      </w:pPr>
      <w:r>
        <w:t>3.2 Reassessment and the importance of assessment accuracy</w:t>
      </w:r>
    </w:p>
    <w:p>
      <w:r>
        <w:t>Christopher Berry’s “Reassessing the Property Tax” emphasizes that the property tax is a major revenue source and is often viewed as</w:t>
        <w:br/>
        <w:t>progressive because it taxes property wealth. However, Berry argues that the practical incidence of the tax hinges on assessment accuracy:</w:t>
        <w:br/>
        <w:t>systematic assessment errors can make the tax regressive (e.g., low-priced properties over-assessed relative to market value) and can</w:t>
        <w:br/>
        <w:t>create inequities even when statutory tax rates are uniform.</w:t>
      </w:r>
    </w:p>
    <w:p>
      <w:pPr/>
      <w:r>
        <w:t>In Berry’s framing, even a uniform statutory rate can yield regressive outcomes if assessment errors are systematically larger for lower-priced homes. The policy lever is not only the rate structure, but also reassessment frequency, data quality, and transparent quality control that keeps assessment ratios stable across value tiers.</w:t>
      </w:r>
    </w:p>
    <w:p>
      <w:pPr>
        <w:pStyle w:val="Heading2"/>
      </w:pPr>
      <w:r>
        <w:t>3.3 How this paper differs</w:t>
      </w:r>
    </w:p>
    <w:p>
      <w:r>
        <w:t>Most academic work observes outcomes (effective tax rates, assessment ratios, spatial inequality) but has limited visibility into the</w:t>
        <w:br/>
        <w:t>internal calibration governance that produces those outcomes. Benton’s contribution is an “audit trail” approach: diagnostics are connected</w:t>
        <w:br/>
        <w:t>to explicit gate triggers, versioned changes, and holdout validation. That structure allows research-style claims to be paired with</w:t>
        <w:br/>
        <w:t>hearing-ready evidence about what changed, why, and how deployment was validated.</w:t>
      </w:r>
    </w:p>
    <w:p>
      <w:pPr>
        <w:pStyle w:val="Heading1"/>
      </w:pPr>
      <w:r>
        <w:t>4. Data</w:t>
      </w:r>
    </w:p>
    <w:p>
      <w:pPr>
        <w:pStyle w:val="Heading2"/>
      </w:pPr>
      <w:r>
        <w:t>4.1 Parcel-level tax-bill extract (2022)</w:t>
      </w:r>
    </w:p>
    <w:p>
      <w:r>
        <w:t>We use a parcel-level extract with taxable value, total tax rate (in mills), and computed total tax for tax year 2022</w:t>
        <w:br/>
        <w:t>(N=91,876). The median total rate is 8.98 mills. In this extract,</w:t>
        <w:br/>
        <w:t>4.0% of parcels are flagged as having at least one exemption indicator. Because this dataset was provided</w:t>
        <w:br/>
        <w:t>as an extract for analysis, it should be treated as “as-delivered” for this draft; final publication should document the extraction date,</w:t>
        <w:br/>
        <w:t>filters, and any exclusions (e.g., non-taxable parcels).</w:t>
      </w:r>
    </w:p>
    <w:p>
      <w:pPr>
        <w:pStyle w:val="Heading3"/>
      </w:pPr>
      <w:r>
        <w:t>Table 1. Tax-bill summary statistics (2022 extract)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Parcels (N)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 tax ($)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Median tax ($)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P25 tax ($)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P75 tax ($)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Exempt share</w:t>
            </w:r>
          </w:p>
        </w:tc>
      </w:tr>
      <w:tr>
        <w:tc>
          <w:tcPr>
            <w:tcW w:type="dxa" w:w="1440"/>
          </w:tcPr>
          <w:p>
            <w:r>
              <w:t>91,876</w:t>
            </w:r>
          </w:p>
        </w:tc>
        <w:tc>
          <w:tcPr>
            <w:tcW w:type="dxa" w:w="1440"/>
          </w:tcPr>
          <w:p>
            <w:r>
              <w:t>274,891,498</w:t>
            </w:r>
          </w:p>
        </w:tc>
        <w:tc>
          <w:tcPr>
            <w:tcW w:type="dxa" w:w="1440"/>
          </w:tcPr>
          <w:p>
            <w:r>
              <w:t>2,232</w:t>
            </w:r>
          </w:p>
        </w:tc>
        <w:tc>
          <w:tcPr>
            <w:tcW w:type="dxa" w:w="1440"/>
          </w:tcPr>
          <w:p>
            <w:r>
              <w:t>683</w:t>
            </w:r>
          </w:p>
        </w:tc>
        <w:tc>
          <w:tcPr>
            <w:tcW w:type="dxa" w:w="1440"/>
          </w:tcPr>
          <w:p>
            <w:r>
              <w:t>3,496</w:t>
            </w:r>
          </w:p>
        </w:tc>
        <w:tc>
          <w:tcPr>
            <w:tcW w:type="dxa" w:w="1440"/>
          </w:tcPr>
          <w:p>
            <w:r>
              <w:t>4.0%</w:t>
            </w:r>
          </w:p>
        </w:tc>
      </w:tr>
    </w:tbl>
    <w:p/>
    <w:p>
      <w:pPr>
        <w:pStyle w:val="Heading2"/>
      </w:pPr>
      <w:r>
        <w:t>4.2 Tax distribution by assessed-value tier (2022)</w:t>
      </w:r>
    </w:p>
    <w:p>
      <w:r>
        <w:t>The tier distribution file summarizes parcel counts and selected tax percentiles across five value tiers (P0–25, P25–50, P50–75, P75–90, P90–100).</w:t>
      </w:r>
    </w:p>
    <w:p>
      <w:pPr>
        <w:pStyle w:val="Heading3"/>
      </w:pPr>
      <w:r>
        <w:t>Table 2. Tax distribution by tier (2022)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parcels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median_assessed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median_tax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p25_tax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p75_tax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p90_tax</w:t>
            </w:r>
          </w:p>
        </w:tc>
      </w:tr>
      <w:tr>
        <w:tc>
          <w:tcPr>
            <w:tcW w:type="dxa" w:w="1234"/>
          </w:tcPr>
          <w:p>
            <w:r>
              <w:t>P0-25</w:t>
            </w:r>
          </w:p>
        </w:tc>
        <w:tc>
          <w:tcPr>
            <w:tcW w:type="dxa" w:w="1234"/>
          </w:tcPr>
          <w:p>
            <w:r>
              <w:t>21614</w:t>
            </w:r>
          </w:p>
        </w:tc>
        <w:tc>
          <w:tcPr>
            <w:tcW w:type="dxa" w:w="1234"/>
          </w:tcPr>
          <w:p>
            <w:r>
              <w:t>16,335.00</w:t>
            </w:r>
          </w:p>
        </w:tc>
        <w:tc>
          <w:tcPr>
            <w:tcW w:type="dxa" w:w="1234"/>
          </w:tcPr>
          <w:p>
            <w:r>
              <w:t>177.53</w:t>
            </w:r>
          </w:p>
        </w:tc>
        <w:tc>
          <w:tcPr>
            <w:tcW w:type="dxa" w:w="1234"/>
          </w:tcPr>
          <w:p>
            <w:r>
              <w:t>10.01</w:t>
            </w:r>
          </w:p>
        </w:tc>
        <w:tc>
          <w:tcPr>
            <w:tcW w:type="dxa" w:w="1234"/>
          </w:tcPr>
          <w:p>
            <w:r>
              <w:t>553.16</w:t>
            </w:r>
          </w:p>
        </w:tc>
        <w:tc>
          <w:tcPr>
            <w:tcW w:type="dxa" w:w="1234"/>
          </w:tcPr>
          <w:p>
            <w:r>
              <w:t>962.89</w:t>
            </w:r>
          </w:p>
        </w:tc>
      </w:tr>
      <w:tr>
        <w:tc>
          <w:tcPr>
            <w:tcW w:type="dxa" w:w="1234"/>
          </w:tcPr>
          <w:p>
            <w:r>
              <w:t>P25-50</w:t>
            </w:r>
          </w:p>
        </w:tc>
        <w:tc>
          <w:tcPr>
            <w:tcW w:type="dxa" w:w="1234"/>
          </w:tcPr>
          <w:p>
            <w:r>
              <w:t>21619</w:t>
            </w:r>
          </w:p>
        </w:tc>
        <w:tc>
          <w:tcPr>
            <w:tcW w:type="dxa" w:w="1234"/>
          </w:tcPr>
          <w:p>
            <w:r>
              <w:t>210,690.00</w:t>
            </w:r>
          </w:p>
        </w:tc>
        <w:tc>
          <w:tcPr>
            <w:tcW w:type="dxa" w:w="1234"/>
          </w:tcPr>
          <w:p>
            <w:r>
              <w:t>1,837.60</w:t>
            </w:r>
          </w:p>
        </w:tc>
        <w:tc>
          <w:tcPr>
            <w:tcW w:type="dxa" w:w="1234"/>
          </w:tcPr>
          <w:p>
            <w:r>
              <w:t>1,512.38</w:t>
            </w:r>
          </w:p>
        </w:tc>
        <w:tc>
          <w:tcPr>
            <w:tcW w:type="dxa" w:w="1234"/>
          </w:tcPr>
          <w:p>
            <w:r>
              <w:t>2,243.56</w:t>
            </w:r>
          </w:p>
        </w:tc>
        <w:tc>
          <w:tcPr>
            <w:tcW w:type="dxa" w:w="1234"/>
          </w:tcPr>
          <w:p>
            <w:r>
              <w:t>2,583.37</w:t>
            </w:r>
          </w:p>
        </w:tc>
      </w:tr>
      <w:tr>
        <w:tc>
          <w:tcPr>
            <w:tcW w:type="dxa" w:w="1234"/>
          </w:tcPr>
          <w:p>
            <w:r>
              <w:t>P50-75</w:t>
            </w:r>
          </w:p>
        </w:tc>
        <w:tc>
          <w:tcPr>
            <w:tcW w:type="dxa" w:w="1234"/>
          </w:tcPr>
          <w:p>
            <w:r>
              <w:t>21609</w:t>
            </w:r>
          </w:p>
        </w:tc>
        <w:tc>
          <w:tcPr>
            <w:tcW w:type="dxa" w:w="1234"/>
          </w:tcPr>
          <w:p>
            <w:r>
              <w:t>307,690.00</w:t>
            </w:r>
          </w:p>
        </w:tc>
        <w:tc>
          <w:tcPr>
            <w:tcW w:type="dxa" w:w="1234"/>
          </w:tcPr>
          <w:p>
            <w:r>
              <w:t>2,829.80</w:t>
            </w:r>
          </w:p>
        </w:tc>
        <w:tc>
          <w:tcPr>
            <w:tcW w:type="dxa" w:w="1234"/>
          </w:tcPr>
          <w:p>
            <w:r>
              <w:t>2,402.45</w:t>
            </w:r>
          </w:p>
        </w:tc>
        <w:tc>
          <w:tcPr>
            <w:tcW w:type="dxa" w:w="1234"/>
          </w:tcPr>
          <w:p>
            <w:r>
              <w:t>3,327.17</w:t>
            </w:r>
          </w:p>
        </w:tc>
        <w:tc>
          <w:tcPr>
            <w:tcW w:type="dxa" w:w="1234"/>
          </w:tcPr>
          <w:p>
            <w:r>
              <w:t>3,860.37</w:t>
            </w:r>
          </w:p>
        </w:tc>
      </w:tr>
      <w:tr>
        <w:tc>
          <w:tcPr>
            <w:tcW w:type="dxa" w:w="1234"/>
          </w:tcPr>
          <w:p>
            <w:r>
              <w:t>P75-90</w:t>
            </w:r>
          </w:p>
        </w:tc>
        <w:tc>
          <w:tcPr>
            <w:tcW w:type="dxa" w:w="1234"/>
          </w:tcPr>
          <w:p>
            <w:r>
              <w:t>12968</w:t>
            </w:r>
          </w:p>
        </w:tc>
        <w:tc>
          <w:tcPr>
            <w:tcW w:type="dxa" w:w="1234"/>
          </w:tcPr>
          <w:p>
            <w:r>
              <w:t>424,495.00</w:t>
            </w:r>
          </w:p>
        </w:tc>
        <w:tc>
          <w:tcPr>
            <w:tcW w:type="dxa" w:w="1234"/>
          </w:tcPr>
          <w:p>
            <w:r>
              <w:t>4,128.61</w:t>
            </w:r>
          </w:p>
        </w:tc>
        <w:tc>
          <w:tcPr>
            <w:tcW w:type="dxa" w:w="1234"/>
          </w:tcPr>
          <w:p>
            <w:r>
              <w:t>3,485.09</w:t>
            </w:r>
          </w:p>
        </w:tc>
        <w:tc>
          <w:tcPr>
            <w:tcW w:type="dxa" w:w="1234"/>
          </w:tcPr>
          <w:p>
            <w:r>
              <w:t>4,815.31</w:t>
            </w:r>
          </w:p>
        </w:tc>
        <w:tc>
          <w:tcPr>
            <w:tcW w:type="dxa" w:w="1234"/>
          </w:tcPr>
          <w:p>
            <w:r>
              <w:t>5,427.26</w:t>
            </w:r>
          </w:p>
        </w:tc>
      </w:tr>
      <w:tr>
        <w:tc>
          <w:tcPr>
            <w:tcW w:type="dxa" w:w="1234"/>
          </w:tcPr>
          <w:p>
            <w:r>
              <w:t>P90-100</w:t>
            </w:r>
          </w:p>
        </w:tc>
        <w:tc>
          <w:tcPr>
            <w:tcW w:type="dxa" w:w="1234"/>
          </w:tcPr>
          <w:p>
            <w:r>
              <w:t>8646</w:t>
            </w:r>
          </w:p>
        </w:tc>
        <w:tc>
          <w:tcPr>
            <w:tcW w:type="dxa" w:w="1234"/>
          </w:tcPr>
          <w:p>
            <w:r>
              <w:t>649,410.00</w:t>
            </w:r>
          </w:p>
        </w:tc>
        <w:tc>
          <w:tcPr>
            <w:tcW w:type="dxa" w:w="1234"/>
          </w:tcPr>
          <w:p>
            <w:r>
              <w:t>6,490.87</w:t>
            </w:r>
          </w:p>
        </w:tc>
        <w:tc>
          <w:tcPr>
            <w:tcW w:type="dxa" w:w="1234"/>
          </w:tcPr>
          <w:p>
            <w:r>
              <w:t>5,411.26</w:t>
            </w:r>
          </w:p>
        </w:tc>
        <w:tc>
          <w:tcPr>
            <w:tcW w:type="dxa" w:w="1234"/>
          </w:tcPr>
          <w:p>
            <w:r>
              <w:t>8,708.09</w:t>
            </w:r>
          </w:p>
        </w:tc>
        <w:tc>
          <w:tcPr>
            <w:tcW w:type="dxa" w:w="1234"/>
          </w:tcPr>
          <w:p>
            <w:r>
              <w:t>17,257.57</w:t>
            </w:r>
          </w:p>
        </w:tc>
      </w:tr>
    </w:tbl>
    <w:p/>
    <w:p>
      <w:pPr>
        <w:pStyle w:val="Heading2"/>
      </w:pPr>
      <w:r>
        <w:t>4.3 Exempt versus non-exempt comparison (2022)</w:t>
      </w:r>
    </w:p>
    <w:p>
      <w:r>
        <w:t>A second summary file compares exempt-flagged parcels versus non-exempt parcels. Differences reflect both value differences and statutory/program eligibility.</w:t>
      </w:r>
    </w:p>
    <w:p>
      <w:pPr>
        <w:pStyle w:val="Heading3"/>
      </w:pPr>
      <w:r>
        <w:t>Table 3. Exempt vs non-exempt summary (as provided)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is_exempt_any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parcels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median_assessed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median_tax</w:t>
            </w:r>
          </w:p>
        </w:tc>
      </w:tr>
      <w:tr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82857</w:t>
            </w:r>
          </w:p>
        </w:tc>
        <w:tc>
          <w:tcPr>
            <w:tcW w:type="dxa" w:w="2160"/>
          </w:tcPr>
          <w:p>
            <w:r>
              <w:t>269,390.00</w:t>
            </w:r>
          </w:p>
        </w:tc>
        <w:tc>
          <w:tcPr>
            <w:tcW w:type="dxa" w:w="2160"/>
          </w:tcPr>
          <w:p>
            <w:r>
              <w:t>2,433.05</w:t>
            </w:r>
          </w:p>
        </w:tc>
      </w:tr>
      <w:tr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3599</w:t>
            </w:r>
          </w:p>
        </w:tc>
        <w:tc>
          <w:tcPr>
            <w:tcW w:type="dxa" w:w="2160"/>
          </w:tcPr>
          <w:p>
            <w:r>
              <w:t>25,060.00</w:t>
            </w:r>
          </w:p>
        </w:tc>
        <w:tc>
          <w:tcPr>
            <w:tcW w:type="dxa" w:w="2160"/>
          </w:tcPr>
          <w:p>
            <w:r>
              <w:t>128.90</w:t>
            </w:r>
          </w:p>
        </w:tc>
      </w:tr>
    </w:tbl>
    <w:p/>
    <w:p>
      <w:pPr>
        <w:pStyle w:val="Heading2"/>
      </w:pPr>
      <w:r>
        <w:t>4.4 Vertical equity / tilt diagnostics (2024 all-subsets report)</w:t>
      </w:r>
    </w:p>
    <w:p>
      <w:r>
        <w:t>We use an “all subsets” tilt diagnostic file (35 subsets; 908 sales observations) that reports standard ratio-study metrics</w:t>
        <w:br/>
        <w:t>(median ratio, COD, PRD) and a log-price tilt coefficient with p-values. These subset-level results are designed for internal triage:</w:t>
        <w:br/>
        <w:t>they identify which market slices exhibit systematic vertical equity stress and therefore merit targeted calibration review.</w:t>
      </w:r>
    </w:p>
    <w:p>
      <w:pPr>
        <w:pStyle w:val="Heading3"/>
      </w:pPr>
      <w:r>
        <w:t>Table 4. Tilt diagnostics summary (2024 subsets)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Subsets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Sales observations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Share with tilt p&lt;0.05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Median tilt beta (ln price)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908</w:t>
            </w:r>
          </w:p>
        </w:tc>
        <w:tc>
          <w:tcPr>
            <w:tcW w:type="dxa" w:w="2160"/>
          </w:tcPr>
          <w:p>
            <w:r>
              <w:t>40.0%</w:t>
            </w:r>
          </w:p>
        </w:tc>
        <w:tc>
          <w:tcPr>
            <w:tcW w:type="dxa" w:w="2160"/>
          </w:tcPr>
          <w:p>
            <w:r>
              <w:t>-0.459</w:t>
            </w:r>
          </w:p>
        </w:tc>
      </w:tr>
    </w:tbl>
    <w:p/>
    <w:p>
      <w:pPr>
        <w:pStyle w:val="Heading2"/>
      </w:pPr>
      <w:r>
        <w:t>4.5 Demographic context (equity lens) — not included in current extract</w:t>
      </w:r>
    </w:p>
    <w:p>
      <w:r>
        <w:t>The RAND/Chicago-style framing motivates describing whether property tax burdens or assessment performance differ across areas with</w:t>
        <w:br/>
        <w:t>different demographic compositions. That requires an area-level demographic dataset (e.g., ACS tract or block-group estimates) joined</w:t>
        <w:br/>
        <w:t>to parcels by geography. Demographic inputs were not included in the provided extract set for this draft. In a final version, any</w:t>
        <w:br/>
        <w:t>demographic overlays should be: (i) aggregated to an appropriate geography (tract/block group), (ii) suppressed for small-cell privacy,</w:t>
        <w:br/>
        <w:t>and (iii) treated as descriptive context only—not as valuation inputs.</w:t>
      </w:r>
    </w:p>
    <w:p>
      <w:pPr>
        <w:pStyle w:val="Heading1"/>
      </w:pPr>
      <w:r>
        <w:t>5. Methods</w:t>
      </w:r>
    </w:p>
    <w:p>
      <w:pPr>
        <w:pStyle w:val="Heading2"/>
      </w:pPr>
      <w:r>
        <w:t>5.1 Ratio-study and vertical equity diagnostics</w:t>
      </w:r>
    </w:p>
    <w:p>
      <w:r>
        <w:t>We treat ratio-study metrics as measurement outputs that provide evidence about performance (level, uniformity, and vertical equity).</w:t>
        <w:br/>
        <w:t>In operational use, these metrics are calculated within defined segments/subsets to detect whether performance issues are local or systemic.</w:t>
      </w:r>
    </w:p>
    <w:p>
      <w:r>
        <w:t>Level. We summarize central tendency using the median assessment ratio. Uniformity. We summarize dispersion using the coefficient of</w:t>
        <w:br/>
        <w:t>dispersion (COD). Vertical equity. We evaluate whether ratios vary systematically with value using PRD/PRB-style measures and by</w:t>
        <w:br/>
        <w:t>estimating a controlled “tilt” coefficient from a regression of assessment error on log price within each subset.</w:t>
      </w:r>
    </w:p>
    <w:p>
      <w:pPr>
        <w:pStyle w:val="Heading2"/>
      </w:pPr>
      <w:r>
        <w:t>5.2 Tax-bill decomposition (TAX-1 identity)</w:t>
      </w:r>
    </w:p>
    <w:p>
      <w:r>
        <w:t>For a parcel i, with taxable value V and total tax rate R (mills), the tax bill is Tax = V·R/1000. Between Year 1 and Year 2 we can</w:t>
        <w:br/>
        <w:t>decompose the change in tax into a value component, a rate component, and an interaction term:</w:t>
      </w:r>
    </w:p>
    <w:p>
      <w:r>
        <w:t>ΔTaxᵢ = Taxᵢ,2 − Taxᵢ,1</w:t>
        <w:br/>
        <w:t>ValueEffectᵢ = (Vᵢ,2 − Vᵢ,1) · Rᵢ,1 / 1000</w:t>
        <w:br/>
        <w:t>RateEffectᵢ  = Vᵢ,1 · (Rᵢ,2 − Rᵢ,1) / 1000</w:t>
        <w:br/>
        <w:t>CrossTermᵢ  = (Vᵢ,2 − Vᵢ,1) · (Rᵢ,2 − Rᵢ,1) / 1000</w:t>
      </w:r>
    </w:p>
    <w:p>
      <w:r>
        <w:t>This identity is the foundation for counter-ready explanations (“your bill changed because X% value, Y% rate”) and for distributional</w:t>
        <w:br/>
        <w:t>summaries by tier, exemption status, or geography.</w:t>
      </w:r>
    </w:p>
    <w:p>
      <w:pPr>
        <w:pStyle w:val="Heading2"/>
      </w:pPr>
      <w:r>
        <w:t>5.3 Governance workflow and the sales-chasing firewall (SC-1; D/E/F)</w:t>
      </w:r>
    </w:p>
    <w:p>
      <w:r>
        <w:t>Benton’s workflow is designed to convert diagnostics into controlled calibration changes:</w:t>
      </w:r>
    </w:p>
    <w:p>
      <w:r>
        <w:t>Step 1 — Diagnose. Identify failing subsets using objective metrics and coverage notes (e.g., tier drift, |tilt|, PRD deviation).</w:t>
        <w:br/>
        <w:t>Step 2 — Target. Prioritize a limited number of subsets (“Top 5”) for review to focus effort where risk is highest.</w:t>
        <w:br/>
        <w:t>Step 3 — Hypothesize. Document likely causes (e.g., base cost tables vs depreciation/effective age mapping vs condition/quality stratification).</w:t>
        <w:br/>
        <w:t>Step 4 — Change via tables/curves/matrices. Implement changes at segment/subset scope (not parcel-by-parcel), version tagged.</w:t>
        <w:br/>
        <w:t>Step 5 — Validate. Produce before/after packets including in-sample and holdout results. Fail-closed if holdout gates fail.</w:t>
        <w:br/>
        <w:t>Step 6 — Archive and attest. Retain workfiles and generate a firewall attestation packet (scope locks, change logs, holdout pass).</w:t>
      </w:r>
    </w:p>
    <w:p>
      <w:r>
        <w:t>This structure provides both (i) technical defensibility and (ii) an administrative record that is legible to non-technical reviewers.</w:t>
      </w:r>
    </w:p>
    <w:p>
      <w:pPr>
        <w:pStyle w:val="Heading2"/>
      </w:pPr>
      <w:r>
        <w:t>5.4 Matched-pair (stratified matching) audit (MP-1)</w:t>
      </w:r>
    </w:p>
    <w:p>
      <w:r>
        <w:t>To examine whether assessment performance differs across two groups after controlling for observable property characteristics,</w:t>
        <w:br/>
        <w:t>we construct match “cells” defined by bands of square footage and age plus categorical condition, quality, and class (and optionally</w:t>
        <w:br/>
        <w:t>a neighborhood segment). Within each cell, we compute mean performance for Group A and Group B and then average the within-cell</w:t>
        <w:br/>
        <w:t>differences using pooled weights (nA+nB). Cells without overlap (nA=0 or nB=0) are excluded and reported as “unmatched,” which is itself</w:t>
        <w:br/>
        <w:t>a diagnostic indicator of structural differences between groups.</w:t>
      </w:r>
    </w:p>
    <w:p>
      <w:pPr>
        <w:pStyle w:val="Heading2"/>
      </w:pPr>
      <w:r>
        <w:t>5.5 Econometric extensions (recommended for publication)</w:t>
      </w:r>
    </w:p>
    <w:p>
      <w:r>
        <w:t>To more closely match the style of neighborhood-change research, a final publication can estimate neighborhood-year panel models in which</w:t>
        <w:br/>
        <w:t>vertical equity defects (tier gap, tilt magnitude, PRD deviation) are outcomes, neighborhood change indicators are key predictors, and</w:t>
        <w:br/>
        <w:t>neighborhood and year fixed effects control for time-invariant differences and common shocks. An event-study design can be layered on</w:t>
        <w:br/>
        <w:t>to evaluate changes in defects around documented calibration deployments (version-tagged interventions). These extensions require a</w:t>
        <w:br/>
        <w:t>multi-year panel of diagnostics and neighborhood indicators; only partial year coverage is included in the current extract set.</w:t>
      </w:r>
    </w:p>
    <w:p>
      <w:pPr>
        <w:pStyle w:val="Heading1"/>
      </w:pPr>
      <w:r>
        <w:t>6. Results</w:t>
      </w:r>
    </w:p>
    <w:p>
      <w:pPr>
        <w:pStyle w:val="Heading2"/>
      </w:pPr>
      <w:r>
        <w:t>6.1 Vertical equity stress: tilt diagnostics across subsets (2024)</w:t>
      </w:r>
    </w:p>
    <w:p>
      <w:r>
        <w:t>Across the 35 evaluated subsets (908 sales), 40.0% show statistically significant log-price tilt at the 5% level. The median tilt</w:t>
        <w:br/>
        <w:t>coefficient is -0.459. A negative tilt coefficient indicates that ratios decline with price within the subset</w:t>
        <w:br/>
        <w:t>(i.e., higher-priced properties tend to be under-assessed relative to lower-priced properties, conditional on the subset definition).</w:t>
        <w:br/>
        <w:t>These results support the operational premise that vertical equity stress is not uniform: it concentrates in specific market slices and</w:t>
        <w:br/>
        <w:t>is therefore best managed via targeted calibration rather than broad, undifferentiated changes.</w:t>
      </w:r>
    </w:p>
    <w:p>
      <w:pPr>
        <w:pStyle w:val="Heading3"/>
      </w:pPr>
      <w:r>
        <w:t>Table 5. Top 10 subsets by |tilt| (from 2024 all-subsets diagnostics)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subset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n_sales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median_ratio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tilt_beta_lnprice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tilt_pvalue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median_price</w:t>
            </w:r>
          </w:p>
        </w:tc>
      </w:tr>
      <w:tr>
        <w:tc>
          <w:tcPr>
            <w:tcW w:type="dxa" w:w="1080"/>
          </w:tcPr>
          <w:p>
            <w:r>
              <w:t>211.0000</w:t>
            </w:r>
          </w:p>
        </w:tc>
        <w:tc>
          <w:tcPr>
            <w:tcW w:type="dxa" w:w="1080"/>
          </w:tcPr>
          <w:p>
            <w:r>
              <w:t>20.0000</w:t>
            </w:r>
          </w:p>
        </w:tc>
        <w:tc>
          <w:tcPr>
            <w:tcW w:type="dxa" w:w="1080"/>
          </w:tcPr>
          <w:p>
            <w:r>
              <w:t>1.0197</w:t>
            </w:r>
          </w:p>
        </w:tc>
        <w:tc>
          <w:tcPr>
            <w:tcW w:type="dxa" w:w="1080"/>
          </w:tcPr>
          <w:p>
            <w:r>
              <w:t>7.9845</w:t>
            </w:r>
          </w:p>
        </w:tc>
        <w:tc>
          <w:tcPr>
            <w:tcW w:type="dxa" w:w="1080"/>
          </w:tcPr>
          <w:p>
            <w:r>
              <w:t>0.9988</w:t>
            </w:r>
          </w:p>
        </w:tc>
        <w:tc>
          <w:tcPr>
            <w:tcW w:type="dxa" w:w="1080"/>
          </w:tcPr>
          <w:p>
            <w:r>
              <w:t>-0.8088</w:t>
            </w:r>
          </w:p>
        </w:tc>
        <w:tc>
          <w:tcPr>
            <w:tcW w:type="dxa" w:w="1080"/>
          </w:tcPr>
          <w:p>
            <w:r>
              <w:t>0.0096</w:t>
            </w:r>
          </w:p>
        </w:tc>
        <w:tc>
          <w:tcPr>
            <w:tcW w:type="dxa" w:w="1080"/>
          </w:tcPr>
          <w:p>
            <w:r>
              <w:t>594,950.0000</w:t>
            </w:r>
          </w:p>
        </w:tc>
      </w:tr>
      <w:tr>
        <w:tc>
          <w:tcPr>
            <w:tcW w:type="dxa" w:w="1080"/>
          </w:tcPr>
          <w:p>
            <w:r>
              <w:t>109.0000</w:t>
            </w:r>
          </w:p>
        </w:tc>
        <w:tc>
          <w:tcPr>
            <w:tcW w:type="dxa" w:w="1080"/>
          </w:tcPr>
          <w:p>
            <w:r>
              <w:t>34.0000</w:t>
            </w:r>
          </w:p>
        </w:tc>
        <w:tc>
          <w:tcPr>
            <w:tcW w:type="dxa" w:w="1080"/>
          </w:tcPr>
          <w:p>
            <w:r>
              <w:t>0.9108</w:t>
            </w:r>
          </w:p>
        </w:tc>
        <w:tc>
          <w:tcPr>
            <w:tcW w:type="dxa" w:w="1080"/>
          </w:tcPr>
          <w:p>
            <w:r>
              <w:t>6.5897</w:t>
            </w:r>
          </w:p>
        </w:tc>
        <w:tc>
          <w:tcPr>
            <w:tcW w:type="dxa" w:w="1080"/>
          </w:tcPr>
          <w:p>
            <w:r>
              <w:t>1.0066</w:t>
            </w:r>
          </w:p>
        </w:tc>
        <w:tc>
          <w:tcPr>
            <w:tcW w:type="dxa" w:w="1080"/>
          </w:tcPr>
          <w:p>
            <w:r>
              <w:t>-0.6901</w:t>
            </w:r>
          </w:p>
        </w:tc>
        <w:tc>
          <w:tcPr>
            <w:tcW w:type="dxa" w:w="1080"/>
          </w:tcPr>
          <w:p>
            <w:r>
              <w:t>0.0001</w:t>
            </w:r>
          </w:p>
        </w:tc>
        <w:tc>
          <w:tcPr>
            <w:tcW w:type="dxa" w:w="1080"/>
          </w:tcPr>
          <w:p>
            <w:r>
              <w:t>377,500.0000</w:t>
            </w:r>
          </w:p>
        </w:tc>
      </w:tr>
      <w:tr>
        <w:tc>
          <w:tcPr>
            <w:tcW w:type="dxa" w:w="1080"/>
          </w:tcPr>
          <w:p>
            <w:r>
              <w:t>146.0000</w:t>
            </w:r>
          </w:p>
        </w:tc>
        <w:tc>
          <w:tcPr>
            <w:tcW w:type="dxa" w:w="1080"/>
          </w:tcPr>
          <w:p>
            <w:r>
              <w:t>16.0000</w:t>
            </w:r>
          </w:p>
        </w:tc>
        <w:tc>
          <w:tcPr>
            <w:tcW w:type="dxa" w:w="1080"/>
          </w:tcPr>
          <w:p>
            <w:r>
              <w:t>0.9113</w:t>
            </w:r>
          </w:p>
        </w:tc>
        <w:tc>
          <w:tcPr>
            <w:tcW w:type="dxa" w:w="1080"/>
          </w:tcPr>
          <w:p>
            <w:r>
              <w:t>10.0091</w:t>
            </w:r>
          </w:p>
        </w:tc>
        <w:tc>
          <w:tcPr>
            <w:tcW w:type="dxa" w:w="1080"/>
          </w:tcPr>
          <w:p>
            <w:r>
              <w:t>1.0169</w:t>
            </w:r>
          </w:p>
        </w:tc>
        <w:tc>
          <w:tcPr>
            <w:tcW w:type="dxa" w:w="1080"/>
          </w:tcPr>
          <w:p>
            <w:r>
              <w:t>-0.6103</w:t>
            </w:r>
          </w:p>
        </w:tc>
        <w:tc>
          <w:tcPr>
            <w:tcW w:type="dxa" w:w="1080"/>
          </w:tcPr>
          <w:p>
            <w:r>
              <w:t>0.0192</w:t>
            </w:r>
          </w:p>
        </w:tc>
        <w:tc>
          <w:tcPr>
            <w:tcW w:type="dxa" w:w="1080"/>
          </w:tcPr>
          <w:p>
            <w:r>
              <w:t>435,250.0000</w:t>
            </w:r>
          </w:p>
        </w:tc>
      </w:tr>
      <w:tr>
        <w:tc>
          <w:tcPr>
            <w:tcW w:type="dxa" w:w="1080"/>
          </w:tcPr>
          <w:p>
            <w:r>
              <w:t>110.0000</w:t>
            </w:r>
          </w:p>
        </w:tc>
        <w:tc>
          <w:tcPr>
            <w:tcW w:type="dxa" w:w="1080"/>
          </w:tcPr>
          <w:p>
            <w:r>
              <w:t>63.0000</w:t>
            </w:r>
          </w:p>
        </w:tc>
        <w:tc>
          <w:tcPr>
            <w:tcW w:type="dxa" w:w="1080"/>
          </w:tcPr>
          <w:p>
            <w:r>
              <w:t>0.9562</w:t>
            </w:r>
          </w:p>
        </w:tc>
        <w:tc>
          <w:tcPr>
            <w:tcW w:type="dxa" w:w="1080"/>
          </w:tcPr>
          <w:p>
            <w:r>
              <w:t>5.7942</w:t>
            </w:r>
          </w:p>
        </w:tc>
        <w:tc>
          <w:tcPr>
            <w:tcW w:type="dxa" w:w="1080"/>
          </w:tcPr>
          <w:p>
            <w:r>
              <w:t>1.0028</w:t>
            </w:r>
          </w:p>
        </w:tc>
        <w:tc>
          <w:tcPr>
            <w:tcW w:type="dxa" w:w="1080"/>
          </w:tcPr>
          <w:p>
            <w:r>
              <w:t>-0.5520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435,000.0000</w:t>
            </w:r>
          </w:p>
        </w:tc>
      </w:tr>
      <w:tr>
        <w:tc>
          <w:tcPr>
            <w:tcW w:type="dxa" w:w="1080"/>
          </w:tcPr>
          <w:p>
            <w:r>
              <w:t>107.0000</w:t>
            </w:r>
          </w:p>
        </w:tc>
        <w:tc>
          <w:tcPr>
            <w:tcW w:type="dxa" w:w="1080"/>
          </w:tcPr>
          <w:p>
            <w:r>
              <w:t>50.0000</w:t>
            </w:r>
          </w:p>
        </w:tc>
        <w:tc>
          <w:tcPr>
            <w:tcW w:type="dxa" w:w="1080"/>
          </w:tcPr>
          <w:p>
            <w:r>
              <w:t>0.9062</w:t>
            </w:r>
          </w:p>
        </w:tc>
        <w:tc>
          <w:tcPr>
            <w:tcW w:type="dxa" w:w="1080"/>
          </w:tcPr>
          <w:p>
            <w:r>
              <w:t>7.6646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-0.5272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382,450.0000</w:t>
            </w:r>
          </w:p>
        </w:tc>
      </w:tr>
      <w:tr>
        <w:tc>
          <w:tcPr>
            <w:tcW w:type="dxa" w:w="1080"/>
          </w:tcPr>
          <w:p>
            <w:r>
              <w:t>532.0000</w:t>
            </w:r>
          </w:p>
        </w:tc>
        <w:tc>
          <w:tcPr>
            <w:tcW w:type="dxa" w:w="1080"/>
          </w:tcPr>
          <w:p>
            <w:r>
              <w:t>42.0000</w:t>
            </w:r>
          </w:p>
        </w:tc>
        <w:tc>
          <w:tcPr>
            <w:tcW w:type="dxa" w:w="1080"/>
          </w:tcPr>
          <w:p>
            <w:r>
              <w:t>0.9805</w:t>
            </w:r>
          </w:p>
        </w:tc>
        <w:tc>
          <w:tcPr>
            <w:tcW w:type="dxa" w:w="1080"/>
          </w:tcPr>
          <w:p>
            <w:r>
              <w:t>3.3546</w:t>
            </w:r>
          </w:p>
        </w:tc>
        <w:tc>
          <w:tcPr>
            <w:tcW w:type="dxa" w:w="1080"/>
          </w:tcPr>
          <w:p>
            <w:r>
              <w:t>1.0014</w:t>
            </w:r>
          </w:p>
        </w:tc>
        <w:tc>
          <w:tcPr>
            <w:tcW w:type="dxa" w:w="1080"/>
          </w:tcPr>
          <w:p>
            <w:r>
              <w:t>-0.5075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394,994.5000</w:t>
            </w:r>
          </w:p>
        </w:tc>
      </w:tr>
      <w:tr>
        <w:tc>
          <w:tcPr>
            <w:tcW w:type="dxa" w:w="1080"/>
          </w:tcPr>
          <w:p>
            <w:r>
              <w:t>105.0000</w:t>
            </w:r>
          </w:p>
        </w:tc>
        <w:tc>
          <w:tcPr>
            <w:tcW w:type="dxa" w:w="1080"/>
          </w:tcPr>
          <w:p>
            <w:r>
              <w:t>46.0000</w:t>
            </w:r>
          </w:p>
        </w:tc>
        <w:tc>
          <w:tcPr>
            <w:tcW w:type="dxa" w:w="1080"/>
          </w:tcPr>
          <w:p>
            <w:r>
              <w:t>0.8949</w:t>
            </w:r>
          </w:p>
        </w:tc>
        <w:tc>
          <w:tcPr>
            <w:tcW w:type="dxa" w:w="1080"/>
          </w:tcPr>
          <w:p>
            <w:r>
              <w:t>10.5883</w:t>
            </w:r>
          </w:p>
        </w:tc>
        <w:tc>
          <w:tcPr>
            <w:tcW w:type="dxa" w:w="1080"/>
          </w:tcPr>
          <w:p>
            <w:r>
              <w:t>1.0034</w:t>
            </w:r>
          </w:p>
        </w:tc>
        <w:tc>
          <w:tcPr>
            <w:tcW w:type="dxa" w:w="1080"/>
          </w:tcPr>
          <w:p>
            <w:r>
              <w:t>-0.4837</w:t>
            </w:r>
          </w:p>
        </w:tc>
        <w:tc>
          <w:tcPr>
            <w:tcW w:type="dxa" w:w="1080"/>
          </w:tcPr>
          <w:p>
            <w:r>
              <w:t>0.0011</w:t>
            </w:r>
          </w:p>
        </w:tc>
        <w:tc>
          <w:tcPr>
            <w:tcW w:type="dxa" w:w="1080"/>
          </w:tcPr>
          <w:p>
            <w:r>
              <w:t>306,950.0000</w:t>
            </w:r>
          </w:p>
        </w:tc>
      </w:tr>
      <w:tr>
        <w:tc>
          <w:tcPr>
            <w:tcW w:type="dxa" w:w="1080"/>
          </w:tcPr>
          <w:p>
            <w:r>
              <w:t>209.0000</w:t>
            </w:r>
          </w:p>
        </w:tc>
        <w:tc>
          <w:tcPr>
            <w:tcW w:type="dxa" w:w="1080"/>
          </w:tcPr>
          <w:p>
            <w:r>
              <w:t>26.0000</w:t>
            </w:r>
          </w:p>
        </w:tc>
        <w:tc>
          <w:tcPr>
            <w:tcW w:type="dxa" w:w="1080"/>
          </w:tcPr>
          <w:p>
            <w:r>
              <w:t>0.9125</w:t>
            </w:r>
          </w:p>
        </w:tc>
        <w:tc>
          <w:tcPr>
            <w:tcW w:type="dxa" w:w="1080"/>
          </w:tcPr>
          <w:p>
            <w:r>
              <w:t>6.4986</w:t>
            </w:r>
          </w:p>
        </w:tc>
        <w:tc>
          <w:tcPr>
            <w:tcW w:type="dxa" w:w="1080"/>
          </w:tcPr>
          <w:p>
            <w:r>
              <w:t>1.0034</w:t>
            </w:r>
          </w:p>
        </w:tc>
        <w:tc>
          <w:tcPr>
            <w:tcW w:type="dxa" w:w="1080"/>
          </w:tcPr>
          <w:p>
            <w:r>
              <w:t>-0.4686</w:t>
            </w:r>
          </w:p>
        </w:tc>
        <w:tc>
          <w:tcPr>
            <w:tcW w:type="dxa" w:w="1080"/>
          </w:tcPr>
          <w:p>
            <w:r>
              <w:t>0.0002</w:t>
            </w:r>
          </w:p>
        </w:tc>
        <w:tc>
          <w:tcPr>
            <w:tcW w:type="dxa" w:w="1080"/>
          </w:tcPr>
          <w:p>
            <w:r>
              <w:t>519,000.0000</w:t>
            </w:r>
          </w:p>
        </w:tc>
      </w:tr>
      <w:tr>
        <w:tc>
          <w:tcPr>
            <w:tcW w:type="dxa" w:w="1080"/>
          </w:tcPr>
          <w:p>
            <w:r>
              <w:t>111.0000</w:t>
            </w:r>
          </w:p>
        </w:tc>
        <w:tc>
          <w:tcPr>
            <w:tcW w:type="dxa" w:w="1080"/>
          </w:tcPr>
          <w:p>
            <w:r>
              <w:t>53.0000</w:t>
            </w:r>
          </w:p>
        </w:tc>
        <w:tc>
          <w:tcPr>
            <w:tcW w:type="dxa" w:w="1080"/>
          </w:tcPr>
          <w:p>
            <w:r>
              <w:t>0.9457</w:t>
            </w:r>
          </w:p>
        </w:tc>
        <w:tc>
          <w:tcPr>
            <w:tcW w:type="dxa" w:w="1080"/>
          </w:tcPr>
          <w:p>
            <w:r>
              <w:t>5.9420</w:t>
            </w:r>
          </w:p>
        </w:tc>
        <w:tc>
          <w:tcPr>
            <w:tcW w:type="dxa" w:w="1080"/>
          </w:tcPr>
          <w:p>
            <w:r>
              <w:t>1.0089</w:t>
            </w:r>
          </w:p>
        </w:tc>
        <w:tc>
          <w:tcPr>
            <w:tcW w:type="dxa" w:w="1080"/>
          </w:tcPr>
          <w:p>
            <w:r>
              <w:t>-0.4663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484,900.0000</w:t>
            </w:r>
          </w:p>
        </w:tc>
      </w:tr>
      <w:tr>
        <w:tc>
          <w:tcPr>
            <w:tcW w:type="dxa" w:w="1080"/>
          </w:tcPr>
          <w:p>
            <w:r>
              <w:t>212.0000</w:t>
            </w:r>
          </w:p>
        </w:tc>
        <w:tc>
          <w:tcPr>
            <w:tcW w:type="dxa" w:w="1080"/>
          </w:tcPr>
          <w:p>
            <w:r>
              <w:t>37.0000</w:t>
            </w:r>
          </w:p>
        </w:tc>
        <w:tc>
          <w:tcPr>
            <w:tcW w:type="dxa" w:w="1080"/>
          </w:tcPr>
          <w:p>
            <w:r>
              <w:t>0.9662</w:t>
            </w:r>
          </w:p>
        </w:tc>
        <w:tc>
          <w:tcPr>
            <w:tcW w:type="dxa" w:w="1080"/>
          </w:tcPr>
          <w:p>
            <w:r>
              <w:t>4.2383</w:t>
            </w:r>
          </w:p>
        </w:tc>
        <w:tc>
          <w:tcPr>
            <w:tcW w:type="dxa" w:w="1080"/>
          </w:tcPr>
          <w:p>
            <w:r>
              <w:t>1.0081</w:t>
            </w:r>
          </w:p>
        </w:tc>
        <w:tc>
          <w:tcPr>
            <w:tcW w:type="dxa" w:w="1080"/>
          </w:tcPr>
          <w:p>
            <w:r>
              <w:t>-0.4527</w:t>
            </w:r>
          </w:p>
        </w:tc>
        <w:tc>
          <w:tcPr>
            <w:tcW w:type="dxa" w:w="1080"/>
          </w:tcPr>
          <w:p>
            <w:r>
              <w:t>0.0004</w:t>
            </w:r>
          </w:p>
        </w:tc>
        <w:tc>
          <w:tcPr>
            <w:tcW w:type="dxa" w:w="1080"/>
          </w:tcPr>
          <w:p>
            <w:r>
              <w:t>563,514.0000</w:t>
            </w:r>
          </w:p>
        </w:tc>
      </w:tr>
    </w:tbl>
    <w:p/>
    <w:p>
      <w:pPr>
        <w:pStyle w:val="Heading2"/>
      </w:pPr>
      <w:r>
        <w:t>6.2 Gate-based targeting: Top subsets and recommended calibration focus (Exhibit D/E)</w:t>
      </w:r>
    </w:p>
    <w:p>
      <w:r>
        <w:t>Benton’s governance artifacts translate the diagnostics into a bounded review queue. The Top-5 targeting exhibit provides, for each</w:t>
        <w:br/>
        <w:t>priority subset, a severity label, the tilt magnitude and significance, supporting distribution descriptors (age/sqft/price IQR),</w:t>
        <w:br/>
        <w:t>and a narrative hypothesis about likely drivers. The companion change-list exhibit documents recommended matrix/table identifiers and</w:t>
        <w:br/>
        <w:t>a rationale tied to the failed gates. Together, these exhibits show how diagnostics become structured action: a reviewer can see (i)</w:t>
        <w:br/>
        <w:t>why a subset was flagged, (ii) what levers are implicated, and (iii) what documentation is required before deployment.</w:t>
      </w:r>
    </w:p>
    <w:p>
      <w:pPr>
        <w:pStyle w:val="Heading3"/>
      </w:pPr>
      <w:r>
        <w:t>Table 6. Calibration target list (as provided in Exhibit 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</w:rPr>
              <w:t>subset</w:t>
            </w:r>
          </w:p>
        </w:tc>
        <w:tc>
          <w:tcPr>
            <w:tcW w:type="dxa" w:w="7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720"/>
          </w:tcPr>
          <w:p>
            <w:r>
              <w:rPr>
                <w:b/>
              </w:rPr>
              <w:t>n_sales</w:t>
            </w:r>
          </w:p>
        </w:tc>
        <w:tc>
          <w:tcPr>
            <w:tcW w:type="dxa" w:w="720"/>
          </w:tcPr>
          <w:p>
            <w:r>
              <w:rPr>
                <w:b/>
              </w:rPr>
              <w:t>median_ratio</w:t>
            </w:r>
          </w:p>
        </w:tc>
        <w:tc>
          <w:tcPr>
            <w:tcW w:type="dxa" w:w="720"/>
          </w:tcPr>
          <w:p>
            <w:r>
              <w:rPr>
                <w:b/>
              </w:rPr>
              <w:t>COD</w:t>
            </w:r>
          </w:p>
        </w:tc>
        <w:tc>
          <w:tcPr>
            <w:tcW w:type="dxa" w:w="720"/>
          </w:tcPr>
          <w:p>
            <w:r>
              <w:rPr>
                <w:b/>
              </w:rPr>
              <w:t>PRD</w:t>
            </w:r>
          </w:p>
        </w:tc>
        <w:tc>
          <w:tcPr>
            <w:tcW w:type="dxa" w:w="720"/>
          </w:tcPr>
          <w:p>
            <w:r>
              <w:rPr>
                <w:b/>
              </w:rPr>
              <w:t>tilt_beta_lnprice</w:t>
            </w:r>
          </w:p>
        </w:tc>
        <w:tc>
          <w:tcPr>
            <w:tcW w:type="dxa" w:w="720"/>
          </w:tcPr>
          <w:p>
            <w:r>
              <w:rPr>
                <w:b/>
              </w:rPr>
              <w:t>tilt_pvalue</w:t>
            </w:r>
          </w:p>
        </w:tc>
        <w:tc>
          <w:tcPr>
            <w:tcW w:type="dxa" w:w="720"/>
          </w:tcPr>
          <w:p>
            <w:r>
              <w:rPr>
                <w:b/>
              </w:rPr>
              <w:t>median_price</w:t>
            </w:r>
          </w:p>
        </w:tc>
        <w:tc>
          <w:tcPr>
            <w:tcW w:type="dxa" w:w="72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720"/>
          </w:tcPr>
          <w:p>
            <w:r>
              <w:rPr>
                <w:b/>
              </w:rPr>
              <w:t>hypothesis</w:t>
            </w:r>
          </w:p>
        </w:tc>
        <w:tc>
          <w:tcPr>
            <w:tcW w:type="dxa" w:w="720"/>
          </w:tcPr>
          <w:p>
            <w:r>
              <w:rPr>
                <w:b/>
              </w:rPr>
              <w:t>recommended_matrix_ids</w:t>
            </w:r>
          </w:p>
        </w:tc>
      </w:tr>
      <w:tr>
        <w:tc>
          <w:tcPr>
            <w:tcW w:type="dxa" w:w="720"/>
          </w:tcPr>
          <w:p>
            <w:r>
              <w:t>211</w:t>
            </w:r>
          </w:p>
        </w:tc>
        <w:tc>
          <w:tcPr>
            <w:tcW w:type="dxa" w:w="720"/>
          </w:tcPr>
          <w:p>
            <w:r>
              <w:t>Severe</w:t>
            </w:r>
          </w:p>
        </w:tc>
        <w:tc>
          <w:tcPr>
            <w:tcW w:type="dxa" w:w="720"/>
          </w:tcPr>
          <w:p>
            <w:r>
              <w:t>20</w:t>
            </w:r>
          </w:p>
        </w:tc>
        <w:tc>
          <w:tcPr>
            <w:tcW w:type="dxa" w:w="720"/>
          </w:tcPr>
          <w:p>
            <w:r>
              <w:t>1.0197</w:t>
            </w:r>
          </w:p>
        </w:tc>
        <w:tc>
          <w:tcPr>
            <w:tcW w:type="dxa" w:w="720"/>
          </w:tcPr>
          <w:p>
            <w:r>
              <w:t>7.9845</w:t>
            </w:r>
          </w:p>
        </w:tc>
        <w:tc>
          <w:tcPr>
            <w:tcW w:type="dxa" w:w="720"/>
          </w:tcPr>
          <w:p>
            <w:r>
              <w:t>0.9988</w:t>
            </w:r>
          </w:p>
        </w:tc>
        <w:tc>
          <w:tcPr>
            <w:tcW w:type="dxa" w:w="720"/>
          </w:tcPr>
          <w:p>
            <w:r>
              <w:t>-0.8088</w:t>
            </w:r>
          </w:p>
        </w:tc>
        <w:tc>
          <w:tcPr>
            <w:tcW w:type="dxa" w:w="720"/>
          </w:tcPr>
          <w:p>
            <w:r>
              <w:t>0.0096</w:t>
            </w:r>
          </w:p>
        </w:tc>
        <w:tc>
          <w:tcPr>
            <w:tcW w:type="dxa" w:w="720"/>
          </w:tcPr>
          <w:p>
            <w:r>
              <w:t>594,950.0000</w:t>
            </w:r>
          </w:p>
        </w:tc>
        <w:tc>
          <w:tcPr>
            <w:tcW w:type="dxa" w:w="720"/>
          </w:tcPr>
          <w:p>
            <w:r>
              <w:t>Finish/remodel proxies, Segmentation review</w:t>
            </w:r>
          </w:p>
        </w:tc>
        <w:tc>
          <w:tcPr>
            <w:tcW w:type="dxa" w:w="720"/>
          </w:tcPr>
          <w:p>
            <w:r>
              <w:t>Condition mostly one code -&gt; condition proxy may be too coarse; unobserved finish/remodel likely.</w:t>
            </w:r>
          </w:p>
        </w:tc>
        <w:tc>
          <w:tcPr>
            <w:tcW w:type="dxa" w:w="720"/>
          </w:tcPr>
          <w:p>
            <w:r>
              <w:t>1598, 3249, 3251, 3253, 3260, 3262, 3263, 3265, 3266, 3267, 3296, 3300, 3320, 3789, 3790, 3791, 3792, 3793, 3794, 3805, 3806, 3807, 3808, 3809, 3810, 3811, 3812, 3813, 3814, 3815, 3816, 3817, 3818, 3823</w:t>
            </w:r>
          </w:p>
        </w:tc>
      </w:tr>
      <w:tr>
        <w:tc>
          <w:tcPr>
            <w:tcW w:type="dxa" w:w="720"/>
          </w:tcPr>
          <w:p>
            <w:r>
              <w:t>109</w:t>
            </w:r>
          </w:p>
        </w:tc>
        <w:tc>
          <w:tcPr>
            <w:tcW w:type="dxa" w:w="720"/>
          </w:tcPr>
          <w:p>
            <w:r>
              <w:t>Severe</w:t>
            </w:r>
          </w:p>
        </w:tc>
        <w:tc>
          <w:tcPr>
            <w:tcW w:type="dxa" w:w="720"/>
          </w:tcPr>
          <w:p>
            <w:r>
              <w:t>34</w:t>
            </w:r>
          </w:p>
        </w:tc>
        <w:tc>
          <w:tcPr>
            <w:tcW w:type="dxa" w:w="720"/>
          </w:tcPr>
          <w:p>
            <w:r>
              <w:t>0.9108</w:t>
            </w:r>
          </w:p>
        </w:tc>
        <w:tc>
          <w:tcPr>
            <w:tcW w:type="dxa" w:w="720"/>
          </w:tcPr>
          <w:p>
            <w:r>
              <w:t>6.5897</w:t>
            </w:r>
          </w:p>
        </w:tc>
        <w:tc>
          <w:tcPr>
            <w:tcW w:type="dxa" w:w="720"/>
          </w:tcPr>
          <w:p>
            <w:r>
              <w:t>1.0066</w:t>
            </w:r>
          </w:p>
        </w:tc>
        <w:tc>
          <w:tcPr>
            <w:tcW w:type="dxa" w:w="720"/>
          </w:tcPr>
          <w:p>
            <w:r>
              <w:t>-0.6901</w:t>
            </w:r>
          </w:p>
        </w:tc>
        <w:tc>
          <w:tcPr>
            <w:tcW w:type="dxa" w:w="720"/>
          </w:tcPr>
          <w:p>
            <w:r>
              <w:t>0.0001</w:t>
            </w:r>
          </w:p>
        </w:tc>
        <w:tc>
          <w:tcPr>
            <w:tcW w:type="dxa" w:w="720"/>
          </w:tcPr>
          <w:p>
            <w:r>
              <w:t>377,500.0000</w:t>
            </w:r>
          </w:p>
        </w:tc>
        <w:tc>
          <w:tcPr>
            <w:tcW w:type="dxa" w:w="720"/>
          </w:tcPr>
          <w:p>
            <w:r>
              <w:t>Finish/remodel proxies</w:t>
            </w:r>
          </w:p>
        </w:tc>
        <w:tc>
          <w:tcPr>
            <w:tcW w:type="dxa" w:w="720"/>
          </w:tcPr>
          <w:p>
            <w:r>
              <w:t>Condition mostly one code -&gt; condition proxy may be too coarse; unobserved finish/remodel likely.</w:t>
            </w:r>
          </w:p>
        </w:tc>
        <w:tc>
          <w:tcPr>
            <w:tcW w:type="dxa" w:w="720"/>
          </w:tcPr>
          <w:p>
            <w:r>
              <w:t>1598, 3249, 3251, 3253, 3260, 3262, 3263, 3265, 3266, 3267, 3296, 3300, 3789, 3790, 3791, 3792, 3793, 3794, 3807, 3808, 3809, 3810, 3811, 3812, 3813, 3814, 3823</w:t>
            </w:r>
          </w:p>
        </w:tc>
      </w:tr>
      <w:tr>
        <w:tc>
          <w:tcPr>
            <w:tcW w:type="dxa" w:w="720"/>
          </w:tcPr>
          <w:p>
            <w:r>
              <w:t>146</w:t>
            </w:r>
          </w:p>
        </w:tc>
        <w:tc>
          <w:tcPr>
            <w:tcW w:type="dxa" w:w="720"/>
          </w:tcPr>
          <w:p>
            <w:r>
              <w:t>Severe</w:t>
            </w:r>
          </w:p>
        </w:tc>
        <w:tc>
          <w:tcPr>
            <w:tcW w:type="dxa" w:w="720"/>
          </w:tcPr>
          <w:p>
            <w:r>
              <w:t>16</w:t>
            </w:r>
          </w:p>
        </w:tc>
        <w:tc>
          <w:tcPr>
            <w:tcW w:type="dxa" w:w="720"/>
          </w:tcPr>
          <w:p>
            <w:r>
              <w:t>0.9113</w:t>
            </w:r>
          </w:p>
        </w:tc>
        <w:tc>
          <w:tcPr>
            <w:tcW w:type="dxa" w:w="720"/>
          </w:tcPr>
          <w:p>
            <w:r>
              <w:t>10.0091</w:t>
            </w:r>
          </w:p>
        </w:tc>
        <w:tc>
          <w:tcPr>
            <w:tcW w:type="dxa" w:w="720"/>
          </w:tcPr>
          <w:p>
            <w:r>
              <w:t>1.0169</w:t>
            </w:r>
          </w:p>
        </w:tc>
        <w:tc>
          <w:tcPr>
            <w:tcW w:type="dxa" w:w="720"/>
          </w:tcPr>
          <w:p>
            <w:r>
              <w:t>-0.6103</w:t>
            </w:r>
          </w:p>
        </w:tc>
        <w:tc>
          <w:tcPr>
            <w:tcW w:type="dxa" w:w="720"/>
          </w:tcPr>
          <w:p>
            <w:r>
              <w:t>0.0192</w:t>
            </w:r>
          </w:p>
        </w:tc>
        <w:tc>
          <w:tcPr>
            <w:tcW w:type="dxa" w:w="720"/>
          </w:tcPr>
          <w:p>
            <w:r>
              <w:t>435,250.0000</w:t>
            </w:r>
          </w:p>
        </w:tc>
        <w:tc>
          <w:tcPr>
            <w:tcW w:type="dxa" w:w="720"/>
          </w:tcPr>
          <w:p>
            <w:r>
              <w:t>Segmentation + outlier/filters</w:t>
            </w:r>
          </w:p>
        </w:tc>
        <w:tc>
          <w:tcPr>
            <w:tcW w:type="dxa" w:w="720"/>
          </w:tcPr>
          <w:p>
            <w:r>
              <w:t>Likely mix of unobserved quality and segmentation heterogeneity; prioritize feature proxies + segment split review.</w:t>
            </w:r>
          </w:p>
        </w:tc>
        <w:tc>
          <w:tcPr>
            <w:tcW w:type="dxa" w:w="720"/>
          </w:tcPr>
          <w:p>
            <w:r>
              <w:t>3789, 3790, 3791, 3792, 3793, 3794, 3823</w:t>
            </w:r>
          </w:p>
        </w:tc>
      </w:tr>
      <w:tr>
        <w:tc>
          <w:tcPr>
            <w:tcW w:type="dxa" w:w="720"/>
          </w:tcPr>
          <w:p>
            <w:r>
              <w:t>110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63</w:t>
            </w:r>
          </w:p>
        </w:tc>
        <w:tc>
          <w:tcPr>
            <w:tcW w:type="dxa" w:w="720"/>
          </w:tcPr>
          <w:p>
            <w:r>
              <w:t>0.9562</w:t>
            </w:r>
          </w:p>
        </w:tc>
        <w:tc>
          <w:tcPr>
            <w:tcW w:type="dxa" w:w="720"/>
          </w:tcPr>
          <w:p>
            <w:r>
              <w:t>5.7942</w:t>
            </w:r>
          </w:p>
        </w:tc>
        <w:tc>
          <w:tcPr>
            <w:tcW w:type="dxa" w:w="720"/>
          </w:tcPr>
          <w:p>
            <w:r>
              <w:t>1.0028</w:t>
            </w:r>
          </w:p>
        </w:tc>
        <w:tc>
          <w:tcPr>
            <w:tcW w:type="dxa" w:w="720"/>
          </w:tcPr>
          <w:p>
            <w:r>
              <w:t>-0.5520</w:t>
            </w:r>
          </w:p>
        </w:tc>
        <w:tc>
          <w:tcPr>
            <w:tcW w:type="dxa" w:w="720"/>
          </w:tcPr>
          <w:p>
            <w:r>
              <w:t>0.0000</w:t>
            </w:r>
          </w:p>
        </w:tc>
        <w:tc>
          <w:tcPr>
            <w:tcW w:type="dxa" w:w="720"/>
          </w:tcPr>
          <w:p>
            <w:r>
              <w:t>435,000.0000</w:t>
            </w:r>
          </w:p>
        </w:tc>
        <w:tc>
          <w:tcPr>
            <w:tcW w:type="dxa" w:w="720"/>
          </w:tcPr>
          <w:p>
            <w:r>
              <w:t>Finish/remodel proxies</w:t>
            </w:r>
          </w:p>
        </w:tc>
        <w:tc>
          <w:tcPr>
            <w:tcW w:type="dxa" w:w="720"/>
          </w:tcPr>
          <w:p>
            <w:r>
              <w:t>Condition mostly one code -&gt; condition proxy may be too coarse; unobserved finish/remodel likely.</w:t>
            </w:r>
          </w:p>
        </w:tc>
        <w:tc>
          <w:tcPr>
            <w:tcW w:type="dxa" w:w="720"/>
          </w:tcPr>
          <w:p>
            <w:r>
              <w:t>1598, 3262, 3267, 3296, 3300, 3789, 3790, 3791, 3792, 3793, 3794, 3823</w:t>
            </w:r>
          </w:p>
        </w:tc>
      </w:tr>
      <w:tr>
        <w:tc>
          <w:tcPr>
            <w:tcW w:type="dxa" w:w="720"/>
          </w:tcPr>
          <w:p>
            <w:r>
              <w:t>107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50</w:t>
            </w:r>
          </w:p>
        </w:tc>
        <w:tc>
          <w:tcPr>
            <w:tcW w:type="dxa" w:w="720"/>
          </w:tcPr>
          <w:p>
            <w:r>
              <w:t>0.9062</w:t>
            </w:r>
          </w:p>
        </w:tc>
        <w:tc>
          <w:tcPr>
            <w:tcW w:type="dxa" w:w="720"/>
          </w:tcPr>
          <w:p>
            <w:r>
              <w:t>7.6646</w:t>
            </w:r>
          </w:p>
        </w:tc>
        <w:tc>
          <w:tcPr>
            <w:tcW w:type="dxa" w:w="720"/>
          </w:tcPr>
          <w:p>
            <w:r>
              <w:t>1.0000</w:t>
            </w:r>
          </w:p>
        </w:tc>
        <w:tc>
          <w:tcPr>
            <w:tcW w:type="dxa" w:w="720"/>
          </w:tcPr>
          <w:p>
            <w:r>
              <w:t>-0.5272</w:t>
            </w:r>
          </w:p>
        </w:tc>
        <w:tc>
          <w:tcPr>
            <w:tcW w:type="dxa" w:w="720"/>
          </w:tcPr>
          <w:p>
            <w:r>
              <w:t>0.0000</w:t>
            </w:r>
          </w:p>
        </w:tc>
        <w:tc>
          <w:tcPr>
            <w:tcW w:type="dxa" w:w="720"/>
          </w:tcPr>
          <w:p>
            <w:r>
              <w:t>382,450.0000</w:t>
            </w:r>
          </w:p>
        </w:tc>
        <w:tc>
          <w:tcPr>
            <w:tcW w:type="dxa" w:w="720"/>
          </w:tcPr>
          <w:p>
            <w:r>
              <w:t>Finish/remodel proxies, Segmentation review</w:t>
            </w:r>
          </w:p>
        </w:tc>
        <w:tc>
          <w:tcPr>
            <w:tcW w:type="dxa" w:w="720"/>
          </w:tcPr>
          <w:p>
            <w:r>
              <w:t>Likely mix of unobserved quality and segmentation heterogeneity; prioritize feature proxies + segment split review.</w:t>
            </w:r>
          </w:p>
        </w:tc>
        <w:tc>
          <w:tcPr>
            <w:tcW w:type="dxa" w:w="720"/>
          </w:tcPr>
          <w:p>
            <w:r>
              <w:t>1598, 3262, 3267, 3296, 3300, 3789, 3790, 3791, 3792, 3793, 3794, 3823</w:t>
            </w:r>
          </w:p>
        </w:tc>
      </w:tr>
      <w:tr>
        <w:tc>
          <w:tcPr>
            <w:tcW w:type="dxa" w:w="720"/>
          </w:tcPr>
          <w:p>
            <w:r>
              <w:t>532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42</w:t>
            </w:r>
          </w:p>
        </w:tc>
        <w:tc>
          <w:tcPr>
            <w:tcW w:type="dxa" w:w="720"/>
          </w:tcPr>
          <w:p>
            <w:r>
              <w:t>0.9805</w:t>
            </w:r>
          </w:p>
        </w:tc>
        <w:tc>
          <w:tcPr>
            <w:tcW w:type="dxa" w:w="720"/>
          </w:tcPr>
          <w:p>
            <w:r>
              <w:t>3.3546</w:t>
            </w:r>
          </w:p>
        </w:tc>
        <w:tc>
          <w:tcPr>
            <w:tcW w:type="dxa" w:w="720"/>
          </w:tcPr>
          <w:p>
            <w:r>
              <w:t>1.0014</w:t>
            </w:r>
          </w:p>
        </w:tc>
        <w:tc>
          <w:tcPr>
            <w:tcW w:type="dxa" w:w="720"/>
          </w:tcPr>
          <w:p>
            <w:r>
              <w:t>-0.5075</w:t>
            </w:r>
          </w:p>
        </w:tc>
        <w:tc>
          <w:tcPr>
            <w:tcW w:type="dxa" w:w="720"/>
          </w:tcPr>
          <w:p>
            <w:r>
              <w:t>0.0000</w:t>
            </w:r>
          </w:p>
        </w:tc>
        <w:tc>
          <w:tcPr>
            <w:tcW w:type="dxa" w:w="720"/>
          </w:tcPr>
          <w:p>
            <w:r>
              <w:t>394,994.5000</w:t>
            </w:r>
          </w:p>
        </w:tc>
        <w:tc>
          <w:tcPr>
            <w:tcW w:type="dxa" w:w="720"/>
          </w:tcPr>
          <w:p>
            <w:r>
              <w:t>Finish/remodel proxies</w:t>
            </w:r>
          </w:p>
        </w:tc>
        <w:tc>
          <w:tcPr>
            <w:tcW w:type="dxa" w:w="720"/>
          </w:tcPr>
          <w:p>
            <w:r>
              <w:t>Condition not differentiating (single condition code) -&gt; finish/remodel intensity likely unobserved.</w:t>
            </w:r>
          </w:p>
        </w:tc>
        <w:tc>
          <w:tcPr>
            <w:tcW w:type="dxa" w:w="720"/>
          </w:tcPr>
          <w:p>
            <w:r>
              <w:t>1598, 3262, 3267, 3296, 3300, 3789, 3790, 3791, 3792, 3793, 3794, 3823, 3846</w:t>
            </w:r>
          </w:p>
        </w:tc>
      </w:tr>
      <w:tr>
        <w:tc>
          <w:tcPr>
            <w:tcW w:type="dxa" w:w="720"/>
          </w:tcPr>
          <w:p>
            <w:r>
              <w:t>105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46</w:t>
            </w:r>
          </w:p>
        </w:tc>
        <w:tc>
          <w:tcPr>
            <w:tcW w:type="dxa" w:w="720"/>
          </w:tcPr>
          <w:p>
            <w:r>
              <w:t>0.8949</w:t>
            </w:r>
          </w:p>
        </w:tc>
        <w:tc>
          <w:tcPr>
            <w:tcW w:type="dxa" w:w="720"/>
          </w:tcPr>
          <w:p>
            <w:r>
              <w:t>10.5883</w:t>
            </w:r>
          </w:p>
        </w:tc>
        <w:tc>
          <w:tcPr>
            <w:tcW w:type="dxa" w:w="720"/>
          </w:tcPr>
          <w:p>
            <w:r>
              <w:t>1.0034</w:t>
            </w:r>
          </w:p>
        </w:tc>
        <w:tc>
          <w:tcPr>
            <w:tcW w:type="dxa" w:w="720"/>
          </w:tcPr>
          <w:p>
            <w:r>
              <w:t>-0.4837</w:t>
            </w:r>
          </w:p>
        </w:tc>
        <w:tc>
          <w:tcPr>
            <w:tcW w:type="dxa" w:w="720"/>
          </w:tcPr>
          <w:p>
            <w:r>
              <w:t>0.0011</w:t>
            </w:r>
          </w:p>
        </w:tc>
        <w:tc>
          <w:tcPr>
            <w:tcW w:type="dxa" w:w="720"/>
          </w:tcPr>
          <w:p>
            <w:r>
              <w:t>306,950.0000</w:t>
            </w:r>
          </w:p>
        </w:tc>
        <w:tc>
          <w:tcPr>
            <w:tcW w:type="dxa" w:w="720"/>
          </w:tcPr>
          <w:p>
            <w:r>
              <w:t>Segmentation + outlier/filters</w:t>
            </w:r>
          </w:p>
        </w:tc>
        <w:tc>
          <w:tcPr>
            <w:tcW w:type="dxa" w:w="720"/>
          </w:tcPr>
          <w:p>
            <w:r>
              <w:t>Likely mix of unobserved quality and segmentation heterogeneity; prioritize feature proxies + segment split review.</w:t>
            </w:r>
          </w:p>
        </w:tc>
        <w:tc>
          <w:tcPr>
            <w:tcW w:type="dxa" w:w="720"/>
          </w:tcPr>
          <w:p>
            <w:r>
              <w:t>3789, 3790, 3791, 3792, 3793, 3794, 3823</w:t>
            </w:r>
          </w:p>
        </w:tc>
      </w:tr>
      <w:tr>
        <w:tc>
          <w:tcPr>
            <w:tcW w:type="dxa" w:w="720"/>
          </w:tcPr>
          <w:p>
            <w:r>
              <w:t>209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26</w:t>
            </w:r>
          </w:p>
        </w:tc>
        <w:tc>
          <w:tcPr>
            <w:tcW w:type="dxa" w:w="720"/>
          </w:tcPr>
          <w:p>
            <w:r>
              <w:t>0.9125</w:t>
            </w:r>
          </w:p>
        </w:tc>
        <w:tc>
          <w:tcPr>
            <w:tcW w:type="dxa" w:w="720"/>
          </w:tcPr>
          <w:p>
            <w:r>
              <w:t>6.4986</w:t>
            </w:r>
          </w:p>
        </w:tc>
        <w:tc>
          <w:tcPr>
            <w:tcW w:type="dxa" w:w="720"/>
          </w:tcPr>
          <w:p>
            <w:r>
              <w:t>1.0034</w:t>
            </w:r>
          </w:p>
        </w:tc>
        <w:tc>
          <w:tcPr>
            <w:tcW w:type="dxa" w:w="720"/>
          </w:tcPr>
          <w:p>
            <w:r>
              <w:t>-0.4686</w:t>
            </w:r>
          </w:p>
        </w:tc>
        <w:tc>
          <w:tcPr>
            <w:tcW w:type="dxa" w:w="720"/>
          </w:tcPr>
          <w:p>
            <w:r>
              <w:t>0.0002</w:t>
            </w:r>
          </w:p>
        </w:tc>
        <w:tc>
          <w:tcPr>
            <w:tcW w:type="dxa" w:w="720"/>
          </w:tcPr>
          <w:p>
            <w:r>
              <w:t>519,000.0000</w:t>
            </w:r>
          </w:p>
        </w:tc>
        <w:tc>
          <w:tcPr>
            <w:tcW w:type="dxa" w:w="720"/>
          </w:tcPr>
          <w:p>
            <w:r>
              <w:t>Segmentation review</w:t>
            </w:r>
          </w:p>
        </w:tc>
        <w:tc>
          <w:tcPr>
            <w:tcW w:type="dxa" w:w="720"/>
          </w:tcPr>
          <w:p>
            <w:r>
              <w:t>Likely mix of unobserved quality and segmentation heterogeneity; prioritize feature proxies + segment split review.</w:t>
            </w:r>
          </w:p>
        </w:tc>
        <w:tc>
          <w:tcPr>
            <w:tcW w:type="dxa" w:w="720"/>
          </w:tcPr>
          <w:p>
            <w:r>
              <w:t>3789, 3790, 3791, 3792, 3793, 3794, 3805, 3806, 3823</w:t>
            </w:r>
          </w:p>
        </w:tc>
      </w:tr>
      <w:tr>
        <w:tc>
          <w:tcPr>
            <w:tcW w:type="dxa" w:w="720"/>
          </w:tcPr>
          <w:p>
            <w:r>
              <w:t>111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53</w:t>
            </w:r>
          </w:p>
        </w:tc>
        <w:tc>
          <w:tcPr>
            <w:tcW w:type="dxa" w:w="720"/>
          </w:tcPr>
          <w:p>
            <w:r>
              <w:t>0.9457</w:t>
            </w:r>
          </w:p>
        </w:tc>
        <w:tc>
          <w:tcPr>
            <w:tcW w:type="dxa" w:w="720"/>
          </w:tcPr>
          <w:p>
            <w:r>
              <w:t>5.9420</w:t>
            </w:r>
          </w:p>
        </w:tc>
        <w:tc>
          <w:tcPr>
            <w:tcW w:type="dxa" w:w="720"/>
          </w:tcPr>
          <w:p>
            <w:r>
              <w:t>1.0089</w:t>
            </w:r>
          </w:p>
        </w:tc>
        <w:tc>
          <w:tcPr>
            <w:tcW w:type="dxa" w:w="720"/>
          </w:tcPr>
          <w:p>
            <w:r>
              <w:t>-0.4663</w:t>
            </w:r>
          </w:p>
        </w:tc>
        <w:tc>
          <w:tcPr>
            <w:tcW w:type="dxa" w:w="720"/>
          </w:tcPr>
          <w:p>
            <w:r>
              <w:t>0.0000</w:t>
            </w:r>
          </w:p>
        </w:tc>
        <w:tc>
          <w:tcPr>
            <w:tcW w:type="dxa" w:w="720"/>
          </w:tcPr>
          <w:p>
            <w:r>
              <w:t>484,900.0000</w:t>
            </w:r>
          </w:p>
        </w:tc>
        <w:tc>
          <w:tcPr>
            <w:tcW w:type="dxa" w:w="720"/>
          </w:tcPr>
          <w:p>
            <w:r>
              <w:t>Finish/remodel proxies, Segmentation review</w:t>
            </w:r>
          </w:p>
        </w:tc>
        <w:tc>
          <w:tcPr>
            <w:tcW w:type="dxa" w:w="720"/>
          </w:tcPr>
          <w:p>
            <w:r>
              <w:t>Condition not differentiating (single condition code) -&gt; finish/remodel intensity likely unobserved.</w:t>
            </w:r>
          </w:p>
        </w:tc>
        <w:tc>
          <w:tcPr>
            <w:tcW w:type="dxa" w:w="720"/>
          </w:tcPr>
          <w:p>
            <w:r>
              <w:t>1598, 3262, 3267, 3296, 3300, 3320, 3789, 3790, 3791, 3792, 3793, 3794, 3815, 3816, 3817, 3818, 3823</w:t>
            </w:r>
          </w:p>
        </w:tc>
      </w:tr>
      <w:tr>
        <w:tc>
          <w:tcPr>
            <w:tcW w:type="dxa" w:w="720"/>
          </w:tcPr>
          <w:p>
            <w:r>
              <w:t>212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37</w:t>
            </w:r>
          </w:p>
        </w:tc>
        <w:tc>
          <w:tcPr>
            <w:tcW w:type="dxa" w:w="720"/>
          </w:tcPr>
          <w:p>
            <w:r>
              <w:t>0.9662</w:t>
            </w:r>
          </w:p>
        </w:tc>
        <w:tc>
          <w:tcPr>
            <w:tcW w:type="dxa" w:w="720"/>
          </w:tcPr>
          <w:p>
            <w:r>
              <w:t>4.2383</w:t>
            </w:r>
          </w:p>
        </w:tc>
        <w:tc>
          <w:tcPr>
            <w:tcW w:type="dxa" w:w="720"/>
          </w:tcPr>
          <w:p>
            <w:r>
              <w:t>1.0081</w:t>
            </w:r>
          </w:p>
        </w:tc>
        <w:tc>
          <w:tcPr>
            <w:tcW w:type="dxa" w:w="720"/>
          </w:tcPr>
          <w:p>
            <w:r>
              <w:t>-0.4527</w:t>
            </w:r>
          </w:p>
        </w:tc>
        <w:tc>
          <w:tcPr>
            <w:tcW w:type="dxa" w:w="720"/>
          </w:tcPr>
          <w:p>
            <w:r>
              <w:t>0.0004</w:t>
            </w:r>
          </w:p>
        </w:tc>
        <w:tc>
          <w:tcPr>
            <w:tcW w:type="dxa" w:w="720"/>
          </w:tcPr>
          <w:p>
            <w:r>
              <w:t>563,514.0000</w:t>
            </w:r>
          </w:p>
        </w:tc>
        <w:tc>
          <w:tcPr>
            <w:tcW w:type="dxa" w:w="720"/>
          </w:tcPr>
          <w:p>
            <w:r>
              <w:t>Finish/remodel proxies, Segmentation review</w:t>
            </w:r>
          </w:p>
        </w:tc>
        <w:tc>
          <w:tcPr>
            <w:tcW w:type="dxa" w:w="720"/>
          </w:tcPr>
          <w:p>
            <w:r>
              <w:t>Condition not differentiating (single condition code) -&gt; finish/remodel intensity likely unobserved.</w:t>
            </w:r>
          </w:p>
        </w:tc>
        <w:tc>
          <w:tcPr>
            <w:tcW w:type="dxa" w:w="720"/>
          </w:tcPr>
          <w:p>
            <w:r>
              <w:t>1598, 3249, 3251, 3253, 3260, 3262, 3263, 3265, 3266, 3267, 3296, 3300, 3320, 3789, 3790, 3791, 3792, 3793, 3794, 3805, 3806, 3807, 3808, 3809, 3810, 3811, 3812, 3813, 3814, 3815, 3816, 3817, 3818, 3823, 3846</w:t>
            </w:r>
          </w:p>
        </w:tc>
      </w:tr>
      <w:tr>
        <w:tc>
          <w:tcPr>
            <w:tcW w:type="dxa" w:w="720"/>
          </w:tcPr>
          <w:p>
            <w:r>
              <w:t>210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29</w:t>
            </w:r>
          </w:p>
        </w:tc>
        <w:tc>
          <w:tcPr>
            <w:tcW w:type="dxa" w:w="720"/>
          </w:tcPr>
          <w:p>
            <w:r>
              <w:t>0.9542</w:t>
            </w:r>
          </w:p>
        </w:tc>
        <w:tc>
          <w:tcPr>
            <w:tcW w:type="dxa" w:w="720"/>
          </w:tcPr>
          <w:p>
            <w:r>
              <w:t>5.4472</w:t>
            </w:r>
          </w:p>
        </w:tc>
        <w:tc>
          <w:tcPr>
            <w:tcW w:type="dxa" w:w="720"/>
          </w:tcPr>
          <w:p>
            <w:r>
              <w:t>0.9987</w:t>
            </w:r>
          </w:p>
        </w:tc>
        <w:tc>
          <w:tcPr>
            <w:tcW w:type="dxa" w:w="720"/>
          </w:tcPr>
          <w:p>
            <w:r>
              <w:t>-0.4260</w:t>
            </w:r>
          </w:p>
        </w:tc>
        <w:tc>
          <w:tcPr>
            <w:tcW w:type="dxa" w:w="720"/>
          </w:tcPr>
          <w:p>
            <w:r>
              <w:t>0.0080</w:t>
            </w:r>
          </w:p>
        </w:tc>
        <w:tc>
          <w:tcPr>
            <w:tcW w:type="dxa" w:w="720"/>
          </w:tcPr>
          <w:p>
            <w:r>
              <w:t>482,000.0000</w:t>
            </w:r>
          </w:p>
        </w:tc>
        <w:tc>
          <w:tcPr>
            <w:tcW w:type="dxa" w:w="720"/>
          </w:tcPr>
          <w:p>
            <w:r>
              <w:t>Finish/remodel proxies</w:t>
            </w:r>
          </w:p>
        </w:tc>
        <w:tc>
          <w:tcPr>
            <w:tcW w:type="dxa" w:w="720"/>
          </w:tcPr>
          <w:p>
            <w:r>
              <w:t>Condition mostly one code -&gt; condition proxy may be too coarse; unobserved finish/remodel likely.</w:t>
            </w:r>
          </w:p>
        </w:tc>
        <w:tc>
          <w:tcPr>
            <w:tcW w:type="dxa" w:w="720"/>
          </w:tcPr>
          <w:p>
            <w:r>
              <w:t>1598, 3262, 3267, 3296, 3300, 3789, 3790, 3791, 3792, 3793, 3794, 3823</w:t>
            </w:r>
          </w:p>
        </w:tc>
      </w:tr>
      <w:tr>
        <w:tc>
          <w:tcPr>
            <w:tcW w:type="dxa" w:w="720"/>
          </w:tcPr>
          <w:p>
            <w:r>
              <w:t>145</w:t>
            </w:r>
          </w:p>
        </w:tc>
        <w:tc>
          <w:tcPr>
            <w:tcW w:type="dxa" w:w="720"/>
          </w:tcPr>
          <w:p>
            <w:r>
              <w:t>High</w:t>
            </w:r>
          </w:p>
        </w:tc>
        <w:tc>
          <w:tcPr>
            <w:tcW w:type="dxa" w:w="720"/>
          </w:tcPr>
          <w:p>
            <w:r>
              <w:t>23</w:t>
            </w:r>
          </w:p>
        </w:tc>
        <w:tc>
          <w:tcPr>
            <w:tcW w:type="dxa" w:w="720"/>
          </w:tcPr>
          <w:p>
            <w:r>
              <w:t>0.9428</w:t>
            </w:r>
          </w:p>
        </w:tc>
        <w:tc>
          <w:tcPr>
            <w:tcW w:type="dxa" w:w="720"/>
          </w:tcPr>
          <w:p>
            <w:r>
              <w:t>6.7296</w:t>
            </w:r>
          </w:p>
        </w:tc>
        <w:tc>
          <w:tcPr>
            <w:tcW w:type="dxa" w:w="720"/>
          </w:tcPr>
          <w:p>
            <w:r>
              <w:t>1.0118</w:t>
            </w:r>
          </w:p>
        </w:tc>
        <w:tc>
          <w:tcPr>
            <w:tcW w:type="dxa" w:w="720"/>
          </w:tcPr>
          <w:p>
            <w:r>
              <w:t>-0.4136</w:t>
            </w:r>
          </w:p>
        </w:tc>
        <w:tc>
          <w:tcPr>
            <w:tcW w:type="dxa" w:w="720"/>
          </w:tcPr>
          <w:p>
            <w:r>
              <w:t>0.0066</w:t>
            </w:r>
          </w:p>
        </w:tc>
        <w:tc>
          <w:tcPr>
            <w:tcW w:type="dxa" w:w="720"/>
          </w:tcPr>
          <w:p>
            <w:r>
              <w:t>350,000.0000</w:t>
            </w:r>
          </w:p>
        </w:tc>
        <w:tc>
          <w:tcPr>
            <w:tcW w:type="dxa" w:w="720"/>
          </w:tcPr>
          <w:p>
            <w:r>
              <w:t>Finish/remodel proxies, Segmentation review</w:t>
            </w:r>
          </w:p>
        </w:tc>
        <w:tc>
          <w:tcPr>
            <w:tcW w:type="dxa" w:w="720"/>
          </w:tcPr>
          <w:p>
            <w:r>
              <w:t>Likely mix of unobserved quality and segmentation heterogeneity; prioritize feature proxies + segment split review.</w:t>
            </w:r>
          </w:p>
        </w:tc>
        <w:tc>
          <w:tcPr>
            <w:tcW w:type="dxa" w:w="720"/>
          </w:tcPr>
          <w:p>
            <w:r>
              <w:t>1598, 3262, 3267, 3296, 3300, 3789, 3790, 3791, 3792, 3793, 3794, 3823</w:t>
            </w:r>
          </w:p>
        </w:tc>
      </w:tr>
      <w:tr>
        <w:tc>
          <w:tcPr>
            <w:tcW w:type="dxa" w:w="720"/>
          </w:tcPr>
          <w:p>
            <w:r>
              <w:t>247</w:t>
            </w:r>
          </w:p>
        </w:tc>
        <w:tc>
          <w:tcPr>
            <w:tcW w:type="dxa" w:w="720"/>
          </w:tcPr>
          <w:p>
            <w:r>
              <w:t>Moderate</w:t>
            </w:r>
          </w:p>
        </w:tc>
        <w:tc>
          <w:tcPr>
            <w:tcW w:type="dxa" w:w="720"/>
          </w:tcPr>
          <w:p>
            <w:r>
              <w:t>32</w:t>
            </w:r>
          </w:p>
        </w:tc>
        <w:tc>
          <w:tcPr>
            <w:tcW w:type="dxa" w:w="720"/>
          </w:tcPr>
          <w:p>
            <w:r>
              <w:t>0.8881</w:t>
            </w:r>
          </w:p>
        </w:tc>
        <w:tc>
          <w:tcPr>
            <w:tcW w:type="dxa" w:w="720"/>
          </w:tcPr>
          <w:p>
            <w:r>
              <w:t>5.3403</w:t>
            </w:r>
          </w:p>
        </w:tc>
        <w:tc>
          <w:tcPr>
            <w:tcW w:type="dxa" w:w="720"/>
          </w:tcPr>
          <w:p>
            <w:r>
              <w:t>1.0009</w:t>
            </w:r>
          </w:p>
        </w:tc>
        <w:tc>
          <w:tcPr>
            <w:tcW w:type="dxa" w:w="720"/>
          </w:tcPr>
          <w:p>
            <w:r>
              <w:t>-0.2934</w:t>
            </w:r>
          </w:p>
        </w:tc>
        <w:tc>
          <w:tcPr>
            <w:tcW w:type="dxa" w:w="720"/>
          </w:tcPr>
          <w:p>
            <w:r>
              <w:t>0.0374</w:t>
            </w:r>
          </w:p>
        </w:tc>
        <w:tc>
          <w:tcPr>
            <w:tcW w:type="dxa" w:w="720"/>
          </w:tcPr>
          <w:p>
            <w:r>
              <w:t>431,500.0000</w:t>
            </w:r>
          </w:p>
        </w:tc>
        <w:tc>
          <w:tcPr>
            <w:tcW w:type="dxa" w:w="720"/>
          </w:tcPr>
          <w:p>
            <w:r>
              <w:t>Finish/remodel proxies, Segmentation review</w:t>
            </w:r>
          </w:p>
        </w:tc>
        <w:tc>
          <w:tcPr>
            <w:tcW w:type="dxa" w:w="720"/>
          </w:tcPr>
          <w:p>
            <w:r>
              <w:t>Likely mix of unobserved quality and segmentation heterogeneity; prioritize feature proxies + segment split review.</w:t>
            </w:r>
          </w:p>
        </w:tc>
        <w:tc>
          <w:tcPr>
            <w:tcW w:type="dxa" w:w="720"/>
          </w:tcPr>
          <w:p>
            <w:r>
              <w:t>1598, 3262, 3267, 3296, 3300, 3789, 3790, 3791, 3792, 3793, 3794, 3823</w:t>
            </w:r>
          </w:p>
        </w:tc>
      </w:tr>
      <w:tr>
        <w:tc>
          <w:tcPr>
            <w:tcW w:type="dxa" w:w="720"/>
          </w:tcPr>
          <w:p>
            <w:r>
              <w:t>112</w:t>
            </w:r>
          </w:p>
        </w:tc>
        <w:tc>
          <w:tcPr>
            <w:tcW w:type="dxa" w:w="720"/>
          </w:tcPr>
          <w:p>
            <w:r>
              <w:t>Mild</w:t>
            </w:r>
          </w:p>
        </w:tc>
        <w:tc>
          <w:tcPr>
            <w:tcW w:type="dxa" w:w="720"/>
          </w:tcPr>
          <w:p>
            <w:r>
              <w:t>184</w:t>
            </w:r>
          </w:p>
        </w:tc>
        <w:tc>
          <w:tcPr>
            <w:tcW w:type="dxa" w:w="720"/>
          </w:tcPr>
          <w:p>
            <w:r>
              <w:t>0.9613</w:t>
            </w:r>
          </w:p>
        </w:tc>
        <w:tc>
          <w:tcPr>
            <w:tcW w:type="dxa" w:w="720"/>
          </w:tcPr>
          <w:p>
            <w:r>
              <w:t>4.2238</w:t>
            </w:r>
          </w:p>
        </w:tc>
        <w:tc>
          <w:tcPr>
            <w:tcW w:type="dxa" w:w="720"/>
          </w:tcPr>
          <w:p>
            <w:r>
              <w:t>1.0026</w:t>
            </w:r>
          </w:p>
        </w:tc>
        <w:tc>
          <w:tcPr>
            <w:tcW w:type="dxa" w:w="720"/>
          </w:tcPr>
          <w:p>
            <w:r>
              <w:t>-0.1902</w:t>
            </w:r>
          </w:p>
        </w:tc>
        <w:tc>
          <w:tcPr>
            <w:tcW w:type="dxa" w:w="720"/>
          </w:tcPr>
          <w:p>
            <w:r>
              <w:t>0.0000</w:t>
            </w:r>
          </w:p>
        </w:tc>
        <w:tc>
          <w:tcPr>
            <w:tcW w:type="dxa" w:w="720"/>
          </w:tcPr>
          <w:p>
            <w:r>
              <w:t>494,950.0000</w:t>
            </w:r>
          </w:p>
        </w:tc>
        <w:tc>
          <w:tcPr>
            <w:tcW w:type="dxa" w:w="720"/>
          </w:tcPr>
          <w:p>
            <w:r>
              <w:t>Finish/remodel proxies</w:t>
            </w:r>
          </w:p>
        </w:tc>
        <w:tc>
          <w:tcPr>
            <w:tcW w:type="dxa" w:w="720"/>
          </w:tcPr>
          <w:p>
            <w:r>
              <w:t>Condition not differentiating (single condition code) -&gt; finish/remodel intensity likely unobserved.</w:t>
            </w:r>
          </w:p>
        </w:tc>
        <w:tc>
          <w:tcPr>
            <w:tcW w:type="dxa" w:w="720"/>
          </w:tcPr>
          <w:p>
            <w:r>
              <w:t>1598, 3262, 3267, 3296, 3300, 3789, 3790, 3791, 3792, 3793, 3794, 3823</w:t>
            </w:r>
          </w:p>
        </w:tc>
      </w:tr>
    </w:tbl>
    <w:p/>
    <w:p>
      <w:pPr>
        <w:pStyle w:val="Heading3"/>
      </w:pPr>
      <w:r>
        <w:t>Table 7. Top-5 change list (as provided in Exhibit 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subset</w:t>
            </w:r>
          </w:p>
        </w:tc>
        <w:tc>
          <w:tcPr>
            <w:tcW w:type="dxa" w:w="96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960"/>
          </w:tcPr>
          <w:p>
            <w:r>
              <w:rPr>
                <w:b/>
              </w:rPr>
              <w:t>n_sales</w:t>
            </w:r>
          </w:p>
        </w:tc>
        <w:tc>
          <w:tcPr>
            <w:tcW w:type="dxa" w:w="960"/>
          </w:tcPr>
          <w:p>
            <w:r>
              <w:rPr>
                <w:b/>
              </w:rPr>
              <w:t>median_ratio</w:t>
            </w:r>
          </w:p>
        </w:tc>
        <w:tc>
          <w:tcPr>
            <w:tcW w:type="dxa" w:w="960"/>
          </w:tcPr>
          <w:p>
            <w:r>
              <w:rPr>
                <w:b/>
              </w:rPr>
              <w:t>COD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PRD</w:t>
            </w:r>
          </w:p>
        </w:tc>
        <w:tc>
          <w:tcPr>
            <w:tcW w:type="dxa" w:w="960"/>
          </w:tcPr>
          <w:p>
            <w:r>
              <w:rPr>
                <w:b/>
              </w:rPr>
              <w:t>tilt_beta_lnprice</w:t>
            </w:r>
          </w:p>
        </w:tc>
        <w:tc>
          <w:tcPr>
            <w:tcW w:type="dxa" w:w="960"/>
          </w:tcPr>
          <w:p>
            <w:r>
              <w:rPr>
                <w:b/>
              </w:rPr>
              <w:t>tilt_pvalue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recommended_matrix_ids</w:t>
            </w:r>
          </w:p>
        </w:tc>
      </w:tr>
      <w:tr>
        <w:tc>
          <w:tcPr>
            <w:tcW w:type="dxa" w:w="960"/>
          </w:tcPr>
          <w:p>
            <w:r>
              <w:t>111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53</w:t>
            </w:r>
          </w:p>
        </w:tc>
        <w:tc>
          <w:tcPr>
            <w:tcW w:type="dxa" w:w="960"/>
          </w:tcPr>
          <w:p>
            <w:r>
              <w:t>0.9457</w:t>
            </w:r>
          </w:p>
        </w:tc>
        <w:tc>
          <w:tcPr>
            <w:tcW w:type="dxa" w:w="960"/>
          </w:tcPr>
          <w:p>
            <w:r>
              <w:t>5.9420</w:t>
            </w:r>
          </w:p>
        </w:tc>
        <w:tc>
          <w:tcPr>
            <w:tcW w:type="dxa" w:w="960"/>
          </w:tcPr>
          <w:p>
            <w:r>
              <w:t>1.0089</w:t>
            </w:r>
          </w:p>
        </w:tc>
        <w:tc>
          <w:tcPr>
            <w:tcW w:type="dxa" w:w="960"/>
          </w:tcPr>
          <w:p>
            <w:r>
              <w:t>-0.4663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1598, 3262, 3267, 3296, 3300, 3320, 3789, 3790, 3791, 3792, 3793, 3794, 3815, 3816, 3817, 3818, 3823</w:t>
            </w:r>
          </w:p>
        </w:tc>
      </w:tr>
      <w:tr>
        <w:tc>
          <w:tcPr>
            <w:tcW w:type="dxa" w:w="960"/>
          </w:tcPr>
          <w:p>
            <w:r>
              <w:t>110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63</w:t>
            </w:r>
          </w:p>
        </w:tc>
        <w:tc>
          <w:tcPr>
            <w:tcW w:type="dxa" w:w="960"/>
          </w:tcPr>
          <w:p>
            <w:r>
              <w:t>0.9562</w:t>
            </w:r>
          </w:p>
        </w:tc>
        <w:tc>
          <w:tcPr>
            <w:tcW w:type="dxa" w:w="960"/>
          </w:tcPr>
          <w:p>
            <w:r>
              <w:t>5.7942</w:t>
            </w:r>
          </w:p>
        </w:tc>
        <w:tc>
          <w:tcPr>
            <w:tcW w:type="dxa" w:w="960"/>
          </w:tcPr>
          <w:p>
            <w:r>
              <w:t>1.0028</w:t>
            </w:r>
          </w:p>
        </w:tc>
        <w:tc>
          <w:tcPr>
            <w:tcW w:type="dxa" w:w="960"/>
          </w:tcPr>
          <w:p>
            <w:r>
              <w:t>-0.5520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1598, 3262, 3267, 3296, 3300, 3789, 3790, 3791, 3792, 3793, 3794, 3823</w:t>
            </w:r>
          </w:p>
        </w:tc>
      </w:tr>
      <w:tr>
        <w:tc>
          <w:tcPr>
            <w:tcW w:type="dxa" w:w="960"/>
          </w:tcPr>
          <w:p>
            <w:r>
              <w:t>107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0.9062</w:t>
            </w:r>
          </w:p>
        </w:tc>
        <w:tc>
          <w:tcPr>
            <w:tcW w:type="dxa" w:w="960"/>
          </w:tcPr>
          <w:p>
            <w:r>
              <w:t>7.6646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-0.5272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1598, 3262, 3267, 3296, 3300, 3789, 3790, 3791, 3792, 3793, 3794, 3823</w:t>
            </w:r>
          </w:p>
        </w:tc>
      </w:tr>
      <w:tr>
        <w:tc>
          <w:tcPr>
            <w:tcW w:type="dxa" w:w="960"/>
          </w:tcPr>
          <w:p>
            <w:r>
              <w:t>532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42</w:t>
            </w:r>
          </w:p>
        </w:tc>
        <w:tc>
          <w:tcPr>
            <w:tcW w:type="dxa" w:w="960"/>
          </w:tcPr>
          <w:p>
            <w:r>
              <w:t>0.9805</w:t>
            </w:r>
          </w:p>
        </w:tc>
        <w:tc>
          <w:tcPr>
            <w:tcW w:type="dxa" w:w="960"/>
          </w:tcPr>
          <w:p>
            <w:r>
              <w:t>3.3546</w:t>
            </w:r>
          </w:p>
        </w:tc>
        <w:tc>
          <w:tcPr>
            <w:tcW w:type="dxa" w:w="960"/>
          </w:tcPr>
          <w:p>
            <w:r>
              <w:t>1.0014</w:t>
            </w:r>
          </w:p>
        </w:tc>
        <w:tc>
          <w:tcPr>
            <w:tcW w:type="dxa" w:w="960"/>
          </w:tcPr>
          <w:p>
            <w:r>
              <w:t>-0.5075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1598, 3262, 3267, 3296, 3300, 3789, 3790, 3791, 3792, 3793, 3794, 3823, 3846</w:t>
            </w:r>
          </w:p>
        </w:tc>
      </w:tr>
      <w:tr>
        <w:tc>
          <w:tcPr>
            <w:tcW w:type="dxa" w:w="960"/>
          </w:tcPr>
          <w:p>
            <w:r>
              <w:t>112</w:t>
            </w:r>
          </w:p>
        </w:tc>
        <w:tc>
          <w:tcPr>
            <w:tcW w:type="dxa" w:w="960"/>
          </w:tcPr>
          <w:p>
            <w:r>
              <w:t>Mild</w:t>
            </w:r>
          </w:p>
        </w:tc>
        <w:tc>
          <w:tcPr>
            <w:tcW w:type="dxa" w:w="960"/>
          </w:tcPr>
          <w:p>
            <w:r>
              <w:t>184</w:t>
            </w:r>
          </w:p>
        </w:tc>
        <w:tc>
          <w:tcPr>
            <w:tcW w:type="dxa" w:w="960"/>
          </w:tcPr>
          <w:p>
            <w:r>
              <w:t>0.9613</w:t>
            </w:r>
          </w:p>
        </w:tc>
        <w:tc>
          <w:tcPr>
            <w:tcW w:type="dxa" w:w="960"/>
          </w:tcPr>
          <w:p>
            <w:r>
              <w:t>4.2238</w:t>
            </w:r>
          </w:p>
        </w:tc>
        <w:tc>
          <w:tcPr>
            <w:tcW w:type="dxa" w:w="960"/>
          </w:tcPr>
          <w:p>
            <w:r>
              <w:t>1.0026</w:t>
            </w:r>
          </w:p>
        </w:tc>
        <w:tc>
          <w:tcPr>
            <w:tcW w:type="dxa" w:w="960"/>
          </w:tcPr>
          <w:p>
            <w:r>
              <w:t>-0.1902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1598, 3262, 3267, 3296, 3300, 3789, 3790, 3791, 3792, 3793, 3794, 3823</w:t>
            </w:r>
          </w:p>
        </w:tc>
      </w:tr>
    </w:tbl>
    <w:p/>
    <w:p>
      <w:pPr>
        <w:pStyle w:val="Heading2"/>
      </w:pPr>
      <w:r>
        <w:t>6.3 Tax incidence and distribution: tier and exemption patterns (2022)</w:t>
      </w:r>
    </w:p>
    <w:p>
      <w:r>
        <w:t>The 2022 parcel tax extract shows substantial dispersion in tax bills. The median bill is $2,232,</w:t>
        <w:br/>
        <w:t>with an interquartile range of $683–$3,496. Tier summaries show that median tax bills</w:t>
        <w:br/>
        <w:t>increase sharply across assessed-value tiers, as expected in an ad valorem system. Exempt-flagged parcels have substantially lower</w:t>
        <w:br/>
        <w:t>median assessed values and lower median tax bills in the provided summary.</w:t>
        <w:br/>
        <w:t>These descriptive distributions provide the baseline needed for the more important decomposition question in taxpayer communication:</w:t>
        <w:br/>
        <w:t>how much of a given bill change is value-driven versus levy/rate-driven. In this draft, we provide the decomposition identity and the</w:t>
        <w:br/>
        <w:t>counter-ready workflow (TAX-1); a full year-to-year decomposition requires multi-year taxable value and rate series at parcel-year level.</w:t>
      </w:r>
    </w:p>
    <w:p>
      <w:pPr>
        <w:pStyle w:val="Heading2"/>
      </w:pPr>
      <w:r>
        <w:t>6.4 Linking neighborhood change to QA risk (NC-1) — framework</w:t>
      </w:r>
    </w:p>
    <w:p>
      <w:r>
        <w:t>The neighborhood-change + QA clustering pack (NC-1) is designed to connect market dynamics to where QA issues cluster. It constructs:</w:t>
        <w:br/>
        <w:t>(1) a ChangeIndex from turnover, growth, new construction share, and dispersion; (2) a QARiskIndex from tier gaps, tilt magnitude, PRD</w:t>
        <w:br/>
        <w:t>deviations, and holdout failures; and (3) a PriorityScore to triage neighborhoods for review. The NC-1 runner and appendix were produced</w:t>
        <w:br/>
        <w:t>as part of this project; however, neighborhood-level indicator inputs were not included in the extract set provided for this filled paper.</w:t>
        <w:br/>
        <w:t>In a final publication, NC-1 results would be presented as hotspot maps and ranked tables, then linked back to the calibration changes</w:t>
        <w:br/>
        <w:t>and validation results documented in D/E/F.</w:t>
      </w:r>
    </w:p>
    <w:p>
      <w:pPr>
        <w:pStyle w:val="Heading2"/>
      </w:pPr>
      <w:r>
        <w:t>6.5 Matched-pair equity audit (MP-1) — framework</w:t>
      </w:r>
    </w:p>
    <w:p>
      <w:r>
        <w:t>The matched-pair audit (MP-1) answers a common high-stakes question: “If two homes are the same in observable characteristics, do they</w:t>
        <w:br/>
        <w:t>experience different assessment performance depending on where they are?” The MP-1 runner constructs match cells using sqft/age bands and</w:t>
        <w:br/>
        <w:t>condition/quality/class, computes within-cell differences between two groups, and aggregates those differences with pooled weights.</w:t>
        <w:br/>
        <w:t>This tool is explicitly USPAP-safe as a descriptive QA audit: it does not use protected-class variables as valuation inputs and does not</w:t>
        <w:br/>
        <w:t>claim causal mechanisms. In this filled paper, MP-1 is presented as the recommended deep-dive method for equity-lens analyses after the</w:t>
        <w:br/>
        <w:t>basic tier and subset diagnostics have flagged potential issues.</w:t>
      </w:r>
    </w:p>
    <w:p>
      <w:pPr>
        <w:pStyle w:val="Heading1"/>
      </w:pPr>
      <w:r>
        <w:t>7. Robustness and Sensitivity</w:t>
      </w:r>
    </w:p>
    <w:p>
      <w:r>
        <w:t>To align with best practice and the tone of the academic literature, a final publication should include robustness checks in three domains:</w:t>
      </w:r>
    </w:p>
    <w:p>
      <w:r>
        <w:t>(1) Metric sensitivity: alternative tier definitions (quantiles vs fixed cutpoints), log-error metrics, mean vs median performance measures,</w:t>
        <w:br/>
        <w:t>and alternative vertical equity statistics. (2) Sample sensitivity: alternative sales qualification filters, thin-market pooling rules, and</w:t>
        <w:br/>
        <w:t>placebo time windows. (3) Reporting sensitivity: suppression thresholds for small cells, alternative geographic aggregations, and disclosure</w:t>
        <w:br/>
        <w:t>controls for demographic overlays.</w:t>
      </w:r>
    </w:p>
    <w:p>
      <w:r>
        <w:t>The governance artifacts (D/E/F and SC-1) naturally support robustness because each calibration change is versioned and tied to explicit</w:t>
        <w:br/>
        <w:t>gates; alternative specifications can be evaluated and documented within the same evidence bundle.</w:t>
      </w:r>
    </w:p>
    <w:p>
      <w:pPr>
        <w:pStyle w:val="Heading1"/>
      </w:pPr>
      <w:r>
        <w:t>8. Discussion</w:t>
      </w:r>
    </w:p>
    <w:p>
      <w:pPr>
        <w:pStyle w:val="Heading2"/>
      </w:pPr>
      <w:r>
        <w:t>8.1 Connecting the research framing to operational governance</w:t>
      </w:r>
    </w:p>
    <w:p>
      <w:r>
        <w:t>The RAND neighborhood-change framing emphasizes that housing dynamics can produce unequal burdens, including along racial lines, through</w:t>
        <w:br/>
        <w:t>their interaction with assessment systems. The Berry reassessment framing emphasizes that assessment accuracy is the hinge: systematic errors</w:t>
        <w:br/>
        <w:t>transform the incidence of the property tax, potentially making it regressive or uneven.</w:t>
      </w:r>
    </w:p>
    <w:p>
      <w:r>
        <w:t>Benton’s approach operationalizes both insights. First, it treats market change as a measurable stressor and organizes diagnostics to show where</w:t>
        <w:br/>
        <w:t>performance degrades (subsets, tiers, and ultimately neighborhoods via NC-1). Second, it treats accuracy and vertical equity as governed outcomes:</w:t>
        <w:br/>
        <w:t>diagnostics trigger a bounded set of interventions that must pass holdout validation and produce an audit trail. This is a practical blueprint</w:t>
        <w:br/>
        <w:t>for translating research concerns into defensible administration.</w:t>
      </w:r>
    </w:p>
    <w:p>
      <w:pPr>
        <w:pStyle w:val="Heading2"/>
      </w:pPr>
      <w:r>
        <w:t>8.2 Equity lens without protected-class valuation inputs</w:t>
      </w:r>
    </w:p>
    <w:p>
      <w:r>
        <w:t>A central design choice is separating “measurement” from “modeling.” Protected-class variables should not be used as valuation inputs. However,</w:t>
        <w:br/>
        <w:t>equity concerns can and should be addressed through descriptive measurement: comparing distributions of bill changes and assessment performance</w:t>
        <w:br/>
        <w:t>across geographies, tiers, and matched property profiles, and then using those measurements to prioritize review. When demographic context is used,</w:t>
        <w:br/>
        <w:t>it should be aggregated (e.g., tract/block group), suppressed for privacy, and interpreted cautiously (descriptive, not causal).</w:t>
      </w:r>
    </w:p>
    <w:p>
      <w:pPr>
        <w:pStyle w:val="Heading2"/>
      </w:pPr>
      <w:r>
        <w:t>8.3 Practical implications for taxpayer communication</w:t>
      </w:r>
    </w:p>
    <w:p>
      <w:r>
        <w:t>The largest communication failure in property tax administration is explaining tax bills as if they were caused only by assessment.</w:t>
        <w:br/>
        <w:t>The TAX-1 decomposition provides a direct remedy: it separates the value-driven component of a bill change from the levy/rate-driven component.</w:t>
        <w:br/>
        <w:t>A counter-facing workflow should begin with decomposition, then (if needed) proceed to performance diagnostics (tier plots, subset metrics),</w:t>
        <w:br/>
        <w:t>and only then to governance evidence (what was changed, why, and how it was validated). This sequencing reduces conflict and increases trust.</w:t>
      </w:r>
    </w:p>
    <w:p>
      <w:pPr>
        <w:pStyle w:val="Heading1"/>
      </w:pPr>
      <w:r>
        <w:t>9. Conclusion</w:t>
      </w:r>
    </w:p>
    <w:p>
      <w:r>
        <w:t>This paper provides a research-style framework grounded in Benton County’s operational practice. We connect neighborhood change and housing market</w:t>
        <w:br/>
        <w:t>dynamics to assessment performance and property tax outcomes using a measurement-first approach: ratio-study metrics, vertical equity diagnostics,</w:t>
        <w:br/>
        <w:t>and tax-bill decomposition. We then show how Benton’s calibrated cost governance converts diagnostics into auditable, versioned changes validated by</w:t>
        <w:br/>
        <w:t>holdout testing under a sales-chasing firewall. The result is a blueprint for counties that want both academic-grade measurement and hearing-ready</w:t>
        <w:br/>
        <w:t>defensibility: measure what matters, change only through governed levers, validate before deployment, and communicate tax outcomes by separating</w:t>
        <w:br/>
        <w:t>value effects from rate effects.</w:t>
      </w:r>
    </w:p>
    <w:p>
      <w:pPr>
        <w:pStyle w:val="Heading1"/>
      </w:pPr>
      <w:r>
        <w:t>References</w:t>
      </w:r>
    </w:p>
    <w:p>
      <w:pPr>
        <w:pStyle w:val="ListBullet"/>
      </w:pPr>
      <w:r>
        <w:t>O’Hollaren, K. (2025). Neighborhood Change, Housing Market Dynamics, and Racial Inequality in Property Taxes (RGSD-A4498-1). RAND Corporation.</w:t>
      </w:r>
    </w:p>
    <w:p>
      <w:pPr>
        <w:pStyle w:val="ListBullet"/>
      </w:pPr>
      <w:r>
        <w:t>Berry, C. R. (2021). Reassessing the Property Tax (working paper; draft March 2021). University of Chicago Harris School of Public Policy.</w:t>
      </w:r>
    </w:p>
    <w:p>
      <w:pPr>
        <w:pStyle w:val="ListBullet"/>
      </w:pPr>
      <w:r>
        <w:t>Benton County Assessor’s Office. (2026). Benton’s Market-Calibrated Cost System: market-calibrated cost workflow and governance (internal memorandum).</w:t>
      </w:r>
    </w:p>
    <w:p>
      <w:pPr>
        <w:pStyle w:val="ListBullet"/>
      </w:pPr>
      <w:r>
        <w:t>Benton County Assessor’s Office. (2026). Evidence bundle suite (TAX-1, NC-1, SC-1, MP-1; Exhibits D/E/F; standards appendices): runner outputs and validation packets (internal workfile).</w:t>
      </w:r>
    </w:p>
    <w:p>
      <w:r>
        <w:br w:type="page"/>
      </w:r>
    </w:p>
    <w:p>
      <w:pPr>
        <w:pStyle w:val="Heading1"/>
      </w:pPr>
      <w:r>
        <w:t>Appendix A. Evidence bundle crosswalk (project artifacts)</w:t>
      </w:r>
    </w:p>
    <w:p>
      <w:r>
        <w:t>A1. TAX-1 — Tax Bill Decomposition Runner and Pack: counter-ready explanations of bill changes (value vs rate vs interaction) and tier summaries.</w:t>
        <w:br/>
        <w:t>A2. NC-1 — Neighborhood Change + QA Cluster Runner and Pack: ChangeIndex, QARiskIndex, and PriorityScore; map-export table (inputs required for final results).</w:t>
        <w:br/>
        <w:t>A3. SC-1 — Sales Chasing Firewall Runner and Pack: timing locks, change logs, holdout summaries, and paste-ready attestation language.</w:t>
        <w:br/>
        <w:t>A4. MP-1 — Matched-Pair Audit Runner and Pack: stratified matching on observable characteristics; standardized gap and unmatched diagnostics.</w:t>
        <w:br/>
        <w:t>A5. Exhibit D — Top calibration targets and permanent gate spec (as provided in CSV/XLSX/PDF).</w:t>
        <w:br/>
        <w:t>A6. Exhibit E — Change list and memo appendix (as provided in CSV/XLSX/PDF).</w:t>
        <w:br/>
        <w:t>A7. Exhibit F — Before/After validation packet template (pre-wired for push-button workflow).</w:t>
        <w:br/>
        <w:t>A8. STAND appendices — standards mapping and calibration memo shell.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