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Validation &amp; QA SOP (IAAO‑Aligned)</w:t>
      </w:r>
    </w:p>
    <w:p>
      <w:r>
        <w:t>Prepared: January 08, 2026</w:t>
      </w:r>
    </w:p>
    <w:p>
      <w:pPr>
        <w:pStyle w:val="Heading1"/>
      </w:pPr>
      <w:r>
        <w:t>1. Purpose</w:t>
      </w:r>
    </w:p>
    <w:p>
      <w:r>
        <w:t>Define the standard workflow for validating sales, screening non‑arm’s‑length transactions, handling outliers, and producing a reproducible 'verified sales' dataset used for calibration and performance reporting.</w:t>
      </w:r>
    </w:p>
    <w:p>
      <w:pPr>
        <w:pStyle w:val="Heading1"/>
      </w:pPr>
      <w:r>
        <w:t>2. Inputs</w:t>
      </w:r>
    </w:p>
    <w:p>
      <w:pPr>
        <w:pStyle w:val="ListBullet"/>
      </w:pPr>
      <w:r>
        <w:t>Recorded transactions (deeds/excise), MLS where available, and internal appraisal/permit context.</w:t>
      </w:r>
    </w:p>
    <w:p>
      <w:pPr>
        <w:pStyle w:val="ListBullet"/>
      </w:pPr>
      <w:r>
        <w:t>Property record (characteristics snapshot) at time of sale or nearest roll date.</w:t>
      </w:r>
    </w:p>
    <w:p>
      <w:pPr>
        <w:pStyle w:val="ListBullet"/>
      </w:pPr>
      <w:r>
        <w:t>Sale qualification codes and reason codes (documented, auditable).</w:t>
      </w:r>
    </w:p>
    <w:p>
      <w:pPr>
        <w:pStyle w:val="Heading1"/>
      </w:pPr>
      <w:r>
        <w:t>3. Validation Workflow (Fail‑Closed)</w:t>
      </w:r>
    </w:p>
    <w:p>
      <w:pPr>
        <w:pStyle w:val="ListNumber"/>
      </w:pPr>
      <w:r>
        <w:t>Ingest raw sales and de-duplicate by instrument/prop_id/date/price.</w:t>
      </w:r>
    </w:p>
    <w:p>
      <w:pPr>
        <w:pStyle w:val="ListNumber"/>
      </w:pPr>
      <w:r>
        <w:t>Apply automatic exclusions (partial interest, family transfer flags, corporate restructuring) per policy.</w:t>
      </w:r>
    </w:p>
    <w:p>
      <w:pPr>
        <w:pStyle w:val="ListNumber"/>
      </w:pPr>
      <w:r>
        <w:t>Run price/ratio sanity screens (non-positive price, missing AV, extreme ratios) — route to review queue.</w:t>
      </w:r>
    </w:p>
    <w:p>
      <w:pPr>
        <w:pStyle w:val="ListNumber"/>
      </w:pPr>
      <w:r>
        <w:t>Analyst review: confirm arm’s-length, verify property condition at sale if needed, document reason codes.</w:t>
      </w:r>
    </w:p>
    <w:p>
      <w:pPr>
        <w:pStyle w:val="ListNumber"/>
      </w:pPr>
      <w:r>
        <w:t>Finalize to 'verified_sales' snapshot with version tag (data_refresh_utc, policy_version, reviewer).</w:t>
      </w:r>
    </w:p>
    <w:p>
      <w:pPr>
        <w:pStyle w:val="ListNumber"/>
      </w:pPr>
      <w:r>
        <w:t>Lock dataset for calibration cycle; publish exclusion counts at aggregate level only.</w:t>
      </w:r>
    </w:p>
    <w:p>
      <w:pPr>
        <w:pStyle w:val="Heading1"/>
      </w:pPr>
      <w:r>
        <w:t>4. Outlier Handling (Recommended)</w:t>
      </w:r>
    </w:p>
    <w:p>
      <w:pPr>
        <w:pStyle w:val="ListBullet"/>
      </w:pPr>
      <w:r>
        <w:t>Outlier flags are for stability, not to hide information; keep an auditable record of all exclusions.</w:t>
      </w:r>
    </w:p>
    <w:p>
      <w:pPr>
        <w:pStyle w:val="ListBullet"/>
      </w:pPr>
      <w:r>
        <w:t>Use robust screens: ratio bounds (e.g., 0.25–2.50), influence diagnostics for regression steps, and neighborhood-level review for unusual cases.</w:t>
      </w:r>
    </w:p>
    <w:p>
      <w:pPr>
        <w:pStyle w:val="ListBullet"/>
      </w:pPr>
      <w:r>
        <w:t>Never exclude simply because a sale is inconvenient; require a documented reason code.</w:t>
      </w:r>
    </w:p>
    <w:p>
      <w:pPr>
        <w:pStyle w:val="Heading1"/>
      </w:pPr>
      <w:r>
        <w:t>5. QA Checks</w:t>
      </w:r>
    </w:p>
    <w:p>
      <w:pPr>
        <w:pStyle w:val="ListBullet"/>
      </w:pPr>
      <w:r>
        <w:t>Weekly reconciliation: raw vs verified counts, exclusion reasons distribution.</w:t>
      </w:r>
    </w:p>
    <w:p>
      <w:pPr>
        <w:pStyle w:val="ListBullet"/>
      </w:pPr>
      <w:r>
        <w:t>Random sample audit (e.g., 1–3%): re-check arm’s-length evidence and reason codes.</w:t>
      </w:r>
    </w:p>
    <w:p>
      <w:pPr>
        <w:pStyle w:val="ListBullet"/>
      </w:pPr>
      <w:r>
        <w:t>Drift checks: sudden shifts in exclusion patterns by analyst or neighborhood group.</w:t>
      </w:r>
    </w:p>
    <w:p>
      <w:pPr>
        <w:pStyle w:val="ListBullet"/>
      </w:pPr>
      <w:r>
        <w:t>Change control: policy edits require version bump and supervisor approval.</w:t>
      </w:r>
    </w:p>
    <w:p>
      <w:pPr>
        <w:pStyle w:val="Heading1"/>
      </w:pPr>
      <w:r>
        <w:t>6. Outputs (for reporting &amp; calibration)</w:t>
      </w:r>
    </w:p>
    <w:p>
      <w:pPr>
        <w:pStyle w:val="ListBullet"/>
      </w:pPr>
      <w:r>
        <w:t>verified_sales table/view (public-safe internal dataset).</w:t>
      </w:r>
    </w:p>
    <w:p>
      <w:pPr>
        <w:pStyle w:val="ListBullet"/>
      </w:pPr>
      <w:r>
        <w:t>Aggregate exclusion summary (public reporting).</w:t>
      </w:r>
    </w:p>
    <w:p>
      <w:pPr>
        <w:pStyle w:val="ListBullet"/>
      </w:pPr>
      <w:r>
        <w:t>Time-slice series (monthly/quarterly).</w:t>
      </w:r>
    </w:p>
    <w:p>
      <w:pPr>
        <w:pStyle w:val="ListBullet"/>
      </w:pPr>
      <w:r>
        <w:t>Calibration input extracts (by class/NG/tier).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