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Benton Method — Nuts &amp; Bolts (2‑Page Summary for Rep. Bernbaum)</w:t>
      </w:r>
    </w:p>
    <w:p>
      <w:pPr>
        <w:jc w:val="center"/>
      </w:pPr>
      <w:r>
        <w:rPr>
          <w:i/>
          <w:sz w:val="20"/>
        </w:rPr>
        <w:t>How Benton produces defensible, transparent values while preventing sales chasing and protecting vertical equity</w:t>
      </w:r>
    </w:p>
    <w:p/>
    <w:p>
      <w:r>
        <w:rPr>
          <w:b/>
          <w:sz w:val="24"/>
        </w:rPr>
        <w:t>1) What the Benton Method is</w:t>
      </w:r>
    </w:p>
    <w:p>
      <w:pPr>
        <w:pStyle w:val="ListBullet"/>
      </w:pPr>
      <w:r>
        <w:t>A market‑calibrated Cost Approach used as a measurement system: tables/curves are tuned to local evidence, not to individual parcels.</w:t>
      </w:r>
    </w:p>
    <w:p>
      <w:pPr>
        <w:pStyle w:val="ListBullet"/>
      </w:pPr>
      <w:r>
        <w:t>A governed workflow: changes are versioned, reviewed, and validated with equity diagnostics before values are published.</w:t>
      </w:r>
    </w:p>
    <w:p>
      <w:pPr>
        <w:pStyle w:val="ListBullet"/>
      </w:pPr>
      <w:r>
        <w:t>A transparency posture: we can show the inputs, the calibration memo, the table diffs, and the QA gate results for each cycle.</w:t>
      </w:r>
    </w:p>
    <w:p/>
    <w:p>
      <w:r>
        <w:rPr>
          <w:b/>
        </w:rPr>
        <w:t>2) Factory tour (how values are produced)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color="auto" w:fill="D9EAF7"/>
          </w:tcPr>
          <w:p>
            <w:r>
              <w:rPr>
                <w:b/>
                <w:sz w:val="20"/>
              </w:rPr>
              <w:t>INPUTS</w:t>
            </w:r>
          </w:p>
        </w:tc>
        <w:tc>
          <w:tcPr>
            <w:tcW w:type="dxa" w:w="2045"/>
            <w:shd w:val="clear" w:color="auto" w:fill="D9EAF7"/>
          </w:tcPr>
          <w:p>
            <w:r>
              <w:rPr>
                <w:b/>
                <w:sz w:val="20"/>
              </w:rPr>
              <w:t>CALIBRATION</w:t>
            </w:r>
          </w:p>
        </w:tc>
        <w:tc>
          <w:tcPr>
            <w:tcW w:type="dxa" w:w="2045"/>
            <w:shd w:val="clear" w:color="auto" w:fill="D9EAF7"/>
          </w:tcPr>
          <w:p>
            <w:r>
              <w:rPr>
                <w:b/>
                <w:sz w:val="20"/>
              </w:rPr>
              <w:t>QA GATES</w:t>
            </w:r>
          </w:p>
        </w:tc>
        <w:tc>
          <w:tcPr>
            <w:tcW w:type="dxa" w:w="2045"/>
            <w:shd w:val="clear" w:color="auto" w:fill="D9EAF7"/>
          </w:tcPr>
          <w:p>
            <w:r>
              <w:rPr>
                <w:b/>
                <w:sz w:val="20"/>
              </w:rPr>
              <w:t>GOVERNANCE</w:t>
            </w:r>
          </w:p>
        </w:tc>
        <w:tc>
          <w:tcPr>
            <w:tcW w:type="dxa" w:w="2045"/>
            <w:shd w:val="clear" w:color="auto" w:fill="D9EAF7"/>
          </w:tcPr>
          <w:p>
            <w:r>
              <w:rPr>
                <w:b/>
                <w:sz w:val="20"/>
              </w:rPr>
              <w:t>ROLL OUTPUT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Verified sales (arms‑length)</w:t>
              <w:br/>
              <w:t>Property characteristics</w:t>
              <w:br/>
              <w:t>Local cost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Market‑calibrated cost tables</w:t>
              <w:br/>
              <w:t>Depreciation curves</w:t>
              <w:br/>
              <w:t>Percent‑of‑base (POB)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Level + uniformity</w:t>
              <w:br/>
              <w:t>Vertical equity (PRD + slope)</w:t>
              <w:br/>
              <w:t>Outlier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Cutoff dates</w:t>
              <w:br/>
              <w:t>Change control + audit trail</w:t>
              <w:br/>
              <w:t>Independent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Published values</w:t>
              <w:br/>
              <w:t>Appeals handled separately</w:t>
              <w:br/>
              <w:t>Post‑roll monitoring</w:t>
            </w:r>
          </w:p>
        </w:tc>
      </w:tr>
    </w:tbl>
    <w:p/>
    <w:p>
      <w:r>
        <w:rPr>
          <w:b/>
        </w:rPr>
        <w:t>3) Why this prevents sales chasing (the controls)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7F7F7"/>
          </w:tcPr>
          <w:p>
            <w:r>
              <w:rPr>
                <w:sz w:val="20"/>
              </w:rPr>
              <w:t>Anti‑sales‑chasing controls (auditable)</w:t>
              <w:br/>
              <w:t>• Temporal separation: defined study period + locked sales cutoff; effective date and roll date documented.</w:t>
              <w:br/>
              <w:t>• Model‑first, sale‑second: adjustments occur via tables/curves (market factors), not by ‘setting’ sold parcels to sale price.</w:t>
              <w:br/>
              <w:t>• Holdout/out‑of‑sample (recommended standard): a protected subset used only to test—never to tune.</w:t>
              <w:br/>
              <w:t>• Change governance: every calibration cycle produces a memo + table version diff + sign‑off; parcel exceptions are rare and logged.</w:t>
            </w:r>
          </w:p>
        </w:tc>
      </w:tr>
    </w:tbl>
    <w:p/>
    <w:p>
      <w:r>
        <w:rPr>
          <w:b/>
        </w:rPr>
        <w:t>4) The 4 independence tests we can show (the ‘prove it’ set)</w:t>
      </w:r>
    </w:p>
    <w:p>
      <w:pPr>
        <w:pStyle w:val="ListNumber"/>
      </w:pPr>
      <w:r>
        <w:t>Holdout performance: metrics on holdout vs calibrated set (MR/COD/PRD + slope).</w:t>
      </w:r>
    </w:p>
    <w:p>
      <w:pPr>
        <w:pStyle w:val="ListNumber"/>
      </w:pPr>
      <w:r>
        <w:t>Sold vs unsold parity: within matched strata, compare change distributions; sold parcels should not ‘behave differently’ around sale dates.</w:t>
      </w:r>
    </w:p>
    <w:p>
      <w:pPr>
        <w:pStyle w:val="ListNumber"/>
      </w:pPr>
      <w:r>
        <w:t>Cutoff integrity: document cutoff date and show post‑cutoff sales were not used to tune the roll.</w:t>
      </w:r>
    </w:p>
    <w:p>
      <w:pPr>
        <w:pStyle w:val="ListNumber"/>
      </w:pPr>
      <w:r>
        <w:t>Tier neutrality: PRD + price‑tier slope with uncertainty; require neutrality (or documented policy rationale).</w:t>
      </w:r>
    </w:p>
    <w:p/>
    <w:p>
      <w:r>
        <w:rPr>
          <w:b/>
        </w:rPr>
        <w:t>5) What you can ask Benton to produce (next‑step package)</w:t>
      </w:r>
    </w:p>
    <w:p>
      <w:pPr>
        <w:pStyle w:val="ListBullet"/>
      </w:pPr>
      <w:r>
        <w:t>One calibration memo per cycle (study period, cutoff, strata, what changed, before/after QA).</w:t>
      </w:r>
    </w:p>
    <w:p>
      <w:pPr>
        <w:pStyle w:val="ListBullet"/>
      </w:pPr>
      <w:r>
        <w:t>Table/curve change log (versioned diff) with reviewer sign‑off.</w:t>
      </w:r>
    </w:p>
    <w:p>
      <w:pPr>
        <w:pStyle w:val="ListBullet"/>
      </w:pPr>
      <w:r>
        <w:t>Independence test sheet (the 4 tests above) + a short plain‑English interpretation.</w:t>
      </w:r>
    </w:p>
    <w:p>
      <w:pPr>
        <w:pStyle w:val="ListBullet"/>
      </w:pPr>
      <w:r>
        <w:t>A taxpayer‑facing explainability map: ‘what drives my value’ and ‘who sets rates vs values’.</w:t>
      </w:r>
    </w:p>
    <w:p/>
    <w:p>
      <w:r>
        <w:rPr>
          <w:i/>
          <w:sz w:val="18"/>
        </w:rPr>
        <w:t>Contact / Follow‑up: We can walk through the full workflow live and provide the artifacts above for any roll year.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