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a6j31cpz8yk3" w:id="0"/>
      <w:bookmarkEnd w:id="0"/>
      <w:r w:rsidDel="00000000" w:rsidR="00000000" w:rsidRPr="00000000">
        <w:rPr>
          <w:rtl w:val="0"/>
        </w:rPr>
        <w:t xml:space="preserve">Briefing: Benton County's Modernization and the TerraFusion Technology Ecosystem</w:t>
      </w:r>
    </w:p>
    <w:p w:rsidR="00000000" w:rsidDel="00000000" w:rsidP="00000000" w:rsidRDefault="00000000" w:rsidRPr="00000000" w14:paraId="00000002">
      <w:pPr>
        <w:pStyle w:val="Heading4"/>
        <w:rPr/>
      </w:pPr>
      <w:bookmarkStart w:colFirst="0" w:colLast="0" w:name="_97x9sayzhst7" w:id="1"/>
      <w:bookmarkEnd w:id="1"/>
      <w:r w:rsidDel="00000000" w:rsidR="00000000" w:rsidRPr="00000000">
        <w:rPr>
          <w:rtl w:val="0"/>
        </w:rPr>
        <w:t xml:space="preserve">Executive Summary</w:t>
      </w:r>
    </w:p>
    <w:p w:rsidR="00000000" w:rsidDel="00000000" w:rsidP="00000000" w:rsidRDefault="00000000" w:rsidRPr="00000000" w14:paraId="00000003">
      <w:pPr>
        <w:rPr/>
      </w:pPr>
      <w:r w:rsidDel="00000000" w:rsidR="00000000" w:rsidRPr="00000000">
        <w:rPr>
          <w:rtl w:val="0"/>
        </w:rPr>
        <w:t xml:space="preserve">Benton County has successfully engineered an elite, nationally recognized property assessment system, achieving top-tier performance in accuracy, equity, and efficiency. This success is the result of a deliberate, multi-year modernization journey that transformed a system with latent fragilities into a resilient, high-performing operation. The county’s 2024 performance metrics—including a 95.8% Median Assessment Ratio, near-perfect 0.99 Price-Related Differential (PRD) for vertical equity, and a 6.8% Coefficient of Dispersion (COD) for uniformity—place it in the top decile statewide and among the best nationally, all while maintaining a cost structure approximately 35% below the state average.The foundation of this achievement is the "Benton Model," a disciplined operational doctrine centered on four pillars:  </w:t>
      </w:r>
      <w:r w:rsidDel="00000000" w:rsidR="00000000" w:rsidRPr="00000000">
        <w:rPr>
          <w:b w:val="1"/>
          <w:bCs w:val="1"/>
          <w:rtl w:val="0"/>
        </w:rPr>
        <w:t xml:space="preserve">Annual Cadence</w:t>
      </w:r>
      <w:r w:rsidDel="00000000" w:rsidR="00000000" w:rsidRPr="00000000">
        <w:rPr>
          <w:rtl w:val="0"/>
        </w:rPr>
        <w:t xml:space="preserve"> ,  </w:t>
      </w:r>
      <w:r w:rsidDel="00000000" w:rsidR="00000000" w:rsidRPr="00000000">
        <w:rPr>
          <w:b w:val="1"/>
          <w:bCs w:val="1"/>
          <w:rtl w:val="0"/>
        </w:rPr>
        <w:t xml:space="preserve">Continuous Micro-Monitoring</w:t>
      </w:r>
      <w:r w:rsidDel="00000000" w:rsidR="00000000" w:rsidRPr="00000000">
        <w:rPr>
          <w:rtl w:val="0"/>
        </w:rPr>
        <w:t xml:space="preserve"> ,  </w:t>
      </w:r>
      <w:r w:rsidDel="00000000" w:rsidR="00000000" w:rsidRPr="00000000">
        <w:rPr>
          <w:b w:val="1"/>
          <w:bCs w:val="1"/>
          <w:rtl w:val="0"/>
        </w:rPr>
        <w:t xml:space="preserve">Local Calibration</w:t>
      </w:r>
      <w:r w:rsidDel="00000000" w:rsidR="00000000" w:rsidRPr="00000000">
        <w:rPr>
          <w:rtl w:val="0"/>
        </w:rPr>
        <w:t xml:space="preserve">  using internal cost tables, and  </w:t>
      </w:r>
      <w:r w:rsidDel="00000000" w:rsidR="00000000" w:rsidRPr="00000000">
        <w:rPr>
          <w:b w:val="1"/>
          <w:bCs w:val="1"/>
          <w:rtl w:val="0"/>
        </w:rPr>
        <w:t xml:space="preserve">Segmented Trending</w:t>
      </w:r>
      <w:r w:rsidDel="00000000" w:rsidR="00000000" w:rsidRPr="00000000">
        <w:rPr>
          <w:rtl w:val="0"/>
        </w:rPr>
        <w:t xml:space="preserve"> . This model provides an empirical defense against claims of systemic bias and has driven an exceptionally low public appeal rate of 0.27%, signaling high taxpayer trust.This operational excellence is underpinned by the TerraFusion technology ecosystem, a sophisticated platform built on a philosophy of "Sovereign Data" and mathematical certainty. Components like the AxiomFS "Sovereign File Lattice" and the CostForge AI engine provide the high-integrity, high-performance tools necessary for modern governance. The platform emphasizes deterministic layouts, auditable processes, and verifiable outcomes, moving beyond traditional data management to create an interconnected "order of connection."Despite this technical success, the greatest strategic risks are human-capital related, namely staff retention due to a compensation gap and single points of failure in key roles. A strategic roadmap has been developed to mitigate these risks through targeted investments in people, process automation, and technology to ensure Benton County's position as a national leader is sustained for the coming decade.</w:t>
      </w:r>
    </w:p>
    <w:p w:rsidR="00000000" w:rsidDel="00000000" w:rsidP="00000000" w:rsidRDefault="00000000" w:rsidRPr="00000000" w14:paraId="00000004">
      <w:pPr>
        <w:pStyle w:val="Heading4"/>
        <w:rPr/>
      </w:pPr>
      <w:bookmarkStart w:colFirst="0" w:colLast="0" w:name="_8o5k2nzo9xt" w:id="2"/>
      <w:bookmarkEnd w:id="2"/>
      <w:r w:rsidDel="00000000" w:rsidR="00000000" w:rsidRPr="00000000">
        <w:rPr>
          <w:rtl w:val="0"/>
        </w:rPr>
        <w:t xml:space="preserve">The Benton County Assessment Excellence Journey</w:t>
      </w:r>
    </w:p>
    <w:p w:rsidR="00000000" w:rsidDel="00000000" w:rsidP="00000000" w:rsidRDefault="00000000" w:rsidRPr="00000000" w14:paraId="00000005">
      <w:pPr>
        <w:rPr/>
      </w:pPr>
      <w:r w:rsidDel="00000000" w:rsidR="00000000" w:rsidRPr="00000000">
        <w:rPr>
          <w:rtl w:val="0"/>
        </w:rPr>
        <w:t xml:space="preserve">Benton County's current elite status is not an accident but the deliberate outcome of a challenging modernization journey that confronted and overcame systemic weaknesses. The narrative is a classic "stretch-dip-recover" cycle, culminating in a more resilient and demonstrably superior assessment system.</w:t>
      </w:r>
    </w:p>
    <w:p w:rsidR="00000000" w:rsidDel="00000000" w:rsidP="00000000" w:rsidRDefault="00000000" w:rsidRPr="00000000" w14:paraId="00000006">
      <w:pPr>
        <w:pStyle w:val="Heading5"/>
        <w:rPr/>
      </w:pPr>
      <w:bookmarkStart w:colFirst="0" w:colLast="0" w:name="_o1g9hto6xk6p" w:id="3"/>
      <w:bookmarkEnd w:id="3"/>
      <w:r w:rsidDel="00000000" w:rsidR="00000000" w:rsidRPr="00000000">
        <w:rPr>
          <w:rtl w:val="0"/>
        </w:rPr>
        <w:t xml:space="preserve">Elite Performance Metrics (2024)</w:t>
      </w:r>
    </w:p>
    <w:p w:rsidR="00000000" w:rsidDel="00000000" w:rsidP="00000000" w:rsidRDefault="00000000" w:rsidRPr="00000000" w14:paraId="00000007">
      <w:pPr>
        <w:rPr/>
      </w:pPr>
      <w:r w:rsidDel="00000000" w:rsidR="00000000" w:rsidRPr="00000000">
        <w:rPr>
          <w:rtl w:val="0"/>
        </w:rPr>
        <w:t xml:space="preserve">The county's 2024 performance demonstrates best-in-class results across all critical dimensions of property assessment, consistently exceeding IAAO standards and outperforming state and national averages.| Metric | Benton County Value | Benchmark Comparison | Significance || ------ | ------ | ------ | ------ || </w:t>
      </w:r>
      <w:r w:rsidDel="00000000" w:rsidR="00000000" w:rsidRPr="00000000">
        <w:rPr>
          <w:b w:val="1"/>
          <w:bCs w:val="1"/>
          <w:rtl w:val="0"/>
        </w:rPr>
        <w:t xml:space="preserve">Accuracy &amp; Level</w:t>
      </w:r>
      <w:r w:rsidDel="00000000" w:rsidR="00000000" w:rsidRPr="00000000">
        <w:rPr>
          <w:rtl w:val="0"/>
        </w:rPr>
        <w:t xml:space="preserve"> | 95.8% Median Ratio | vs. 88.8% WA State Median | Top decile statewide, well within IAAO 90-110% "Gold Standard." || </w:t>
      </w:r>
      <w:r w:rsidDel="00000000" w:rsidR="00000000" w:rsidRPr="00000000">
        <w:rPr>
          <w:b w:val="1"/>
          <w:bCs w:val="1"/>
          <w:rtl w:val="0"/>
        </w:rPr>
        <w:t xml:space="preserve">Equity &amp; Fairness</w:t>
      </w:r>
      <w:r w:rsidDel="00000000" w:rsidR="00000000" w:rsidRPr="00000000">
        <w:rPr>
          <w:rtl w:val="0"/>
        </w:rPr>
        <w:t xml:space="preserve"> | 0.99 PRD | vs. IAAO "Gold Band" of 0.98-1.03 | Achieves "perfect neutrality," ensuring no systemic bias against high or low-value properties. || </w:t>
      </w:r>
      <w:r w:rsidDel="00000000" w:rsidR="00000000" w:rsidRPr="00000000">
        <w:rPr>
          <w:b w:val="1"/>
          <w:bCs w:val="1"/>
          <w:rtl w:val="0"/>
        </w:rPr>
        <w:t xml:space="preserve">Uniformity</w:t>
      </w:r>
      <w:r w:rsidDel="00000000" w:rsidR="00000000" w:rsidRPr="00000000">
        <w:rPr>
          <w:rFonts w:ascii="Arial Unicode MS" w:cs="Arial Unicode MS" w:eastAsia="Arial Unicode MS" w:hAnsi="Arial Unicode MS"/>
          <w:rtl w:val="0"/>
        </w:rPr>
        <w:t xml:space="preserve"> | 6.8% COD (Residential) | vs. IAAO Standard ≤15% | Considered exceptional; indicates high consistency across neighborhoods. || </w:t>
      </w:r>
      <w:r w:rsidDel="00000000" w:rsidR="00000000" w:rsidRPr="00000000">
        <w:rPr>
          <w:b w:val="1"/>
          <w:bCs w:val="1"/>
          <w:rtl w:val="0"/>
        </w:rPr>
        <w:t xml:space="preserve">Cost Efficiency</w:t>
      </w:r>
      <w:r w:rsidDel="00000000" w:rsidR="00000000" w:rsidRPr="00000000">
        <w:rPr>
          <w:rtl w:val="0"/>
        </w:rPr>
        <w:t xml:space="preserve"> | $21.74 Cost Per Parcel | ~35% below WA State Mean ($36.62) | 3rd lowest cost in Washington, placing Benton in the "Elite Quadrant" (High Performance, Low Cost). || </w:t>
      </w:r>
      <w:r w:rsidDel="00000000" w:rsidR="00000000" w:rsidRPr="00000000">
        <w:rPr>
          <w:b w:val="1"/>
          <w:bCs w:val="1"/>
          <w:rtl w:val="0"/>
        </w:rPr>
        <w:t xml:space="preserve">Public Acceptance</w:t>
      </w:r>
      <w:r w:rsidDel="00000000" w:rsidR="00000000" w:rsidRPr="00000000">
        <w:rPr>
          <w:rtl w:val="0"/>
        </w:rPr>
        <w:t xml:space="preserve"> | 0.27% Appeal Rate | vs. 0.43% WA State Mean | Half the state average and an order-of-magnitude lower than the U.S. norm (2-3%). |</w:t>
      </w:r>
    </w:p>
    <w:p w:rsidR="00000000" w:rsidDel="00000000" w:rsidP="00000000" w:rsidRDefault="00000000" w:rsidRPr="00000000" w14:paraId="00000008">
      <w:pPr>
        <w:pStyle w:val="Heading5"/>
        <w:rPr/>
      </w:pPr>
      <w:bookmarkStart w:colFirst="0" w:colLast="0" w:name="_a9kuz5i1wigu" w:id="4"/>
      <w:bookmarkEnd w:id="4"/>
      <w:r w:rsidDel="00000000" w:rsidR="00000000" w:rsidRPr="00000000">
        <w:rPr>
          <w:rtl w:val="0"/>
        </w:rPr>
        <w:t xml:space="preserve">The Modernization Narrative</w:t>
      </w:r>
    </w:p>
    <w:p w:rsidR="00000000" w:rsidDel="00000000" w:rsidP="00000000" w:rsidRDefault="00000000" w:rsidRPr="00000000" w14:paraId="00000009">
      <w:pPr>
        <w:rPr/>
      </w:pPr>
      <w:r w:rsidDel="00000000" w:rsidR="00000000" w:rsidRPr="00000000">
        <w:rPr>
          <w:b w:val="1"/>
          <w:bCs w:val="1"/>
          <w:rtl w:val="0"/>
        </w:rPr>
        <w:t xml:space="preserve">Phase I: Fragile Stability (2010-2015)</w:t>
      </w:r>
      <w:r w:rsidDel="00000000" w:rsidR="00000000" w:rsidRPr="00000000">
        <w:rPr>
          <w:rtl w:val="0"/>
        </w:rPr>
        <w:t xml:space="preserve">  During this period, the county appeared compliant, with median ratios between 93.5% and 94.3%. However, this stability masked a "latent deficit" created by a heavy reliance on generalized national cost tables (Marshall &amp; Swift). These static models were unprepared for a market shock, creating a growing gap between assessed values and true local market nuances.</w:t>
      </w:r>
      <w:r w:rsidDel="00000000" w:rsidR="00000000" w:rsidRPr="00000000">
        <w:rPr>
          <w:b w:val="1"/>
          <w:bCs w:val="1"/>
          <w:rtl w:val="0"/>
        </w:rPr>
        <w:t xml:space="preserve">The 2015 Pivot: Taking Control with Internal Cost Tables</w:t>
      </w:r>
      <w:r w:rsidDel="00000000" w:rsidR="00000000" w:rsidRPr="00000000">
        <w:rPr>
          <w:rtl w:val="0"/>
        </w:rPr>
        <w:t xml:space="preserve">  In a strategic move away from vendor dependency, the county began developing internal cost tables. The rationale was to gain direct control over quality grades, depreciation schedules, and local obsolescence patterns. This was a foundational decision to create a "vertical equity-first operating model" through precise local calibration.</w:t>
      </w:r>
      <w:r w:rsidDel="00000000" w:rsidR="00000000" w:rsidRPr="00000000">
        <w:rPr>
          <w:b w:val="1"/>
          <w:bCs w:val="1"/>
          <w:rtl w:val="0"/>
        </w:rPr>
        <w:t xml:space="preserve">The 2017 "Ordeal": A Market Audit</w:t>
      </w:r>
      <w:r w:rsidDel="00000000" w:rsidR="00000000" w:rsidRPr="00000000">
        <w:rPr>
          <w:rtl w:val="0"/>
        </w:rPr>
        <w:t xml:space="preserve">  A 2017 market surge acted as a stress test that exposed the system's fragility. The results were a stark baseline reset:</w:t>
      </w:r>
    </w:p>
    <w:p w:rsidR="00000000" w:rsidDel="00000000" w:rsidP="00000000" w:rsidRDefault="00000000" w:rsidRPr="00000000" w14:paraId="0000000A">
      <w:pPr>
        <w:numPr>
          <w:ilvl w:val="0"/>
          <w:numId w:val="1"/>
        </w:numPr>
        <w:ind w:left="720" w:hanging="360"/>
        <w:rPr>
          <w:u w:val="none"/>
        </w:rPr>
      </w:pPr>
      <w:r w:rsidDel="00000000" w:rsidR="00000000" w:rsidRPr="00000000">
        <w:rPr>
          <w:b w:val="1"/>
          <w:bCs w:val="1"/>
          <w:rtl w:val="0"/>
        </w:rPr>
        <w:t xml:space="preserve">Median Ratio Collapse:</w:t>
      </w:r>
      <w:r w:rsidDel="00000000" w:rsidR="00000000" w:rsidRPr="00000000">
        <w:rPr>
          <w:rtl w:val="0"/>
        </w:rPr>
        <w:t xml:space="preserve">  Dropped 10 points to  </w:t>
      </w:r>
      <w:r w:rsidDel="00000000" w:rsidR="00000000" w:rsidRPr="00000000">
        <w:rPr>
          <w:b w:val="1"/>
          <w:bCs w:val="1"/>
          <w:rtl w:val="0"/>
        </w:rPr>
        <w:t xml:space="preserve">83.4%</w:t>
      </w:r>
      <w:r w:rsidDel="00000000" w:rsidR="00000000" w:rsidRPr="00000000">
        <w:rPr>
          <w:rtl w:val="0"/>
        </w:rPr>
        <w:t xml:space="preserve"> , well below the IAAO's 90% floor.</w:t>
      </w:r>
    </w:p>
    <w:p w:rsidR="00000000" w:rsidDel="00000000" w:rsidP="00000000" w:rsidRDefault="00000000" w:rsidRPr="00000000" w14:paraId="0000000B">
      <w:pPr>
        <w:numPr>
          <w:ilvl w:val="0"/>
          <w:numId w:val="1"/>
        </w:numPr>
        <w:ind w:left="720" w:hanging="360"/>
        <w:rPr>
          <w:u w:val="none"/>
        </w:rPr>
      </w:pPr>
      <w:r w:rsidDel="00000000" w:rsidR="00000000" w:rsidRPr="00000000">
        <w:rPr>
          <w:b w:val="1"/>
          <w:bCs w:val="1"/>
          <w:rtl w:val="0"/>
        </w:rPr>
        <w:t xml:space="preserve">Vertical Equity Failure:</w:t>
      </w:r>
      <w:r w:rsidDel="00000000" w:rsidR="00000000" w:rsidRPr="00000000">
        <w:rPr>
          <w:rtl w:val="0"/>
        </w:rPr>
        <w:t xml:space="preserve">  The PRD spiked to  </w:t>
      </w:r>
      <w:r w:rsidDel="00000000" w:rsidR="00000000" w:rsidRPr="00000000">
        <w:rPr>
          <w:b w:val="1"/>
          <w:bCs w:val="1"/>
          <w:rtl w:val="0"/>
        </w:rPr>
        <w:t xml:space="preserve">1.05</w:t>
      </w:r>
      <w:r w:rsidDel="00000000" w:rsidR="00000000" w:rsidRPr="00000000">
        <w:rPr>
          <w:rtl w:val="0"/>
        </w:rPr>
        <w:t xml:space="preserve"> , signaling temporary regressivity as the model failed to keep up with appreciating entry-level homes.</w:t>
      </w:r>
    </w:p>
    <w:p w:rsidR="00000000" w:rsidDel="00000000" w:rsidP="00000000" w:rsidRDefault="00000000" w:rsidRPr="00000000" w14:paraId="0000000C">
      <w:pPr>
        <w:numPr>
          <w:ilvl w:val="0"/>
          <w:numId w:val="1"/>
        </w:numPr>
        <w:ind w:left="720" w:hanging="360"/>
        <w:rPr>
          <w:u w:val="none"/>
        </w:rPr>
      </w:pPr>
      <w:r w:rsidDel="00000000" w:rsidR="00000000" w:rsidRPr="00000000">
        <w:rPr>
          <w:b w:val="1"/>
          <w:bCs w:val="1"/>
          <w:rtl w:val="0"/>
        </w:rPr>
        <w:t xml:space="preserve">New Construction Surge:</w:t>
      </w:r>
      <w:r w:rsidDel="00000000" w:rsidR="00000000" w:rsidRPr="00000000">
        <w:rPr>
          <w:rtl w:val="0"/>
        </w:rPr>
        <w:t xml:space="preserve">  A +5.67% growth rate (3rd highest in Washington) overwhelmed the new internal system.This event was framed not as a political failure, but as "the market revealing the truth of the model during high volatility." It was the "inevitable friction cost of modernization" that forced the office to rebuild its systems correctly.</w:t>
      </w:r>
      <w:r w:rsidDel="00000000" w:rsidR="00000000" w:rsidRPr="00000000">
        <w:rPr>
          <w:b w:val="1"/>
          <w:bCs w:val="1"/>
          <w:rtl w:val="0"/>
        </w:rPr>
        <w:t xml:space="preserve">Phase II: The Elite Recovery (Post-2017)</w:t>
      </w:r>
      <w:r w:rsidDel="00000000" w:rsidR="00000000" w:rsidRPr="00000000">
        <w:rPr>
          <w:rtl w:val="0"/>
        </w:rPr>
        <w:t xml:space="preserve">  The post-2017 system overhaul produced a sustained and decisive recovery. The story is that "2017 forced the office to become modern, and the post-2017 system produces demonstrably stronger outcomes."</w:t>
      </w:r>
    </w:p>
    <w:p w:rsidR="00000000" w:rsidDel="00000000" w:rsidP="00000000" w:rsidRDefault="00000000" w:rsidRPr="00000000" w14:paraId="0000000D">
      <w:pPr>
        <w:numPr>
          <w:ilvl w:val="0"/>
          <w:numId w:val="1"/>
        </w:numPr>
        <w:ind w:left="720" w:hanging="360"/>
        <w:rPr>
          <w:u w:val="none"/>
        </w:rPr>
      </w:pPr>
      <w:r w:rsidDel="00000000" w:rsidR="00000000" w:rsidRPr="00000000">
        <w:rPr>
          <w:b w:val="1"/>
          <w:bCs w:val="1"/>
          <w:rtl w:val="0"/>
        </w:rPr>
        <w:t xml:space="preserve">Median Ratio:</w:t>
      </w:r>
      <w:r w:rsidDel="00000000" w:rsidR="00000000" w:rsidRPr="00000000">
        <w:rPr>
          <w:rtl w:val="0"/>
        </w:rPr>
        <w:t xml:space="preserve">  Climbed from 83.4% (2017) to  </w:t>
      </w:r>
      <w:r w:rsidDel="00000000" w:rsidR="00000000" w:rsidRPr="00000000">
        <w:rPr>
          <w:b w:val="1"/>
          <w:bCs w:val="1"/>
          <w:rtl w:val="0"/>
        </w:rPr>
        <w:t xml:space="preserve">95.8%</w:t>
      </w:r>
      <w:r w:rsidDel="00000000" w:rsidR="00000000" w:rsidRPr="00000000">
        <w:rPr>
          <w:rtl w:val="0"/>
        </w:rPr>
        <w:t xml:space="preserve">  (2024).</w:t>
      </w:r>
    </w:p>
    <w:p w:rsidR="00000000" w:rsidDel="00000000" w:rsidP="00000000" w:rsidRDefault="00000000" w:rsidRPr="00000000" w14:paraId="0000000E">
      <w:pPr>
        <w:numPr>
          <w:ilvl w:val="0"/>
          <w:numId w:val="1"/>
        </w:numPr>
        <w:ind w:left="720" w:hanging="360"/>
        <w:rPr>
          <w:u w:val="none"/>
        </w:rPr>
      </w:pPr>
      <w:r w:rsidDel="00000000" w:rsidR="00000000" w:rsidRPr="00000000">
        <w:rPr>
          <w:b w:val="1"/>
          <w:bCs w:val="1"/>
          <w:rtl w:val="0"/>
        </w:rPr>
        <w:t xml:space="preserve">Vertical Equity (PRD):</w:t>
      </w:r>
      <w:r w:rsidDel="00000000" w:rsidR="00000000" w:rsidRPr="00000000">
        <w:rPr>
          <w:rtl w:val="0"/>
        </w:rPr>
        <w:t xml:space="preserve">  Corrected from 1.05 (2017) to  </w:t>
      </w:r>
      <w:r w:rsidDel="00000000" w:rsidR="00000000" w:rsidRPr="00000000">
        <w:rPr>
          <w:b w:val="1"/>
          <w:bCs w:val="1"/>
          <w:rtl w:val="0"/>
        </w:rPr>
        <w:t xml:space="preserve">0.99</w:t>
      </w:r>
      <w:r w:rsidDel="00000000" w:rsidR="00000000" w:rsidRPr="00000000">
        <w:rPr>
          <w:rtl w:val="0"/>
        </w:rPr>
        <w:t xml:space="preserve">  (2024).</w:t>
      </w:r>
    </w:p>
    <w:p w:rsidR="00000000" w:rsidDel="00000000" w:rsidP="00000000" w:rsidRDefault="00000000" w:rsidRPr="00000000" w14:paraId="0000000F">
      <w:pPr>
        <w:numPr>
          <w:ilvl w:val="0"/>
          <w:numId w:val="1"/>
        </w:numPr>
        <w:ind w:left="720" w:hanging="360"/>
        <w:rPr>
          <w:u w:val="none"/>
        </w:rPr>
      </w:pPr>
      <w:r w:rsidDel="00000000" w:rsidR="00000000" w:rsidRPr="00000000">
        <w:rPr>
          <w:b w:val="1"/>
          <w:bCs w:val="1"/>
          <w:rtl w:val="0"/>
        </w:rPr>
        <w:t xml:space="preserve">Uniformity (COD):</w:t>
      </w:r>
      <w:r w:rsidDel="00000000" w:rsidR="00000000" w:rsidRPr="00000000">
        <w:rPr>
          <w:rtl w:val="0"/>
        </w:rPr>
        <w:t xml:space="preserve">  Improved dramatically from 14.2% (2017) to  </w:t>
      </w:r>
      <w:r w:rsidDel="00000000" w:rsidR="00000000" w:rsidRPr="00000000">
        <w:rPr>
          <w:b w:val="1"/>
          <w:bCs w:val="1"/>
          <w:rtl w:val="0"/>
        </w:rPr>
        <w:t xml:space="preserve">6.8%</w:t>
      </w:r>
      <w:r w:rsidDel="00000000" w:rsidR="00000000" w:rsidRPr="00000000">
        <w:rPr>
          <w:rtl w:val="0"/>
        </w:rPr>
        <w:t xml:space="preserve">  (2024), achieving a new standard of excellence.</w:t>
      </w:r>
    </w:p>
    <w:p w:rsidR="00000000" w:rsidDel="00000000" w:rsidP="00000000" w:rsidRDefault="00000000" w:rsidRPr="00000000" w14:paraId="00000010">
      <w:pPr>
        <w:pStyle w:val="Heading4"/>
        <w:rPr/>
      </w:pPr>
      <w:bookmarkStart w:colFirst="0" w:colLast="0" w:name="_lqpkj2j0iprq" w:id="5"/>
      <w:bookmarkEnd w:id="5"/>
      <w:r w:rsidDel="00000000" w:rsidR="00000000" w:rsidRPr="00000000">
        <w:rPr>
          <w:rtl w:val="0"/>
        </w:rPr>
        <w:t xml:space="preserve">The "Benton Model": Core Operational Doctrine</w:t>
      </w:r>
    </w:p>
    <w:p w:rsidR="00000000" w:rsidDel="00000000" w:rsidP="00000000" w:rsidRDefault="00000000" w:rsidRPr="00000000" w14:paraId="00000011">
      <w:pPr>
        <w:rPr/>
      </w:pPr>
      <w:r w:rsidDel="00000000" w:rsidR="00000000" w:rsidRPr="00000000">
        <w:rPr>
          <w:rtl w:val="0"/>
        </w:rPr>
        <w:t xml:space="preserve">The county's success is a direct consequence of a deliberate operating doctrine designed to reduce time-lag, detect drift early, prevent averaging errors, and maintain local control.</w:t>
      </w:r>
    </w:p>
    <w:p w:rsidR="00000000" w:rsidDel="00000000" w:rsidP="00000000" w:rsidRDefault="00000000" w:rsidRPr="00000000" w14:paraId="00000012">
      <w:pPr>
        <w:numPr>
          <w:ilvl w:val="0"/>
          <w:numId w:val="2"/>
        </w:numPr>
        <w:ind w:left="720" w:hanging="360"/>
        <w:rPr>
          <w:u w:val="none"/>
        </w:rPr>
      </w:pPr>
      <w:r w:rsidDel="00000000" w:rsidR="00000000" w:rsidRPr="00000000">
        <w:rPr>
          <w:b w:val="1"/>
          <w:bCs w:val="1"/>
          <w:rtl w:val="0"/>
        </w:rPr>
        <w:t xml:space="preserve">Pillar 1: Annual Cadence &amp; Continuous Micro-Monitoring:</w:t>
      </w:r>
      <w:r w:rsidDel="00000000" w:rsidR="00000000" w:rsidRPr="00000000">
        <w:rPr>
          <w:rtl w:val="0"/>
        </w:rPr>
        <w:t xml:space="preserve">  The county replaced static models with an annual revaluation cycle, viewing time-lag as "the mother of regressivity." This is supplemented by quarterly diagnostics to run short-cycle ratio studies on specific value-tiers, neighborhoods, and property types. The philosophy is: "You cannot correct a bias you do not measure in time."</w:t>
      </w:r>
    </w:p>
    <w:p w:rsidR="00000000" w:rsidDel="00000000" w:rsidP="00000000" w:rsidRDefault="00000000" w:rsidRPr="00000000" w14:paraId="00000013">
      <w:pPr>
        <w:numPr>
          <w:ilvl w:val="0"/>
          <w:numId w:val="2"/>
        </w:numPr>
        <w:ind w:left="720" w:hanging="360"/>
        <w:rPr>
          <w:u w:val="none"/>
        </w:rPr>
      </w:pPr>
      <w:r w:rsidDel="00000000" w:rsidR="00000000" w:rsidRPr="00000000">
        <w:rPr>
          <w:b w:val="1"/>
          <w:bCs w:val="1"/>
          <w:rtl w:val="0"/>
        </w:rPr>
        <w:t xml:space="preserve">Pillar 2: Local Calibration &amp; Internal Cost Tables:</w:t>
      </w:r>
      <w:r w:rsidDel="00000000" w:rsidR="00000000" w:rsidRPr="00000000">
        <w:rPr>
          <w:rtl w:val="0"/>
        </w:rPr>
        <w:t xml:space="preserve">  Owning the cost tables is positioned as an "equity governance stance." It allows the office to correct "shape errors"—where a model's slope is wrong across the price distribution—which is identified as where regressivity and progressivity actually live. This reduces dependency on black-box vendor systems and increases the capacity to fix bias where it forms.</w:t>
      </w:r>
    </w:p>
    <w:p w:rsidR="00000000" w:rsidDel="00000000" w:rsidP="00000000" w:rsidRDefault="00000000" w:rsidRPr="00000000" w14:paraId="00000014">
      <w:pPr>
        <w:numPr>
          <w:ilvl w:val="0"/>
          <w:numId w:val="2"/>
        </w:numPr>
        <w:ind w:left="720" w:hanging="360"/>
        <w:rPr>
          <w:u w:val="none"/>
        </w:rPr>
      </w:pPr>
      <w:r w:rsidDel="00000000" w:rsidR="00000000" w:rsidRPr="00000000">
        <w:rPr>
          <w:b w:val="1"/>
          <w:bCs w:val="1"/>
          <w:rtl w:val="0"/>
        </w:rPr>
        <w:t xml:space="preserve">Pillar 3: A "Defensibility Mindset" for Public Trust:</w:t>
      </w:r>
      <w:r w:rsidDel="00000000" w:rsidR="00000000" w:rsidRPr="00000000">
        <w:rPr>
          <w:rtl w:val="0"/>
        </w:rPr>
        <w:t xml:space="preserve">  This pillar connects technical accuracy to public trust. The discipline that protects vertical equity also enhances neighborhood credibility, making value changes explainable and transparent. This translates directly to the low appeal rate. The report notes, "Best-in-class offices don't just produce correct numbers; they produce defensible narratives that taxpayers, boards, and technical reviewers can all understand."To prove its claims, the county uses a triad of advanced diagnostics:</w:t>
      </w:r>
    </w:p>
    <w:p w:rsidR="00000000" w:rsidDel="00000000" w:rsidP="00000000" w:rsidRDefault="00000000" w:rsidRPr="00000000" w14:paraId="00000015">
      <w:pPr>
        <w:numPr>
          <w:ilvl w:val="0"/>
          <w:numId w:val="8"/>
        </w:numPr>
        <w:ind w:left="720" w:hanging="360"/>
        <w:rPr>
          <w:u w:val="none"/>
        </w:rPr>
      </w:pPr>
      <w:r w:rsidDel="00000000" w:rsidR="00000000" w:rsidRPr="00000000">
        <w:rPr>
          <w:b w:val="1"/>
          <w:bCs w:val="1"/>
          <w:rtl w:val="0"/>
        </w:rPr>
        <w:t xml:space="preserve">PRD (Price-Related Differential):</w:t>
      </w:r>
      <w:r w:rsidDel="00000000" w:rsidR="00000000" w:rsidRPr="00000000">
        <w:rPr>
          <w:rtl w:val="0"/>
        </w:rPr>
        <w:t xml:space="preserve">  A ratio test comparing accuracy for high-vs-low value properties. Benton's 2024 PRD is 0.99.</w:t>
      </w:r>
    </w:p>
    <w:p w:rsidR="00000000" w:rsidDel="00000000" w:rsidP="00000000" w:rsidRDefault="00000000" w:rsidRPr="00000000" w14:paraId="00000016">
      <w:pPr>
        <w:numPr>
          <w:ilvl w:val="0"/>
          <w:numId w:val="8"/>
        </w:numPr>
        <w:ind w:left="720" w:hanging="360"/>
        <w:rPr>
          <w:u w:val="none"/>
        </w:rPr>
      </w:pPr>
      <w:r w:rsidDel="00000000" w:rsidR="00000000" w:rsidRPr="00000000">
        <w:rPr>
          <w:b w:val="1"/>
          <w:bCs w:val="1"/>
          <w:rtl w:val="0"/>
        </w:rPr>
        <w:t xml:space="preserve">PRB (Price-Related Bias):</w:t>
      </w:r>
      <w:r w:rsidDel="00000000" w:rsidR="00000000" w:rsidRPr="00000000">
        <w:rPr>
          <w:rtl w:val="0"/>
        </w:rPr>
        <w:t xml:space="preserve">  A more sensitive regression test for systematic bias. Benton's 2024 models show a slope near 0.00.</w:t>
      </w:r>
    </w:p>
    <w:p w:rsidR="00000000" w:rsidDel="00000000" w:rsidP="00000000" w:rsidRDefault="00000000" w:rsidRPr="00000000" w14:paraId="00000017">
      <w:pPr>
        <w:numPr>
          <w:ilvl w:val="0"/>
          <w:numId w:val="8"/>
        </w:numPr>
        <w:ind w:left="720" w:hanging="360"/>
        <w:rPr>
          <w:u w:val="none"/>
        </w:rPr>
      </w:pPr>
      <w:r w:rsidDel="00000000" w:rsidR="00000000" w:rsidRPr="00000000">
        <w:rPr>
          <w:b w:val="1"/>
          <w:bCs w:val="1"/>
          <w:rtl w:val="0"/>
        </w:rPr>
        <w:t xml:space="preserve">VEI (Vertical Equity Index):</w:t>
      </w:r>
      <w:r w:rsidDel="00000000" w:rsidR="00000000" w:rsidRPr="00000000">
        <w:rPr>
          <w:rtl w:val="0"/>
        </w:rPr>
        <w:t xml:space="preserve">  A fine-grained check of ratio dispersion within value tiers. Benton's 2024 VEI is 3.1, considered "Elite" (IAAO Target &lt; 7.0)."If policymakers are worried about regressivity, our message is calm and technical: We measure equity. We correct drift. And we can show our work."</w:t>
      </w:r>
    </w:p>
    <w:p w:rsidR="00000000" w:rsidDel="00000000" w:rsidP="00000000" w:rsidRDefault="00000000" w:rsidRPr="00000000" w14:paraId="00000018">
      <w:pPr>
        <w:pStyle w:val="Heading4"/>
        <w:rPr/>
      </w:pPr>
      <w:bookmarkStart w:colFirst="0" w:colLast="0" w:name="_cwti7vte90u" w:id="6"/>
      <w:bookmarkEnd w:id="6"/>
      <w:r w:rsidDel="00000000" w:rsidR="00000000" w:rsidRPr="00000000">
        <w:rPr>
          <w:rtl w:val="0"/>
        </w:rPr>
        <w:t xml:space="preserve">Strategic Risks and Future Roadmap</w:t>
      </w:r>
    </w:p>
    <w:p w:rsidR="00000000" w:rsidDel="00000000" w:rsidP="00000000" w:rsidRDefault="00000000" w:rsidRPr="00000000" w14:paraId="00000019">
      <w:pPr>
        <w:rPr/>
      </w:pPr>
      <w:r w:rsidDel="00000000" w:rsidR="00000000" w:rsidRPr="00000000">
        <w:rPr>
          <w:rtl w:val="0"/>
        </w:rPr>
        <w:t xml:space="preserve">The primary threats to Benton County's sustained excellence are identified as human and process-related, not technical.</w:t>
      </w:r>
    </w:p>
    <w:p w:rsidR="00000000" w:rsidDel="00000000" w:rsidP="00000000" w:rsidRDefault="00000000" w:rsidRPr="00000000" w14:paraId="0000001A">
      <w:pPr>
        <w:pStyle w:val="Heading5"/>
        <w:rPr/>
      </w:pPr>
      <w:bookmarkStart w:colFirst="0" w:colLast="0" w:name="_u5nf6hjdqzp7" w:id="7"/>
      <w:bookmarkEnd w:id="7"/>
      <w:r w:rsidDel="00000000" w:rsidR="00000000" w:rsidRPr="00000000">
        <w:rPr>
          <w:rtl w:val="0"/>
        </w:rPr>
        <w:t xml:space="preserve">Identified Risks ("The Gathering Storm")</w:t>
      </w:r>
    </w:p>
    <w:p w:rsidR="00000000" w:rsidDel="00000000" w:rsidP="00000000" w:rsidRDefault="00000000" w:rsidRPr="00000000" w14:paraId="0000001B">
      <w:pPr>
        <w:numPr>
          <w:ilvl w:val="0"/>
          <w:numId w:val="10"/>
        </w:numPr>
        <w:ind w:left="720" w:hanging="360"/>
        <w:rPr>
          <w:u w:val="none"/>
        </w:rPr>
      </w:pPr>
      <w:r w:rsidDel="00000000" w:rsidR="00000000" w:rsidRPr="00000000">
        <w:rPr>
          <w:b w:val="1"/>
          <w:bCs w:val="1"/>
          <w:rtl w:val="0"/>
        </w:rPr>
        <w:t xml:space="preserve">Staff Retention &amp; Compensation Gap:</w:t>
      </w:r>
      <w:r w:rsidDel="00000000" w:rsidR="00000000" w:rsidRPr="00000000">
        <w:rPr>
          <w:rtl w:val="0"/>
        </w:rPr>
        <w:t xml:space="preserve">  The average cost per FTE is $74k, approximately 29% below the state median of $103k. This creates high-impact retention pressure, especially for senior appraisers targeted by higher-paying counties and private firms.</w:t>
      </w:r>
    </w:p>
    <w:p w:rsidR="00000000" w:rsidDel="00000000" w:rsidP="00000000" w:rsidRDefault="00000000" w:rsidRPr="00000000" w14:paraId="0000001C">
      <w:pPr>
        <w:numPr>
          <w:ilvl w:val="0"/>
          <w:numId w:val="10"/>
        </w:numPr>
        <w:ind w:left="720" w:hanging="360"/>
        <w:rPr>
          <w:u w:val="none"/>
        </w:rPr>
      </w:pPr>
      <w:r w:rsidDel="00000000" w:rsidR="00000000" w:rsidRPr="00000000">
        <w:rPr>
          <w:b w:val="1"/>
          <w:bCs w:val="1"/>
          <w:rtl w:val="0"/>
        </w:rPr>
        <w:t xml:space="preserve">Single Point of Failure in Personal Property:</w:t>
      </w:r>
      <w:r w:rsidDel="00000000" w:rsidR="00000000" w:rsidRPr="00000000">
        <w:rPr>
          <w:rtl w:val="0"/>
        </w:rPr>
        <w:t xml:space="preserve">  One auditor handles all 5,346 personal property accounts, a workload above the national best practice of two auditors per 5,000 accounts. A single vacancy would create an immediate and unmanageable backlog.</w:t>
      </w:r>
    </w:p>
    <w:p w:rsidR="00000000" w:rsidDel="00000000" w:rsidP="00000000" w:rsidRDefault="00000000" w:rsidRPr="00000000" w14:paraId="0000001D">
      <w:pPr>
        <w:numPr>
          <w:ilvl w:val="0"/>
          <w:numId w:val="10"/>
        </w:numPr>
        <w:ind w:left="720" w:hanging="360"/>
        <w:rPr>
          <w:u w:val="none"/>
        </w:rPr>
      </w:pPr>
      <w:r w:rsidDel="00000000" w:rsidR="00000000" w:rsidRPr="00000000">
        <w:rPr>
          <w:b w:val="1"/>
          <w:bCs w:val="1"/>
          <w:rtl w:val="0"/>
        </w:rPr>
        <w:t xml:space="preserve">Process Bottlenecks from Growth:</w:t>
      </w:r>
      <w:r w:rsidDel="00000000" w:rsidR="00000000" w:rsidRPr="00000000">
        <w:rPr>
          <w:rtl w:val="0"/>
        </w:rPr>
        <w:t xml:space="preserve">  A current two-month segregation backlog is manageable but could spike with the regional housing boom, delaying the addition of new value to the tax roll.</w:t>
      </w:r>
    </w:p>
    <w:p w:rsidR="00000000" w:rsidDel="00000000" w:rsidP="00000000" w:rsidRDefault="00000000" w:rsidRPr="00000000" w14:paraId="0000001E">
      <w:pPr>
        <w:pStyle w:val="Heading5"/>
        <w:rPr/>
      </w:pPr>
      <w:bookmarkStart w:colFirst="0" w:colLast="0" w:name="_3ir3lzv7rll5" w:id="8"/>
      <w:bookmarkEnd w:id="8"/>
      <w:r w:rsidDel="00000000" w:rsidR="00000000" w:rsidRPr="00000000">
        <w:rPr>
          <w:rtl w:val="0"/>
        </w:rPr>
        <w:t xml:space="preserve">Strategic Roadmap for the Future</w:t>
      </w:r>
    </w:p>
    <w:p w:rsidR="00000000" w:rsidDel="00000000" w:rsidP="00000000" w:rsidRDefault="00000000" w:rsidRPr="00000000" w14:paraId="0000001F">
      <w:pPr>
        <w:rPr/>
      </w:pPr>
      <w:r w:rsidDel="00000000" w:rsidR="00000000" w:rsidRPr="00000000">
        <w:rPr>
          <w:rtl w:val="0"/>
        </w:rPr>
        <w:t xml:space="preserve">A roadmap focusing on People, Process, and Technology has been developed to mitigate these risks.</w:t>
      </w:r>
    </w:p>
    <w:p w:rsidR="00000000" w:rsidDel="00000000" w:rsidP="00000000" w:rsidRDefault="00000000" w:rsidRPr="00000000" w14:paraId="00000020">
      <w:pPr>
        <w:numPr>
          <w:ilvl w:val="0"/>
          <w:numId w:val="7"/>
        </w:numPr>
        <w:ind w:left="720" w:hanging="360"/>
        <w:rPr>
          <w:u w:val="none"/>
        </w:rPr>
      </w:pPr>
      <w:r w:rsidDel="00000000" w:rsidR="00000000" w:rsidRPr="00000000">
        <w:rPr>
          <w:b w:val="1"/>
          <w:bCs w:val="1"/>
          <w:rtl w:val="0"/>
        </w:rPr>
        <w:t xml:space="preserve">People:</w:t>
      </w:r>
      <w:r w:rsidDel="00000000" w:rsidR="00000000" w:rsidRPr="00000000">
        <w:rPr>
          <w:rtl w:val="0"/>
        </w:rPr>
        <w:t xml:space="preserve">  Implement a targeted  </w:t>
      </w:r>
      <w:r w:rsidDel="00000000" w:rsidR="00000000" w:rsidRPr="00000000">
        <w:rPr>
          <w:b w:val="1"/>
          <w:bCs w:val="1"/>
          <w:rtl w:val="0"/>
        </w:rPr>
        <w:t xml:space="preserve">10% market-equity adjustment</w:t>
      </w:r>
      <w:r w:rsidDel="00000000" w:rsidR="00000000" w:rsidRPr="00000000">
        <w:rPr>
          <w:rtl w:val="0"/>
        </w:rPr>
        <w:t xml:space="preserve">  for senior appraisers and establish a formal career ladder. This is positioned as highly affordable, costing less than $1.90 per parcel annually. The county will also  </w:t>
      </w:r>
      <w:r w:rsidDel="00000000" w:rsidR="00000000" w:rsidRPr="00000000">
        <w:rPr>
          <w:b w:val="1"/>
          <w:bCs w:val="1"/>
          <w:rtl w:val="0"/>
        </w:rPr>
        <w:t xml:space="preserve">cross-train two real-property appraisers</w:t>
      </w:r>
      <w:r w:rsidDel="00000000" w:rsidR="00000000" w:rsidRPr="00000000">
        <w:rPr>
          <w:rtl w:val="0"/>
        </w:rPr>
        <w:t xml:space="preserve">  in personal-property auditing to build bench strength.</w:t>
      </w:r>
    </w:p>
    <w:p w:rsidR="00000000" w:rsidDel="00000000" w:rsidP="00000000" w:rsidRDefault="00000000" w:rsidRPr="00000000" w14:paraId="00000021">
      <w:pPr>
        <w:numPr>
          <w:ilvl w:val="0"/>
          <w:numId w:val="7"/>
        </w:numPr>
        <w:ind w:left="720" w:hanging="360"/>
        <w:rPr>
          <w:u w:val="none"/>
        </w:rPr>
      </w:pPr>
      <w:r w:rsidDel="00000000" w:rsidR="00000000" w:rsidRPr="00000000">
        <w:rPr>
          <w:b w:val="1"/>
          <w:bCs w:val="1"/>
          <w:rtl w:val="0"/>
        </w:rPr>
        <w:t xml:space="preserve">Process:</w:t>
      </w:r>
      <w:r w:rsidDel="00000000" w:rsidR="00000000" w:rsidRPr="00000000">
        <w:rPr>
          <w:rtl w:val="0"/>
        </w:rPr>
        <w:t xml:space="preserve">  Deploy a  </w:t>
      </w:r>
      <w:r w:rsidDel="00000000" w:rsidR="00000000" w:rsidRPr="00000000">
        <w:rPr>
          <w:b w:val="1"/>
          <w:bCs w:val="1"/>
          <w:rtl w:val="0"/>
        </w:rPr>
        <w:t xml:space="preserve">GIS-driven parcel-split automation wizard</w:t>
      </w:r>
      <w:r w:rsidDel="00000000" w:rsidR="00000000" w:rsidRPr="00000000">
        <w:rPr>
          <w:rtl w:val="0"/>
        </w:rPr>
        <w:t xml:space="preserve">  to reduce the segregation backlog from two months to less than one month, ensuring new value is added to the tax roll faster.</w:t>
      </w:r>
    </w:p>
    <w:p w:rsidR="00000000" w:rsidDel="00000000" w:rsidP="00000000" w:rsidRDefault="00000000" w:rsidRPr="00000000" w14:paraId="00000022">
      <w:pPr>
        <w:numPr>
          <w:ilvl w:val="0"/>
          <w:numId w:val="7"/>
        </w:numPr>
        <w:ind w:left="720" w:hanging="360"/>
        <w:rPr>
          <w:u w:val="none"/>
        </w:rPr>
      </w:pPr>
      <w:r w:rsidDel="00000000" w:rsidR="00000000" w:rsidRPr="00000000">
        <w:rPr>
          <w:b w:val="1"/>
          <w:bCs w:val="1"/>
          <w:rtl w:val="0"/>
        </w:rPr>
        <w:t xml:space="preserve">Technology:</w:t>
      </w:r>
      <w:r w:rsidDel="00000000" w:rsidR="00000000" w:rsidRPr="00000000">
        <w:rPr>
          <w:rtl w:val="0"/>
        </w:rPr>
        <w:t xml:space="preserve">  Formalize quarterly  </w:t>
      </w:r>
      <w:r w:rsidDel="00000000" w:rsidR="00000000" w:rsidRPr="00000000">
        <w:rPr>
          <w:b w:val="1"/>
          <w:bCs w:val="1"/>
          <w:rtl w:val="0"/>
        </w:rPr>
        <w:t xml:space="preserve">"micro-ratio" studies using automated SQL/BI dashboards</w:t>
      </w:r>
      <w:r w:rsidDel="00000000" w:rsidR="00000000" w:rsidRPr="00000000">
        <w:rPr>
          <w:rtl w:val="0"/>
        </w:rPr>
        <w:t xml:space="preserve"> . This will create an early-warning system to automatically flag neighborhood or property class drift, preventing future "dips" like the one in 2017.</w:t>
      </w:r>
    </w:p>
    <w:p w:rsidR="00000000" w:rsidDel="00000000" w:rsidP="00000000" w:rsidRDefault="00000000" w:rsidRPr="00000000" w14:paraId="00000023">
      <w:pPr>
        <w:pStyle w:val="Heading5"/>
        <w:rPr/>
      </w:pPr>
      <w:bookmarkStart w:colFirst="0" w:colLast="0" w:name="_mlkc4phz7og4" w:id="9"/>
      <w:bookmarkEnd w:id="9"/>
      <w:r w:rsidDel="00000000" w:rsidR="00000000" w:rsidRPr="00000000">
        <w:rPr>
          <w:rtl w:val="0"/>
        </w:rPr>
        <w:t xml:space="preserve">Vision for 2027</w:t>
      </w:r>
    </w:p>
    <w:p w:rsidR="00000000" w:rsidDel="00000000" w:rsidP="00000000" w:rsidRDefault="00000000" w:rsidRPr="00000000" w14:paraId="00000024">
      <w:pPr>
        <w:rPr/>
      </w:pPr>
      <w:r w:rsidDel="00000000" w:rsidR="00000000" w:rsidRPr="00000000">
        <w:rPr>
          <w:rtl w:val="0"/>
        </w:rPr>
        <w:t xml:space="preserve">Strategic investments are projected to widen the county's performance gap and secure its status as a premier assessment organization.| KPI | 2024 Actual | 2027 Target || ------ | ------ | ------ || </w:t>
      </w:r>
      <w:r w:rsidDel="00000000" w:rsidR="00000000" w:rsidRPr="00000000">
        <w:rPr>
          <w:b w:val="1"/>
          <w:bCs w:val="1"/>
          <w:rtl w:val="0"/>
        </w:rPr>
        <w:t xml:space="preserve">Median Ratio</w:t>
      </w:r>
      <w:r w:rsidDel="00000000" w:rsidR="00000000" w:rsidRPr="00000000">
        <w:rPr>
          <w:rtl w:val="0"/>
        </w:rPr>
        <w:t xml:space="preserve"> | 95.8% | &gt; 97.0% || </w:t>
      </w:r>
      <w:r w:rsidDel="00000000" w:rsidR="00000000" w:rsidRPr="00000000">
        <w:rPr>
          <w:b w:val="1"/>
          <w:bCs w:val="1"/>
          <w:rtl w:val="0"/>
        </w:rPr>
        <w:t xml:space="preserve">COD (Residential)</w:t>
      </w:r>
      <w:r w:rsidDel="00000000" w:rsidR="00000000" w:rsidRPr="00000000">
        <w:rPr>
          <w:rtl w:val="0"/>
        </w:rPr>
        <w:t xml:space="preserve"> | 6.8% | &lt; 6.0% || </w:t>
      </w:r>
      <w:r w:rsidDel="00000000" w:rsidR="00000000" w:rsidRPr="00000000">
        <w:rPr>
          <w:b w:val="1"/>
          <w:bCs w:val="1"/>
          <w:rtl w:val="0"/>
        </w:rPr>
        <w:t xml:space="preserve">Staff Turnover</w:t>
      </w:r>
      <w:r w:rsidDel="00000000" w:rsidR="00000000" w:rsidRPr="00000000">
        <w:rPr>
          <w:rtl w:val="0"/>
        </w:rPr>
        <w:t xml:space="preserve"> | 11% (Est.) | &lt; 5% || </w:t>
      </w:r>
      <w:r w:rsidDel="00000000" w:rsidR="00000000" w:rsidRPr="00000000">
        <w:rPr>
          <w:b w:val="1"/>
          <w:bCs w:val="1"/>
          <w:rtl w:val="0"/>
        </w:rPr>
        <w:t xml:space="preserve">Appeal Rate</w:t>
      </w:r>
      <w:r w:rsidDel="00000000" w:rsidR="00000000" w:rsidRPr="00000000">
        <w:rPr>
          <w:rtl w:val="0"/>
        </w:rPr>
        <w:t xml:space="preserve"> | 0.27% | &lt; 0.20% || </w:t>
      </w:r>
      <w:r w:rsidDel="00000000" w:rsidR="00000000" w:rsidRPr="00000000">
        <w:rPr>
          <w:b w:val="1"/>
          <w:bCs w:val="1"/>
          <w:rtl w:val="0"/>
        </w:rPr>
        <w:t xml:space="preserve">Cost Per Parcel</w:t>
      </w:r>
      <w:r w:rsidDel="00000000" w:rsidR="00000000" w:rsidRPr="00000000">
        <w:rPr>
          <w:rtl w:val="0"/>
        </w:rPr>
        <w:t xml:space="preserve"> | $21.74 | ~$24.75 |</w:t>
      </w:r>
    </w:p>
    <w:p w:rsidR="00000000" w:rsidDel="00000000" w:rsidP="00000000" w:rsidRDefault="00000000" w:rsidRPr="00000000" w14:paraId="00000025">
      <w:pPr>
        <w:pStyle w:val="Heading4"/>
        <w:rPr/>
      </w:pPr>
      <w:bookmarkStart w:colFirst="0" w:colLast="0" w:name="_3znoc8dp2res" w:id="10"/>
      <w:bookmarkEnd w:id="10"/>
      <w:r w:rsidDel="00000000" w:rsidR="00000000" w:rsidRPr="00000000">
        <w:rPr>
          <w:rtl w:val="0"/>
        </w:rPr>
        <w:t xml:space="preserve">The TerraFusion Technology Ecosystem</w:t>
      </w:r>
    </w:p>
    <w:p w:rsidR="00000000" w:rsidDel="00000000" w:rsidP="00000000" w:rsidRDefault="00000000" w:rsidRPr="00000000" w14:paraId="00000026">
      <w:pPr>
        <w:rPr/>
      </w:pPr>
      <w:r w:rsidDel="00000000" w:rsidR="00000000" w:rsidRPr="00000000">
        <w:rPr>
          <w:rtl w:val="0"/>
        </w:rPr>
        <w:t xml:space="preserve">The operational success of Benton County is enabled by a sophisticated technology platform that embodies a unique engineering philosophy focused on creating high-integrity systems for government.</w:t>
      </w:r>
    </w:p>
    <w:p w:rsidR="00000000" w:rsidDel="00000000" w:rsidP="00000000" w:rsidRDefault="00000000" w:rsidRPr="00000000" w14:paraId="00000027">
      <w:pPr>
        <w:pStyle w:val="Heading5"/>
        <w:rPr/>
      </w:pPr>
      <w:bookmarkStart w:colFirst="0" w:colLast="0" w:name="_v4v128yit1xj" w:id="11"/>
      <w:bookmarkEnd w:id="11"/>
      <w:r w:rsidDel="00000000" w:rsidR="00000000" w:rsidRPr="00000000">
        <w:rPr>
          <w:rtl w:val="0"/>
        </w:rPr>
        <w:t xml:space="preserve">Axiom Core: A Philosophy of "Sovereign Data"</w:t>
      </w:r>
    </w:p>
    <w:p w:rsidR="00000000" w:rsidDel="00000000" w:rsidP="00000000" w:rsidRDefault="00000000" w:rsidRPr="00000000" w14:paraId="00000028">
      <w:pPr>
        <w:rPr/>
      </w:pPr>
      <w:r w:rsidDel="00000000" w:rsidR="00000000" w:rsidRPr="00000000">
        <w:rPr>
          <w:rtl w:val="0"/>
        </w:rPr>
        <w:t xml:space="preserve">The core philosophy, articulated by the tagline "Government. Transcended.", is manifested in the  </w:t>
      </w:r>
      <w:r w:rsidDel="00000000" w:rsidR="00000000" w:rsidRPr="00000000">
        <w:rPr>
          <w:b w:val="1"/>
          <w:bCs w:val="1"/>
          <w:rtl w:val="0"/>
        </w:rPr>
        <w:t xml:space="preserve">AxiomFS</w:t>
      </w:r>
      <w:r w:rsidDel="00000000" w:rsidR="00000000" w:rsidRPr="00000000">
        <w:rPr>
          <w:rtl w:val="0"/>
        </w:rPr>
        <w:t xml:space="preserve"> , a "Sovereign File Lattice for high-integrity government data." This is not a traditional file system but an architectural approach guided by a "visual and mathematical constitution."</w:t>
      </w:r>
    </w:p>
    <w:p w:rsidR="00000000" w:rsidDel="00000000" w:rsidP="00000000" w:rsidRDefault="00000000" w:rsidRPr="00000000" w14:paraId="00000029">
      <w:pPr>
        <w:numPr>
          <w:ilvl w:val="0"/>
          <w:numId w:val="9"/>
        </w:numPr>
        <w:ind w:left="720" w:hanging="360"/>
        <w:rPr>
          <w:b w:val="1"/>
          <w:bCs w:val="1"/>
          <w:u w:val="none"/>
        </w:rPr>
      </w:pPr>
      <w:r w:rsidDel="00000000" w:rsidR="00000000" w:rsidRPr="00000000">
        <w:rPr>
          <w:b w:val="1"/>
          <w:bCs w:val="1"/>
          <w:rtl w:val="0"/>
        </w:rPr>
        <w:t xml:space="preserve">Core Principles:</w:t>
      </w:r>
    </w:p>
    <w:p w:rsidR="00000000" w:rsidDel="00000000" w:rsidP="00000000" w:rsidRDefault="00000000" w:rsidRPr="00000000" w14:paraId="0000002A">
      <w:pPr>
        <w:numPr>
          <w:ilvl w:val="0"/>
          <w:numId w:val="9"/>
        </w:numPr>
        <w:ind w:left="720" w:hanging="360"/>
        <w:rPr>
          <w:u w:val="none"/>
        </w:rPr>
      </w:pPr>
      <w:r w:rsidDel="00000000" w:rsidR="00000000" w:rsidRPr="00000000">
        <w:rPr>
          <w:b w:val="1"/>
          <w:bCs w:val="1"/>
          <w:rtl w:val="0"/>
        </w:rPr>
        <w:t xml:space="preserve">Yin &amp; Yang Balance:</w:t>
      </w:r>
      <w:r w:rsidDel="00000000" w:rsidR="00000000" w:rsidRPr="00000000">
        <w:rPr>
          <w:rtl w:val="0"/>
        </w:rPr>
        <w:t xml:space="preserve">  A Dark Substrate (#0b1020) acts as a receptive void, while "Earned Light" (Transcend Cyan, Optimized Green) signals intent and verified outcomes.</w:t>
      </w:r>
    </w:p>
    <w:p w:rsidR="00000000" w:rsidDel="00000000" w:rsidP="00000000" w:rsidRDefault="00000000" w:rsidRPr="00000000" w14:paraId="0000002B">
      <w:pPr>
        <w:numPr>
          <w:ilvl w:val="0"/>
          <w:numId w:val="9"/>
        </w:numPr>
        <w:ind w:left="720" w:hanging="360"/>
        <w:rPr>
          <w:u w:val="none"/>
        </w:rPr>
      </w:pPr>
      <w:r w:rsidDel="00000000" w:rsidR="00000000" w:rsidRPr="00000000">
        <w:rPr>
          <w:b w:val="1"/>
          <w:bCs w:val="1"/>
          <w:rtl w:val="0"/>
        </w:rPr>
        <w:t xml:space="preserve">Golden Ratio (Φ):</w:t>
      </w:r>
      <w:r w:rsidDel="00000000" w:rsidR="00000000" w:rsidRPr="00000000">
        <w:rPr>
          <w:rtl w:val="0"/>
        </w:rPr>
        <w:t xml:space="preserve">  All geometry, layout, and motion are governed by phi to ensure mathematical order.</w:t>
      </w:r>
    </w:p>
    <w:p w:rsidR="00000000" w:rsidDel="00000000" w:rsidP="00000000" w:rsidRDefault="00000000" w:rsidRPr="00000000" w14:paraId="0000002C">
      <w:pPr>
        <w:numPr>
          <w:ilvl w:val="0"/>
          <w:numId w:val="9"/>
        </w:numPr>
        <w:ind w:left="720" w:hanging="360"/>
        <w:rPr>
          <w:u w:val="none"/>
        </w:rPr>
      </w:pPr>
      <w:r w:rsidDel="00000000" w:rsidR="00000000" w:rsidRPr="00000000">
        <w:rPr>
          <w:b w:val="1"/>
          <w:bCs w:val="1"/>
          <w:rtl w:val="0"/>
        </w:rPr>
        <w:t xml:space="preserve">Circular Dominance:</w:t>
      </w:r>
      <w:r w:rsidDel="00000000" w:rsidR="00000000" w:rsidRPr="00000000">
        <w:rPr>
          <w:rtl w:val="0"/>
        </w:rPr>
        <w:t xml:space="preserve">  The system avoids sharp angles, relying on orbs, arcs, and spirals to create a futuristic, non-confrontational interface.</w:t>
      </w:r>
    </w:p>
    <w:p w:rsidR="00000000" w:rsidDel="00000000" w:rsidP="00000000" w:rsidRDefault="00000000" w:rsidRPr="00000000" w14:paraId="0000002D">
      <w:pPr>
        <w:numPr>
          <w:ilvl w:val="0"/>
          <w:numId w:val="9"/>
        </w:numPr>
        <w:ind w:left="720" w:hanging="360"/>
        <w:rPr>
          <w:u w:val="none"/>
        </w:rPr>
      </w:pPr>
      <w:r w:rsidDel="00000000" w:rsidR="00000000" w:rsidRPr="00000000">
        <w:rPr>
          <w:b w:val="1"/>
          <w:bCs w:val="1"/>
          <w:rtl w:val="0"/>
        </w:rPr>
        <w:t xml:space="preserve">From Containment to Connection:</w:t>
      </w:r>
      <w:r w:rsidDel="00000000" w:rsidR="00000000" w:rsidRPr="00000000">
        <w:rPr>
          <w:rtl w:val="0"/>
        </w:rPr>
        <w:t xml:space="preserve">  The system explicitly rejects "The Chaos of Containment" (folders) in favor of "The Order of Connection." Data is not "'stored' in boxes; it is 'mapped' in a high-integrity graph." Files are linked by metadata "arcs" forming a web of governance.</w:t>
      </w:r>
    </w:p>
    <w:p w:rsidR="00000000" w:rsidDel="00000000" w:rsidP="00000000" w:rsidRDefault="00000000" w:rsidRPr="00000000" w14:paraId="0000002E">
      <w:pPr>
        <w:numPr>
          <w:ilvl w:val="0"/>
          <w:numId w:val="9"/>
        </w:numPr>
        <w:ind w:left="720" w:hanging="360"/>
        <w:rPr>
          <w:u w:val="none"/>
        </w:rPr>
      </w:pPr>
      <w:r w:rsidDel="00000000" w:rsidR="00000000" w:rsidRPr="00000000">
        <w:rPr>
          <w:b w:val="1"/>
          <w:bCs w:val="1"/>
          <w:rtl w:val="0"/>
        </w:rPr>
        <w:t xml:space="preserve">Sovereign Objects &amp; GlassVoxels:</w:t>
      </w:r>
      <w:r w:rsidDel="00000000" w:rsidR="00000000" w:rsidRPr="00000000">
        <w:rPr>
          <w:rtl w:val="0"/>
        </w:rPr>
        <w:t xml:space="preserve">  The fundamental unit is the SovereignObject, a traceable node in the graph. Instead of 2D icons, these are rendered as GlassVoxels—"dumb terminals" that render the physics provided by the layout engine.</w:t>
      </w:r>
    </w:p>
    <w:p w:rsidR="00000000" w:rsidDel="00000000" w:rsidP="00000000" w:rsidRDefault="00000000" w:rsidRPr="00000000" w14:paraId="0000002F">
      <w:pPr>
        <w:numPr>
          <w:ilvl w:val="0"/>
          <w:numId w:val="9"/>
        </w:numPr>
        <w:ind w:left="720" w:hanging="360"/>
        <w:rPr>
          <w:u w:val="none"/>
        </w:rPr>
      </w:pPr>
      <w:r w:rsidDel="00000000" w:rsidR="00000000" w:rsidRPr="00000000">
        <w:rPr>
          <w:b w:val="1"/>
          <w:bCs w:val="1"/>
          <w:rtl w:val="0"/>
        </w:rPr>
        <w:t xml:space="preserve">Deterministic &amp; Verifiable:</w:t>
      </w:r>
      <w:r w:rsidDel="00000000" w:rsidR="00000000" w:rsidRPr="00000000">
        <w:rPr>
          <w:rtl w:val="0"/>
        </w:rPr>
        <w:t xml:space="preserve">  The LatticeLayoutEngine is a pure function that translates the data graph into a render-ready coordinate system using a Breadth-First Search (BFS) algorithm. The system's behavior is "frozen in a comprehensive test suite" to guarantee that the core physics remain sovereign and predictable.</w:t>
      </w:r>
    </w:p>
    <w:p w:rsidR="00000000" w:rsidDel="00000000" w:rsidP="00000000" w:rsidRDefault="00000000" w:rsidRPr="00000000" w14:paraId="00000030">
      <w:pPr>
        <w:pStyle w:val="Heading5"/>
        <w:rPr/>
      </w:pPr>
      <w:bookmarkStart w:colFirst="0" w:colLast="0" w:name="_tfkyxnk2846f" w:id="12"/>
      <w:bookmarkEnd w:id="12"/>
      <w:r w:rsidDel="00000000" w:rsidR="00000000" w:rsidRPr="00000000">
        <w:rPr>
          <w:rtl w:val="0"/>
        </w:rPr>
        <w:t xml:space="preserve">Platform Implementation: TerraBuild &amp; CostForge AI</w:t>
      </w:r>
    </w:p>
    <w:p w:rsidR="00000000" w:rsidDel="00000000" w:rsidP="00000000" w:rsidRDefault="00000000" w:rsidRPr="00000000" w14:paraId="00000031">
      <w:pPr>
        <w:numPr>
          <w:ilvl w:val="0"/>
          <w:numId w:val="5"/>
        </w:numPr>
        <w:ind w:left="720" w:hanging="360"/>
        <w:rPr>
          <w:u w:val="none"/>
        </w:rPr>
      </w:pPr>
      <w:r w:rsidDel="00000000" w:rsidR="00000000" w:rsidRPr="00000000">
        <w:rPr>
          <w:b w:val="1"/>
          <w:bCs w:val="1"/>
          <w:rtl w:val="0"/>
        </w:rPr>
        <w:t xml:space="preserve">TerraBuild Modernization Platform (CLAUDE):</w:t>
      </w:r>
      <w:r w:rsidDel="00000000" w:rsidR="00000000" w:rsidRPr="00000000">
        <w:rPr>
          <w:rtl w:val="0"/>
        </w:rPr>
        <w:t xml:space="preserve">  A Node.js/React platform serving as the web-based interface for the TerraFusion ecosystem. It features a single-port architecture, Drizzle ORM with a PostgreSQL backend, and a comprehensive suite of development guides that enforce "The TerraFusion Way" of engineering excellence.</w:t>
      </w:r>
    </w:p>
    <w:p w:rsidR="00000000" w:rsidDel="00000000" w:rsidP="00000000" w:rsidRDefault="00000000" w:rsidRPr="00000000" w14:paraId="00000032">
      <w:pPr>
        <w:numPr>
          <w:ilvl w:val="0"/>
          <w:numId w:val="5"/>
        </w:numPr>
        <w:ind w:left="720" w:hanging="360"/>
        <w:rPr>
          <w:u w:val="none"/>
        </w:rPr>
      </w:pPr>
      <w:r w:rsidDel="00000000" w:rsidR="00000000" w:rsidRPr="00000000">
        <w:rPr>
          <w:b w:val="1"/>
          <w:bCs w:val="1"/>
          <w:rtl w:val="0"/>
        </w:rPr>
        <w:t xml:space="preserve">Model Content Protocol (MCP):</w:t>
      </w:r>
      <w:r w:rsidDel="00000000" w:rsidR="00000000" w:rsidRPr="00000000">
        <w:rPr>
          <w:rtl w:val="0"/>
        </w:rPr>
        <w:t xml:space="preserve">  An AI coordination layer that enables specialized AI agents (10+) to collaborate on complex tasks. A key example is the Benton County Conversion Agent, which handles data conversions from Marshall Swift formats.</w:t>
      </w:r>
    </w:p>
    <w:p w:rsidR="00000000" w:rsidDel="00000000" w:rsidP="00000000" w:rsidRDefault="00000000" w:rsidRPr="00000000" w14:paraId="00000033">
      <w:pPr>
        <w:numPr>
          <w:ilvl w:val="0"/>
          <w:numId w:val="5"/>
        </w:numPr>
        <w:ind w:left="720" w:hanging="360"/>
        <w:rPr>
          <w:u w:val="none"/>
        </w:rPr>
      </w:pPr>
      <w:r w:rsidDel="00000000" w:rsidR="00000000" w:rsidRPr="00000000">
        <w:rPr>
          <w:b w:val="1"/>
          <w:bCs w:val="1"/>
          <w:rtl w:val="0"/>
        </w:rPr>
        <w:t xml:space="preserve">CostForge AI:</w:t>
      </w:r>
      <w:r w:rsidDel="00000000" w:rsidR="00000000" w:rsidRPr="00000000">
        <w:rPr>
          <w:rtl w:val="0"/>
        </w:rPr>
        <w:t xml:space="preserve">  The enterprise cost estimation engine for the platform, serving 39+ Washington counties. It is described as  </w:t>
      </w:r>
      <w:r w:rsidDel="00000000" w:rsidR="00000000" w:rsidRPr="00000000">
        <w:rPr>
          <w:b w:val="1"/>
          <w:bCs w:val="1"/>
          <w:rtl w:val="0"/>
        </w:rPr>
        <w:t xml:space="preserve">379 million times faster</w:t>
      </w:r>
      <w:r w:rsidDel="00000000" w:rsidR="00000000" w:rsidRPr="00000000">
        <w:rPr>
          <w:rtl w:val="0"/>
        </w:rPr>
        <w:t xml:space="preserve">  than Marshall &amp; Swift. It operates in a dual mode:</w:t>
      </w:r>
    </w:p>
    <w:p w:rsidR="00000000" w:rsidDel="00000000" w:rsidP="00000000" w:rsidRDefault="00000000" w:rsidRPr="00000000" w14:paraId="00000034">
      <w:pPr>
        <w:numPr>
          <w:ilvl w:val="0"/>
          <w:numId w:val="5"/>
        </w:numPr>
        <w:ind w:left="720" w:hanging="360"/>
        <w:rPr>
          <w:u w:val="none"/>
        </w:rPr>
      </w:pPr>
      <w:r w:rsidDel="00000000" w:rsidR="00000000" w:rsidRPr="00000000">
        <w:rPr>
          <w:b w:val="1"/>
          <w:bCs w:val="1"/>
          <w:rtl w:val="0"/>
        </w:rPr>
        <w:t xml:space="preserve">Legacy Cost Mode:</w:t>
      </w:r>
      <w:r w:rsidDel="00000000" w:rsidR="00000000" w:rsidRPr="00000000">
        <w:rPr>
          <w:rtl w:val="0"/>
        </w:rPr>
        <w:t xml:space="preserve">  A Flask-based system targeting 94%+ accuracy using traditional cost matrices.</w:t>
      </w:r>
    </w:p>
    <w:p w:rsidR="00000000" w:rsidDel="00000000" w:rsidP="00000000" w:rsidRDefault="00000000" w:rsidRPr="00000000" w14:paraId="00000035">
      <w:pPr>
        <w:numPr>
          <w:ilvl w:val="0"/>
          <w:numId w:val="5"/>
        </w:numPr>
        <w:ind w:left="720" w:hanging="360"/>
        <w:rPr>
          <w:u w:val="none"/>
        </w:rPr>
      </w:pPr>
      <w:r w:rsidDel="00000000" w:rsidR="00000000" w:rsidRPr="00000000">
        <w:rPr>
          <w:b w:val="1"/>
          <w:bCs w:val="1"/>
          <w:rtl w:val="0"/>
        </w:rPr>
        <w:t xml:space="preserve">Elite Quantum Mode:</w:t>
      </w:r>
      <w:r w:rsidDel="00000000" w:rsidR="00000000" w:rsidRPr="00000000">
        <w:rPr>
          <w:rtl w:val="0"/>
        </w:rPr>
        <w:t xml:space="preserve">  A FastAPI-based system using a swarm of 1,008 AI agents and "consciousness analysis" to achieve  </w:t>
      </w:r>
      <w:r w:rsidDel="00000000" w:rsidR="00000000" w:rsidRPr="00000000">
        <w:rPr>
          <w:b w:val="1"/>
          <w:bCs w:val="1"/>
          <w:rtl w:val="0"/>
        </w:rPr>
        <w:t xml:space="preserve">99.5% accuracy</w:t>
      </w:r>
      <w:r w:rsidDel="00000000" w:rsidR="00000000" w:rsidRPr="00000000">
        <w:rPr>
          <w:rtl w:val="0"/>
        </w:rPr>
        <w:t xml:space="preserve">  and process over 10,000 properties per second.</w:t>
      </w:r>
    </w:p>
    <w:p w:rsidR="00000000" w:rsidDel="00000000" w:rsidP="00000000" w:rsidRDefault="00000000" w:rsidRPr="00000000" w14:paraId="00000036">
      <w:pPr>
        <w:pStyle w:val="Heading4"/>
        <w:rPr/>
      </w:pPr>
      <w:bookmarkStart w:colFirst="0" w:colLast="0" w:name="_bzaimgdig9v" w:id="13"/>
      <w:bookmarkEnd w:id="13"/>
      <w:r w:rsidDel="00000000" w:rsidR="00000000" w:rsidRPr="00000000">
        <w:rPr>
          <w:rtl w:val="0"/>
        </w:rPr>
        <w:t xml:space="preserve">Key Operational Systems and Processes</w:t>
      </w:r>
    </w:p>
    <w:p w:rsidR="00000000" w:rsidDel="00000000" w:rsidP="00000000" w:rsidRDefault="00000000" w:rsidRPr="00000000" w14:paraId="00000037">
      <w:pPr>
        <w:rPr/>
      </w:pPr>
      <w:r w:rsidDel="00000000" w:rsidR="00000000" w:rsidRPr="00000000">
        <w:rPr>
          <w:rtl w:val="0"/>
        </w:rPr>
        <w:t xml:space="preserve">The TerraFusion platform enables highly disciplined and auditable workflows critical to the Benton Model.</w:t>
      </w:r>
    </w:p>
    <w:p w:rsidR="00000000" w:rsidDel="00000000" w:rsidP="00000000" w:rsidRDefault="00000000" w:rsidRPr="00000000" w14:paraId="00000038">
      <w:pPr>
        <w:pStyle w:val="Heading5"/>
        <w:rPr/>
      </w:pPr>
      <w:bookmarkStart w:colFirst="0" w:colLast="0" w:name="_i5vhssbffhhu" w:id="14"/>
      <w:bookmarkEnd w:id="14"/>
      <w:r w:rsidDel="00000000" w:rsidR="00000000" w:rsidRPr="00000000">
        <w:rPr>
          <w:rtl w:val="0"/>
        </w:rPr>
        <w:t xml:space="preserve">Market-Calibrated Costing Workflow</w:t>
      </w:r>
    </w:p>
    <w:p w:rsidR="00000000" w:rsidDel="00000000" w:rsidP="00000000" w:rsidRDefault="00000000" w:rsidRPr="00000000" w14:paraId="00000039">
      <w:pPr>
        <w:rPr/>
      </w:pPr>
      <w:r w:rsidDel="00000000" w:rsidR="00000000" w:rsidRPr="00000000">
        <w:rPr>
          <w:rtl w:val="0"/>
        </w:rPr>
        <w:t xml:space="preserve">Benton County employs a rigorous, IAAO-defensible process for updating its internal cost tables (RES matrices) based on market evidence, explicitly designed to prevent "sales chasing."</w:t>
      </w:r>
    </w:p>
    <w:p w:rsidR="00000000" w:rsidDel="00000000" w:rsidP="00000000" w:rsidRDefault="00000000" w:rsidRPr="00000000" w14:paraId="0000003A">
      <w:pPr>
        <w:numPr>
          <w:ilvl w:val="0"/>
          <w:numId w:val="6"/>
        </w:numPr>
        <w:ind w:left="720" w:hanging="360"/>
        <w:rPr>
          <w:u w:val="none"/>
        </w:rPr>
      </w:pPr>
      <w:r w:rsidDel="00000000" w:rsidR="00000000" w:rsidRPr="00000000">
        <w:rPr>
          <w:b w:val="1"/>
          <w:bCs w:val="1"/>
          <w:rtl w:val="0"/>
        </w:rPr>
        <w:t xml:space="preserve">Methodology:</w:t>
      </w:r>
      <w:r w:rsidDel="00000000" w:rsidR="00000000" w:rsidRPr="00000000">
        <w:rPr>
          <w:rtl w:val="0"/>
        </w:rPr>
        <w:t xml:space="preserve">  A fixed-effect (within) hedonic model is used to estimate price effects of property characteristics (size, condition, age, features) while controlling for unobserved time and location influences. This isolates true market signals from confounding factors.</w:t>
      </w:r>
    </w:p>
    <w:p w:rsidR="00000000" w:rsidDel="00000000" w:rsidP="00000000" w:rsidRDefault="00000000" w:rsidRPr="00000000" w14:paraId="0000003B">
      <w:pPr>
        <w:numPr>
          <w:ilvl w:val="0"/>
          <w:numId w:val="6"/>
        </w:numPr>
        <w:ind w:left="720" w:hanging="360"/>
        <w:rPr>
          <w:u w:val="none"/>
        </w:rPr>
      </w:pPr>
      <w:r w:rsidDel="00000000" w:rsidR="00000000" w:rsidRPr="00000000">
        <w:rPr>
          <w:b w:val="1"/>
          <w:bCs w:val="1"/>
          <w:rtl w:val="0"/>
        </w:rPr>
        <w:t xml:space="preserve">Governance Protocol:</w:t>
      </w:r>
      <w:r w:rsidDel="00000000" w:rsidR="00000000" w:rsidRPr="00000000">
        <w:rPr>
          <w:rtl w:val="0"/>
        </w:rPr>
        <w:t xml:space="preserve">  All changes are treated as "candidate" until validated. The process includes strict "fail-closed" guardrails:</w:t>
      </w:r>
    </w:p>
    <w:p w:rsidR="00000000" w:rsidDel="00000000" w:rsidP="00000000" w:rsidRDefault="00000000" w:rsidRPr="00000000" w14:paraId="0000003C">
      <w:pPr>
        <w:numPr>
          <w:ilvl w:val="0"/>
          <w:numId w:val="6"/>
        </w:numPr>
        <w:ind w:left="720" w:hanging="360"/>
        <w:rPr>
          <w:u w:val="none"/>
        </w:rPr>
      </w:pPr>
      <w:r w:rsidDel="00000000" w:rsidR="00000000" w:rsidRPr="00000000">
        <w:rPr>
          <w:b w:val="1"/>
          <w:bCs w:val="1"/>
          <w:rtl w:val="0"/>
        </w:rPr>
        <w:t xml:space="preserve">Caps:</w:t>
      </w:r>
      <w:r w:rsidDel="00000000" w:rsidR="00000000" w:rsidRPr="00000000">
        <w:rPr>
          <w:rFonts w:ascii="Arial Unicode MS" w:cs="Arial Unicode MS" w:eastAsia="Arial Unicode MS" w:hAnsi="Arial Unicode MS"/>
          <w:rtl w:val="0"/>
        </w:rPr>
        <w:t xml:space="preserve">  Per-cycle movement on sensitive matrix cells is limited (e.g., |∆| &gt; 10 points for depreciation) and requires explicit signoff.</w:t>
      </w:r>
    </w:p>
    <w:p w:rsidR="00000000" w:rsidDel="00000000" w:rsidP="00000000" w:rsidRDefault="00000000" w:rsidRPr="00000000" w14:paraId="0000003D">
      <w:pPr>
        <w:numPr>
          <w:ilvl w:val="0"/>
          <w:numId w:val="6"/>
        </w:numPr>
        <w:ind w:left="720" w:hanging="360"/>
        <w:rPr>
          <w:u w:val="none"/>
        </w:rPr>
      </w:pPr>
      <w:r w:rsidDel="00000000" w:rsidR="00000000" w:rsidRPr="00000000">
        <w:rPr>
          <w:b w:val="1"/>
          <w:bCs w:val="1"/>
          <w:rtl w:val="0"/>
        </w:rPr>
        <w:t xml:space="preserve">Monotonicity:</w:t>
      </w:r>
      <w:r w:rsidDel="00000000" w:rsidR="00000000" w:rsidRPr="00000000">
        <w:rPr>
          <w:rtl w:val="0"/>
        </w:rPr>
        <w:t xml:space="preserve">  Rates must follow logical progressions (e.g., $/SF declines with larger sizes). Exceptions require written rationale.</w:t>
      </w:r>
    </w:p>
    <w:p w:rsidR="00000000" w:rsidDel="00000000" w:rsidP="00000000" w:rsidRDefault="00000000" w:rsidRPr="00000000" w14:paraId="0000003E">
      <w:pPr>
        <w:numPr>
          <w:ilvl w:val="0"/>
          <w:numId w:val="6"/>
        </w:numPr>
        <w:ind w:left="720" w:hanging="360"/>
        <w:rPr>
          <w:u w:val="none"/>
        </w:rPr>
      </w:pPr>
      <w:r w:rsidDel="00000000" w:rsidR="00000000" w:rsidRPr="00000000">
        <w:rPr>
          <w:b w:val="1"/>
          <w:bCs w:val="1"/>
          <w:rtl w:val="0"/>
        </w:rPr>
        <w:t xml:space="preserve">Validation:</w:t>
      </w:r>
      <w:r w:rsidDel="00000000" w:rsidR="00000000" w:rsidRPr="00000000">
        <w:rPr>
          <w:rtl w:val="0"/>
        </w:rPr>
        <w:t xml:space="preserve">  A "paired ratio study" is run on the same set of sales to compare performance (COD, PRD, PRB) before and after the proposed changes.</w:t>
      </w:r>
    </w:p>
    <w:p w:rsidR="00000000" w:rsidDel="00000000" w:rsidP="00000000" w:rsidRDefault="00000000" w:rsidRPr="00000000" w14:paraId="0000003F">
      <w:pPr>
        <w:numPr>
          <w:ilvl w:val="0"/>
          <w:numId w:val="6"/>
        </w:numPr>
        <w:ind w:left="720" w:hanging="360"/>
        <w:rPr>
          <w:u w:val="none"/>
        </w:rPr>
      </w:pPr>
      <w:r w:rsidDel="00000000" w:rsidR="00000000" w:rsidRPr="00000000">
        <w:rPr>
          <w:b w:val="1"/>
          <w:bCs w:val="1"/>
          <w:rtl w:val="0"/>
        </w:rPr>
        <w:t xml:space="preserve">Release Discipline:</w:t>
      </w:r>
      <w:r w:rsidDel="00000000" w:rsidR="00000000" w:rsidRPr="00000000">
        <w:rPr>
          <w:rtl w:val="0"/>
        </w:rPr>
        <w:t xml:space="preserve">  All changes are deployed in versioned matrix releases with documented rationale and a rollback plan.</w:t>
      </w:r>
    </w:p>
    <w:p w:rsidR="00000000" w:rsidDel="00000000" w:rsidP="00000000" w:rsidRDefault="00000000" w:rsidRPr="00000000" w14:paraId="00000040">
      <w:pPr>
        <w:pStyle w:val="Heading5"/>
        <w:rPr/>
      </w:pPr>
      <w:bookmarkStart w:colFirst="0" w:colLast="0" w:name="_3r48ccqi73d4" w:id="15"/>
      <w:bookmarkEnd w:id="15"/>
      <w:r w:rsidDel="00000000" w:rsidR="00000000" w:rsidRPr="00000000">
        <w:rPr>
          <w:rtl w:val="0"/>
        </w:rPr>
        <w:t xml:space="preserve">Public Transparency Dashboard</w:t>
      </w:r>
    </w:p>
    <w:p w:rsidR="00000000" w:rsidDel="00000000" w:rsidP="00000000" w:rsidRDefault="00000000" w:rsidRPr="00000000" w14:paraId="00000041">
      <w:pPr>
        <w:rPr/>
      </w:pPr>
      <w:r w:rsidDel="00000000" w:rsidR="00000000" w:rsidRPr="00000000">
        <w:rPr>
          <w:rtl w:val="0"/>
        </w:rPr>
        <w:t xml:space="preserve">To build public trust, a "transparency-first" public dashboard is specified. The design goal is to answer three questions: (1) What changed? (2) Why did it change? (3) How do we know it’s fair?</w:t>
      </w:r>
    </w:p>
    <w:p w:rsidR="00000000" w:rsidDel="00000000" w:rsidP="00000000" w:rsidRDefault="00000000" w:rsidRPr="00000000" w14:paraId="00000042">
      <w:pPr>
        <w:numPr>
          <w:ilvl w:val="0"/>
          <w:numId w:val="4"/>
        </w:numPr>
        <w:ind w:left="720" w:hanging="360"/>
        <w:rPr>
          <w:u w:val="none"/>
        </w:rPr>
      </w:pPr>
      <w:r w:rsidDel="00000000" w:rsidR="00000000" w:rsidRPr="00000000">
        <w:rPr>
          <w:b w:val="1"/>
          <w:bCs w:val="1"/>
          <w:rtl w:val="0"/>
        </w:rPr>
        <w:t xml:space="preserve">Public-Safe KPIs:</w:t>
      </w:r>
      <w:r w:rsidDel="00000000" w:rsidR="00000000" w:rsidRPr="00000000">
        <w:rPr>
          <w:rtl w:val="0"/>
        </w:rPr>
        <w:t xml:space="preserve">  The dashboard displays aggregated metrics like Median % Change, Sales Count (n), and Equity indicators (COD/PRD/PRB).</w:t>
      </w:r>
    </w:p>
    <w:p w:rsidR="00000000" w:rsidDel="00000000" w:rsidP="00000000" w:rsidRDefault="00000000" w:rsidRPr="00000000" w14:paraId="00000043">
      <w:pPr>
        <w:numPr>
          <w:ilvl w:val="0"/>
          <w:numId w:val="4"/>
        </w:numPr>
        <w:ind w:left="720" w:hanging="360"/>
        <w:rPr>
          <w:u w:val="none"/>
        </w:rPr>
      </w:pPr>
      <w:r w:rsidDel="00000000" w:rsidR="00000000" w:rsidRPr="00000000">
        <w:rPr>
          <w:b w:val="1"/>
          <w:bCs w:val="1"/>
          <w:rtl w:val="0"/>
        </w:rPr>
        <w:t xml:space="preserve">Privacy &amp; Suppression:</w:t>
      </w:r>
      <w:r w:rsidDel="00000000" w:rsidR="00000000" w:rsidRPr="00000000">
        <w:rPr>
          <w:rtl w:val="0"/>
        </w:rPr>
        <w:t xml:space="preserve">  Strict rules are enforced to protect privacy. Any stratum with fewer than 10 sales is suppressed and aggregated to a higher level. Metrics like PRB require at least 50 sales to be published.</w:t>
      </w:r>
    </w:p>
    <w:p w:rsidR="00000000" w:rsidDel="00000000" w:rsidP="00000000" w:rsidRDefault="00000000" w:rsidRPr="00000000" w14:paraId="00000044">
      <w:pPr>
        <w:numPr>
          <w:ilvl w:val="0"/>
          <w:numId w:val="4"/>
        </w:numPr>
        <w:ind w:left="720" w:hanging="360"/>
        <w:rPr>
          <w:u w:val="none"/>
        </w:rPr>
      </w:pPr>
      <w:r w:rsidDel="00000000" w:rsidR="00000000" w:rsidRPr="00000000">
        <w:rPr>
          <w:b w:val="1"/>
          <w:bCs w:val="1"/>
          <w:rtl w:val="0"/>
        </w:rPr>
        <w:t xml:space="preserve">Anti-Sales Chasing Diagnostics:</w:t>
      </w:r>
      <w:r w:rsidDel="00000000" w:rsidR="00000000" w:rsidRPr="00000000">
        <w:rPr>
          <w:rtl w:val="0"/>
        </w:rPr>
        <w:t xml:space="preserve">  The dashboard includes public-facing stability checks, such as tracking the median ratio across monthly/quarterly time slices to flag abnormal discontinuities.</w:t>
      </w:r>
    </w:p>
    <w:p w:rsidR="00000000" w:rsidDel="00000000" w:rsidP="00000000" w:rsidRDefault="00000000" w:rsidRPr="00000000" w14:paraId="00000045">
      <w:pPr>
        <w:pStyle w:val="Heading5"/>
        <w:rPr/>
      </w:pPr>
      <w:bookmarkStart w:colFirst="0" w:colLast="0" w:name="_n2cnjljbp7ch" w:id="16"/>
      <w:bookmarkEnd w:id="16"/>
      <w:r w:rsidDel="00000000" w:rsidR="00000000" w:rsidRPr="00000000">
        <w:rPr>
          <w:rtl w:val="0"/>
        </w:rPr>
        <w:t xml:space="preserve">Platform API and Data Management</w:t>
      </w:r>
    </w:p>
    <w:p w:rsidR="00000000" w:rsidDel="00000000" w:rsidP="00000000" w:rsidRDefault="00000000" w:rsidRPr="00000000" w14:paraId="00000046">
      <w:pPr>
        <w:numPr>
          <w:ilvl w:val="0"/>
          <w:numId w:val="3"/>
        </w:numPr>
        <w:ind w:left="720" w:hanging="360"/>
        <w:rPr>
          <w:u w:val="none"/>
        </w:rPr>
      </w:pPr>
      <w:r w:rsidDel="00000000" w:rsidR="00000000" w:rsidRPr="00000000">
        <w:rPr>
          <w:b w:val="1"/>
          <w:bCs w:val="1"/>
          <w:rtl w:val="0"/>
        </w:rPr>
        <w:t xml:space="preserve">Building Cost Building System (BCBS) API:</w:t>
      </w:r>
      <w:r w:rsidDel="00000000" w:rsidR="00000000" w:rsidRPr="00000000">
        <w:rPr>
          <w:rtl w:val="0"/>
        </w:rPr>
        <w:t xml:space="preserve">  A set of authenticated REST endpoints provides core functionality for calculating basic, materials-focused, and detailed building costs, as well as managing cost factors and calculation history.</w:t>
      </w:r>
    </w:p>
    <w:p w:rsidR="00000000" w:rsidDel="00000000" w:rsidP="00000000" w:rsidRDefault="00000000" w:rsidRPr="00000000" w14:paraId="00000047">
      <w:pPr>
        <w:numPr>
          <w:ilvl w:val="0"/>
          <w:numId w:val="3"/>
        </w:numPr>
        <w:ind w:left="720" w:hanging="360"/>
        <w:rPr>
          <w:u w:val="none"/>
        </w:rPr>
      </w:pPr>
      <w:r w:rsidDel="00000000" w:rsidR="00000000" w:rsidRPr="00000000">
        <w:rPr>
          <w:b w:val="1"/>
          <w:bCs w:val="1"/>
          <w:rtl w:val="0"/>
        </w:rPr>
        <w:t xml:space="preserve">Property Data Import:</w:t>
      </w:r>
      <w:r w:rsidDel="00000000" w:rsidR="00000000" w:rsidRPr="00000000">
        <w:rPr>
          <w:rtl w:val="0"/>
        </w:rPr>
        <w:t xml:space="preserve">  A defined process uses Python scripts to import property, improvement, and land detail data from multiple CSV files into the PostgreSQL database, with transactions and duplicate-checking to ensure data integrity.</w:t>
      </w:r>
    </w:p>
    <w:p w:rsidR="00000000" w:rsidDel="00000000" w:rsidP="00000000" w:rsidRDefault="00000000" w:rsidRPr="00000000" w14:paraId="00000048">
      <w:pPr>
        <w:numPr>
          <w:ilvl w:val="0"/>
          <w:numId w:val="3"/>
        </w:numPr>
        <w:ind w:left="720" w:hanging="360"/>
        <w:rPr>
          <w:u w:val="none"/>
        </w:rPr>
      </w:pPr>
      <w:r w:rsidDel="00000000" w:rsidR="00000000" w:rsidRPr="00000000">
        <w:rPr>
          <w:b w:val="1"/>
          <w:bCs w:val="1"/>
          <w:rtl w:val="0"/>
        </w:rPr>
        <w:t xml:space="preserve">DevOps and Infrastructure:</w:t>
      </w:r>
      <w:r w:rsidDel="00000000" w:rsidR="00000000" w:rsidRPr="00000000">
        <w:rPr>
          <w:rtl w:val="0"/>
        </w:rPr>
        <w:t xml:space="preserve">  The platform is supported by a modern DevOps toolkit using Terraform for infrastructure-as-code on AWS (EKS, RDS), Docker for containerization, and GitHub Actions for CI/CD pipelines.</w:t>
      </w:r>
    </w:p>
    <w:p w:rsidR="00000000" w:rsidDel="00000000" w:rsidP="00000000" w:rsidRDefault="00000000" w:rsidRPr="00000000" w14:paraId="0000004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