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715" w:rsidRDefault="00B4015F" w:rsidP="00B4015F">
      <w:pPr>
        <w:spacing w:after="0"/>
        <w:rPr>
          <w:u w:val="single"/>
        </w:rPr>
      </w:pPr>
      <w:r w:rsidRPr="00B4015F">
        <w:rPr>
          <w:u w:val="single"/>
        </w:rPr>
        <w:t>Land Areas</w:t>
      </w:r>
    </w:p>
    <w:p w:rsidR="00B4015F" w:rsidRDefault="00B4015F" w:rsidP="00B4015F">
      <w:pPr>
        <w:spacing w:after="0"/>
      </w:pPr>
      <w:r>
        <w:t>The land areas are based upon declassified Federal documents reviewing the uses of the Hanford Reservation at the time of the acquisition. The main document, Manhattan District History, Book IV, Pile Project X-10, Volume 4 – Land Acquisition, Hanford Engineer Works (X-10), stated that of the 128,710 acres of privately owned land, the uses broke down as follows:</w:t>
      </w:r>
    </w:p>
    <w:p w:rsidR="00B4015F" w:rsidRDefault="00B4015F" w:rsidP="00B4015F">
      <w:pPr>
        <w:spacing w:after="0"/>
      </w:pPr>
    </w:p>
    <w:p w:rsidR="00B4015F" w:rsidRDefault="00B4015F" w:rsidP="00B4015F">
      <w:pPr>
        <w:spacing w:after="0"/>
      </w:pPr>
      <w:r>
        <w:tab/>
        <w:t>Farmland</w:t>
      </w:r>
      <w:r>
        <w:tab/>
        <w:t>11</w:t>
      </w:r>
      <w:r w:rsidR="007646AA">
        <w:t>.0</w:t>
      </w:r>
      <w:r>
        <w:t>%</w:t>
      </w:r>
    </w:p>
    <w:p w:rsidR="00B4015F" w:rsidRDefault="00B4015F" w:rsidP="00B4015F">
      <w:pPr>
        <w:spacing w:after="0"/>
      </w:pPr>
      <w:r>
        <w:tab/>
        <w:t>Rangeland</w:t>
      </w:r>
      <w:r>
        <w:tab/>
        <w:t>88%</w:t>
      </w:r>
    </w:p>
    <w:p w:rsidR="00B4015F" w:rsidRDefault="00B4015F" w:rsidP="00B4015F">
      <w:pPr>
        <w:spacing w:after="0"/>
      </w:pPr>
      <w:r>
        <w:tab/>
        <w:t>Town Plats</w:t>
      </w:r>
      <w:r>
        <w:tab/>
        <w:t>0.5%</w:t>
      </w:r>
    </w:p>
    <w:p w:rsidR="00B4015F" w:rsidRDefault="00B4015F" w:rsidP="00B4015F">
      <w:pPr>
        <w:spacing w:after="0"/>
      </w:pPr>
      <w:r>
        <w:tab/>
        <w:t>Miscellaneous</w:t>
      </w:r>
      <w:r>
        <w:tab/>
        <w:t>0.5%</w:t>
      </w:r>
    </w:p>
    <w:p w:rsidR="00B4015F" w:rsidRDefault="00B4015F" w:rsidP="00B4015F">
      <w:pPr>
        <w:spacing w:after="0"/>
      </w:pPr>
    </w:p>
    <w:p w:rsidR="00B4015F" w:rsidRDefault="00B4015F" w:rsidP="00B4015F">
      <w:pPr>
        <w:spacing w:after="0"/>
      </w:pPr>
      <w:r>
        <w:t xml:space="preserve">This report served as the basis for the land use estimates. The parties then considered the additional factors of advances in irrigation technology and current property uses and market conditions in Benton County. The resulting land uses are as follows: </w:t>
      </w:r>
    </w:p>
    <w:p w:rsidR="00B4015F" w:rsidRDefault="00B4015F" w:rsidP="00B4015F">
      <w:pPr>
        <w:spacing w:after="0"/>
      </w:pPr>
    </w:p>
    <w:p w:rsidR="00B4015F" w:rsidRDefault="00B4015F" w:rsidP="00B4015F">
      <w:pPr>
        <w:spacing w:after="0"/>
      </w:pPr>
      <w:r>
        <w:tab/>
        <w:t>Irrigable Land</w:t>
      </w:r>
      <w:r>
        <w:tab/>
      </w:r>
      <w:r w:rsidR="0046303C">
        <w:tab/>
      </w:r>
      <w:r>
        <w:t>92,671 acres</w:t>
      </w:r>
      <w:r>
        <w:tab/>
        <w:t xml:space="preserve">Support by </w:t>
      </w:r>
      <w:proofErr w:type="spellStart"/>
      <w:r>
        <w:t>SCM</w:t>
      </w:r>
      <w:proofErr w:type="spellEnd"/>
      <w:r>
        <w:t xml:space="preserve"> Consultants, Inc. Report </w:t>
      </w:r>
    </w:p>
    <w:p w:rsidR="00B4015F" w:rsidRDefault="00B4015F" w:rsidP="00B4015F">
      <w:pPr>
        <w:spacing w:after="0"/>
      </w:pPr>
      <w:r>
        <w:tab/>
        <w:t>Dry Rangeland</w:t>
      </w:r>
      <w:r>
        <w:tab/>
      </w:r>
      <w:r w:rsidR="0046303C">
        <w:tab/>
      </w:r>
      <w:r>
        <w:t>34,752 acres</w:t>
      </w:r>
      <w:r>
        <w:tab/>
        <w:t>Remaining Farmland and Rangeland</w:t>
      </w:r>
    </w:p>
    <w:p w:rsidR="00B4015F" w:rsidRDefault="00B4015F" w:rsidP="00B4015F">
      <w:pPr>
        <w:spacing w:after="0"/>
      </w:pPr>
      <w:r>
        <w:tab/>
        <w:t>Town Plats</w:t>
      </w:r>
      <w:r>
        <w:tab/>
      </w:r>
      <w:r w:rsidR="0046303C">
        <w:tab/>
        <w:t xml:space="preserve">     </w:t>
      </w:r>
      <w:r>
        <w:t>644 acres</w:t>
      </w:r>
      <w:r>
        <w:tab/>
        <w:t xml:space="preserve">0.5% of Total Private Land </w:t>
      </w:r>
    </w:p>
    <w:p w:rsidR="0046303C" w:rsidRDefault="0046303C" w:rsidP="00B4015F">
      <w:pPr>
        <w:spacing w:after="0"/>
      </w:pPr>
      <w:r>
        <w:tab/>
        <w:t>Rural Residential</w:t>
      </w:r>
      <w:r>
        <w:tab/>
        <w:t xml:space="preserve">     643 acres</w:t>
      </w:r>
      <w:r>
        <w:tab/>
      </w:r>
      <w:proofErr w:type="gramStart"/>
      <w:r>
        <w:t>Miscellaneous</w:t>
      </w:r>
      <w:proofErr w:type="gramEnd"/>
      <w:r>
        <w:t xml:space="preserve"> land surrounding town plats</w:t>
      </w:r>
    </w:p>
    <w:p w:rsidR="0046303C" w:rsidRDefault="0046303C" w:rsidP="00B4015F">
      <w:pPr>
        <w:spacing w:after="0"/>
      </w:pPr>
    </w:p>
    <w:p w:rsidR="0046303C" w:rsidRDefault="0046303C" w:rsidP="00B4015F">
      <w:pPr>
        <w:spacing w:after="0"/>
        <w:rPr>
          <w:u w:val="single"/>
        </w:rPr>
      </w:pPr>
      <w:r w:rsidRPr="0046303C">
        <w:rPr>
          <w:u w:val="single"/>
        </w:rPr>
        <w:t>Valuations per Acre</w:t>
      </w:r>
    </w:p>
    <w:p w:rsidR="0046303C" w:rsidRDefault="0046303C" w:rsidP="00B4015F">
      <w:pPr>
        <w:spacing w:after="0"/>
      </w:pPr>
      <w:r>
        <w:t xml:space="preserve">Valuations of the above land categories were determined by calculating the average per acre values for all other Benton County land in the same use category. The average for each use category was then multiplied by the above acreage. </w:t>
      </w:r>
    </w:p>
    <w:p w:rsidR="0046303C" w:rsidRDefault="0046303C" w:rsidP="00B4015F">
      <w:pPr>
        <w:spacing w:after="0"/>
      </w:pPr>
    </w:p>
    <w:p w:rsidR="0046303C" w:rsidRDefault="0046303C" w:rsidP="00B4015F">
      <w:pPr>
        <w:spacing w:after="0"/>
        <w:rPr>
          <w:u w:val="single"/>
        </w:rPr>
      </w:pPr>
      <w:r>
        <w:rPr>
          <w:u w:val="single"/>
        </w:rPr>
        <w:t>Riverfront Premiums</w:t>
      </w:r>
      <w:bookmarkStart w:id="0" w:name="_GoBack"/>
      <w:bookmarkEnd w:id="0"/>
    </w:p>
    <w:p w:rsidR="0046303C" w:rsidRDefault="0046303C" w:rsidP="00B4015F">
      <w:pPr>
        <w:spacing w:after="0"/>
      </w:pPr>
      <w:r>
        <w:t xml:space="preserve">The final valuations were determined by adding a premium for river-front property. This is a common assessment premium applied to all other Benton County riverfront property. The Richland Operations Office contracted with Chamberlin and Associates, an independent appraisal firm, to determine which riverfront areas would be subject to a lesser premium because of their distance from populated centers, topography, or other reasons. Chamberlin determined that 30,672 linear feet was subject to the full premium, and that the remaining riverfront, 128,978 linear feet, should be subject only to a minor premium. Market based premiums of $500 per linear foot for Prime Riverfront and $50 per linear foot for Lessor Riverfront were then applied. </w:t>
      </w:r>
    </w:p>
    <w:p w:rsidR="0046303C" w:rsidRPr="0046303C" w:rsidRDefault="0046303C" w:rsidP="00B4015F">
      <w:pPr>
        <w:spacing w:after="0"/>
      </w:pPr>
    </w:p>
    <w:sectPr w:rsidR="0046303C" w:rsidRPr="00463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15F"/>
    <w:rsid w:val="002D2225"/>
    <w:rsid w:val="003915D2"/>
    <w:rsid w:val="00405715"/>
    <w:rsid w:val="0046303C"/>
    <w:rsid w:val="007646AA"/>
    <w:rsid w:val="00B40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F0AB49-5DD6-4CC1-A79D-BDF96B5D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414AA-033E-4AAE-A68B-338792824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1985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Morasch</dc:creator>
  <cp:keywords/>
  <dc:description/>
  <cp:lastModifiedBy>Adam Morasch</cp:lastModifiedBy>
  <cp:revision>3</cp:revision>
  <dcterms:created xsi:type="dcterms:W3CDTF">2016-09-06T20:08:00Z</dcterms:created>
  <dcterms:modified xsi:type="dcterms:W3CDTF">2016-09-06T22:42:00Z</dcterms:modified>
</cp:coreProperties>
</file>