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BTC Trend Strategy — Validation Analysis</w:t>
      </w:r>
    </w:p>
    <w:p>
      <w:pPr>
        <w:pStyle w:val="Subtitle"/>
      </w:pPr>
      <w:r>
        <w:t xml:space="preserve">5/150/200 moving-average system with a 15% stop loss  ·  22 September 2026</w:t>
      </w:r>
    </w:p>
    <w:tbl>
      <w:tblPr>
        <w:tblW w:type="dxa" w:w="10080"/>
        <w:tblBorders>
          <w:top w:val="none"/>
          <w:left w:val="single" w:color="1F4E5F" w:sz="18"/>
          <w:bottom w:val="none"/>
          <w:right w:val="none"/>
          <w:insideH w:val="none"/>
          <w:insideV w:val="none"/>
        </w:tblBorders>
      </w:tblPr>
      <w:tblGrid>
        <w:gridCol w:w="10080"/>
      </w:tblGrid>
      <w:tr>
        <w:tc>
          <w:tcPr>
            <w:tcW w:type="dxa" w:w="10080"/>
            <w:shd w:fill="F7F9FA" w:val="clear"/>
            <w:tcMar>
              <w:top w:type="dxa" w:w="120"/>
              <w:left w:type="dxa" w:w="180"/>
              <w:bottom w:type="dxa" w:w="120"/>
              <w:right w:type="dxa" w:w="180"/>
            </w:tcMar>
          </w:tcPr>
          <w:p>
            <w:pPr>
              <w:spacing w:after="60"/>
            </w:pPr>
            <w:r>
              <w:rPr>
                <w:b/>
                <w:bCs/>
                <w:color w:val="1F4E5F"/>
                <w:sz w:val="20"/>
                <w:szCs w:val="20"/>
              </w:rPr>
              <w:t xml:space="preserve">Verdict</w:t>
            </w:r>
          </w:p>
          <w:p>
            <w:pPr>
              <w:spacing w:after="80"/>
            </w:pPr>
            <w:r>
              <w:rPr>
                <w:b/>
                <w:bCs/>
                <w:sz w:val="21"/>
                <w:szCs w:val="21"/>
              </w:rPr>
              <w:t xml:space="preserve">The strategy does not generate meaningful excess return. It reduces drawdown.</w:t>
            </w:r>
          </w:p>
          <w:p>
            <w:pPr>
              <w:spacing w:after="0"/>
            </w:pPr>
            <w:r>
              <w:rPr>
                <w:sz w:val="20"/>
                <w:szCs w:val="20"/>
              </w:rPr>
              <w:t xml:space="preserve">Over 10.6 years it delivered 69.0% CAGR against buy-and-hold’s 66.2% — 2.8 percentage points, after fees. What it did deliver is a better Sharpe (1.28 vs 1.10), a better Calmar (0.98 vs 0.79) and 13.7 points less maximum drawdown. Out of sample it lost 3.0% while buy-and-hold lost 27.1%. This is a risk overlay, not an income source. Recommendation: do not trade it with real money yet.</w:t>
            </w:r>
          </w:p>
        </w:tc>
      </w:tr>
    </w:tbl>
    <w:p>
      <w:pPr>
        <w:pStyle w:val="Heading1"/>
      </w:pPr>
      <w:r>
        <w:t xml:space="preserve">1. What was tested</w:t>
      </w:r>
    </w:p>
    <w:p>
      <w:r>
        <w:t xml:space="preserve">The strategy holds BTC when the 5-day moving average is above the 150-day moving average AND price is above the 200-day moving average. It exits when either condition fails, or when price falls 15% below the entry price, whichever comes first. It is long-or-flat: no shorting, no leverage, no partial sizing.</w:t>
      </w:r>
    </w:p>
    <w:p>
      <w:r>
        <w:t xml:space="preserve">Every figure in this document includes execution costs: a 0.26% Kraken taker fee and 0.05% assumed slippage, charged on both sides of every trade. The original backtest applied neither, which flatters any strategy that trades.</w:t>
      </w:r>
    </w:p>
    <w:p>
      <w:pPr>
        <w:pStyle w:val="Heading3"/>
      </w:pPr>
      <w:r>
        <w:t xml:space="preserve">Data</w:t>
      </w:r>
    </w:p>
    <w:tbl>
      <w:tblPr>
        <w:tblW w:type="dxa" w:w="10080"/>
        <w:tblBorders>
          <w:top w:val="single" w:color="C8D2D9" w:sz="2"/>
          <w:left w:val="none"/>
          <w:bottom w:val="single" w:color="C8D2D9" w:sz="2"/>
          <w:right w:val="none"/>
          <w:insideH w:val="single" w:color="E2E8EC" w:sz="2"/>
          <w:insideV w:val="none"/>
        </w:tblBorders>
      </w:tblPr>
      <w:tblGrid>
        <w:gridCol w:w="3024"/>
        <w:gridCol w:w="7056"/>
      </w:tblGrid>
      <w:tr>
        <w:trPr>
          <w:tblHeader/>
        </w:trPr>
        <w:tc>
          <w:tcPr>
            <w:tcW w:type="dxa" w:w="3024"/>
            <w:shd w:fill="1F4E5F" w:val="clear"/>
            <w:tcMar>
              <w:top w:type="dxa" w:w="90"/>
              <w:left w:type="dxa" w:w="130"/>
              <w:bottom w:type="dxa" w:w="90"/>
              <w:right w:type="dxa" w:w="130"/>
            </w:tcMar>
          </w:tcPr>
          <w:p>
            <w:pPr>
              <w:spacing w:after="0" w:line="252"/>
              <w:jc w:val="left"/>
            </w:pPr>
            <w:r>
              <w:rPr>
                <w:b/>
                <w:bCs/>
                <w:color w:val="FFFFFF"/>
                <w:sz w:val="19"/>
                <w:szCs w:val="19"/>
              </w:rPr>
              <w:t xml:space="preserve">Property</w:t>
            </w:r>
          </w:p>
        </w:tc>
        <w:tc>
          <w:tcPr>
            <w:tcW w:type="dxa" w:w="7056"/>
            <w:shd w:fill="1F4E5F" w:val="clear"/>
            <w:tcMar>
              <w:top w:type="dxa" w:w="90"/>
              <w:left w:type="dxa" w:w="130"/>
              <w:bottom w:type="dxa" w:w="90"/>
              <w:right w:type="dxa" w:w="130"/>
            </w:tcMar>
          </w:tcPr>
          <w:p>
            <w:pPr>
              <w:spacing w:after="0" w:line="252"/>
              <w:jc w:val="left"/>
            </w:pPr>
            <w:r>
              <w:rPr>
                <w:b/>
                <w:bCs/>
                <w:color w:val="FFFFFF"/>
                <w:sz w:val="19"/>
                <w:szCs w:val="19"/>
              </w:rPr>
              <w:t xml:space="preserve">Value</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Source</w:t>
            </w:r>
          </w:p>
        </w:tc>
        <w:tc>
          <w:tcPr>
            <w:tcW w:type="dxa" w:w="7056"/>
            <w:shd w:fill="FFFFFF" w:val="clear"/>
            <w:tcMar>
              <w:top w:type="dxa" w:w="90"/>
              <w:left w:type="dxa" w:w="130"/>
              <w:bottom w:type="dxa" w:w="90"/>
              <w:right w:type="dxa" w:w="130"/>
            </w:tcMar>
          </w:tcPr>
          <w:p>
            <w:pPr>
              <w:spacing w:after="0" w:line="252"/>
              <w:jc w:val="left"/>
            </w:pPr>
            <w:r>
              <w:rPr>
                <w:color w:val="1A1A1A"/>
                <w:sz w:val="19"/>
                <w:szCs w:val="19"/>
              </w:rPr>
              <w:t xml:space="preserve">Coinbase Exchange daily candles (BTC-USD)</w:t>
            </w:r>
          </w:p>
        </w:tc>
      </w:tr>
      <w:tr>
        <w:tc>
          <w:tcPr>
            <w:tcW w:type="dxa" w:w="3024"/>
            <w:shd w:fill="F6F9FA" w:val="clear"/>
            <w:tcMar>
              <w:top w:type="dxa" w:w="90"/>
              <w:left w:type="dxa" w:w="130"/>
              <w:bottom w:type="dxa" w:w="90"/>
              <w:right w:type="dxa" w:w="130"/>
            </w:tcMar>
          </w:tcPr>
          <w:p>
            <w:pPr>
              <w:spacing w:after="0" w:line="252"/>
              <w:jc w:val="left"/>
            </w:pPr>
            <w:r>
              <w:rPr>
                <w:color w:val="1A1A1A"/>
                <w:sz w:val="19"/>
                <w:szCs w:val="19"/>
              </w:rPr>
              <w:t xml:space="preserve">Range</w:t>
            </w:r>
          </w:p>
        </w:tc>
        <w:tc>
          <w:tcPr>
            <w:tcW w:type="dxa" w:w="7056"/>
            <w:shd w:fill="F6F9FA" w:val="clear"/>
            <w:tcMar>
              <w:top w:type="dxa" w:w="90"/>
              <w:left w:type="dxa" w:w="130"/>
              <w:bottom w:type="dxa" w:w="90"/>
              <w:right w:type="dxa" w:w="130"/>
            </w:tcMar>
          </w:tcPr>
          <w:p>
            <w:pPr>
              <w:spacing w:after="0" w:line="252"/>
              <w:jc w:val="left"/>
            </w:pPr>
            <w:r>
              <w:rPr>
                <w:color w:val="1A1A1A"/>
                <w:sz w:val="19"/>
                <w:szCs w:val="19"/>
              </w:rPr>
              <w:t xml:space="preserve">20 July 2015 — 22 September 2026</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Candles</w:t>
            </w:r>
          </w:p>
        </w:tc>
        <w:tc>
          <w:tcPr>
            <w:tcW w:type="dxa" w:w="7056"/>
            <w:shd w:fill="FFFFFF" w:val="clear"/>
            <w:tcMar>
              <w:top w:type="dxa" w:w="90"/>
              <w:left w:type="dxa" w:w="130"/>
              <w:bottom w:type="dxa" w:w="90"/>
              <w:right w:type="dxa" w:w="130"/>
            </w:tcMar>
          </w:tcPr>
          <w:p>
            <w:pPr>
              <w:spacing w:after="0" w:line="252"/>
              <w:jc w:val="left"/>
            </w:pPr>
            <w:r>
              <w:rPr>
                <w:color w:val="1A1A1A"/>
                <w:sz w:val="19"/>
                <w:szCs w:val="19"/>
              </w:rPr>
              <w:t xml:space="preserve">4,083 daily closes, zero gaps</w:t>
            </w:r>
          </w:p>
        </w:tc>
      </w:tr>
      <w:tr>
        <w:tc>
          <w:tcPr>
            <w:tcW w:type="dxa" w:w="3024"/>
            <w:shd w:fill="F6F9FA" w:val="clear"/>
            <w:tcMar>
              <w:top w:type="dxa" w:w="90"/>
              <w:left w:type="dxa" w:w="130"/>
              <w:bottom w:type="dxa" w:w="90"/>
              <w:right w:type="dxa" w:w="130"/>
            </w:tcMar>
          </w:tcPr>
          <w:p>
            <w:pPr>
              <w:spacing w:after="0" w:line="252"/>
              <w:jc w:val="left"/>
            </w:pPr>
            <w:r>
              <w:rPr>
                <w:color w:val="1A1A1A"/>
                <w:sz w:val="19"/>
                <w:szCs w:val="19"/>
              </w:rPr>
              <w:t xml:space="preserve">Usable after warm-up</w:t>
            </w:r>
          </w:p>
        </w:tc>
        <w:tc>
          <w:tcPr>
            <w:tcW w:type="dxa" w:w="7056"/>
            <w:shd w:fill="F6F9FA" w:val="clear"/>
            <w:tcMar>
              <w:top w:type="dxa" w:w="90"/>
              <w:left w:type="dxa" w:w="130"/>
              <w:bottom w:type="dxa" w:w="90"/>
              <w:right w:type="dxa" w:w="130"/>
            </w:tcMar>
          </w:tcPr>
          <w:p>
            <w:pPr>
              <w:spacing w:after="0" w:line="252"/>
              <w:jc w:val="left"/>
            </w:pPr>
            <w:r>
              <w:rPr>
                <w:color w:val="1A1A1A"/>
                <w:sz w:val="19"/>
                <w:szCs w:val="19"/>
              </w:rPr>
              <w:t xml:space="preserve">3,884 days (the 200-day MA consumes the first 199)</w:t>
            </w:r>
          </w:p>
        </w:tc>
      </w:tr>
    </w:tbl>
    <w:p>
      <w:pPr>
        <w:pStyle w:val="Caption"/>
      </w:pPr>
      <w:r>
        <w:t xml:space="preserve">Kraken’s public feed caps at 720 candles — under two years, of which 200 are lost to warm-up. Backtesting on that window means testing one market regime.</w:t>
      </w:r>
    </w:p>
    <w:p>
      <w:pPr>
        <w:pStyle w:val="Heading1"/>
      </w:pPr>
      <w:r>
        <w:t xml:space="preserve">2. Headline results, full history</w:t>
      </w:r>
    </w:p>
    <w:tbl>
      <w:tblPr>
        <w:tblW w:type="dxa" w:w="10080"/>
        <w:tblBorders>
          <w:top w:val="single" w:color="C8D2D9" w:sz="2"/>
          <w:left w:val="none"/>
          <w:bottom w:val="single" w:color="C8D2D9" w:sz="2"/>
          <w:right w:val="none"/>
          <w:insideH w:val="single" w:color="E2E8EC" w:sz="2"/>
          <w:insideV w:val="none"/>
        </w:tblBorders>
      </w:tblPr>
      <w:tblGrid>
        <w:gridCol w:w="3427"/>
        <w:gridCol w:w="2218"/>
        <w:gridCol w:w="2218"/>
        <w:gridCol w:w="2217"/>
      </w:tblGrid>
      <w:tr>
        <w:trPr>
          <w:tblHeader/>
        </w:trPr>
        <w:tc>
          <w:tcPr>
            <w:tcW w:type="dxa" w:w="3427"/>
            <w:shd w:fill="1F4E5F" w:val="clear"/>
            <w:tcMar>
              <w:top w:type="dxa" w:w="90"/>
              <w:left w:type="dxa" w:w="130"/>
              <w:bottom w:type="dxa" w:w="90"/>
              <w:right w:type="dxa" w:w="130"/>
            </w:tcMar>
          </w:tcPr>
          <w:p>
            <w:pPr>
              <w:spacing w:after="0" w:line="252"/>
              <w:jc w:val="left"/>
            </w:pPr>
            <w:r>
              <w:rPr>
                <w:b/>
                <w:bCs/>
                <w:color w:val="FFFFFF"/>
                <w:sz w:val="19"/>
                <w:szCs w:val="19"/>
              </w:rPr>
              <w:t xml:space="preserve">Metric</w:t>
            </w:r>
          </w:p>
        </w:tc>
        <w:tc>
          <w:tcPr>
            <w:tcW w:type="dxa" w:w="2218"/>
            <w:shd w:fill="1F4E5F" w:val="clear"/>
            <w:tcMar>
              <w:top w:type="dxa" w:w="90"/>
              <w:left w:type="dxa" w:w="130"/>
              <w:bottom w:type="dxa" w:w="90"/>
              <w:right w:type="dxa" w:w="130"/>
            </w:tcMar>
          </w:tcPr>
          <w:p>
            <w:pPr>
              <w:spacing w:after="0" w:line="252"/>
              <w:jc w:val="right"/>
            </w:pPr>
            <w:r>
              <w:rPr>
                <w:b/>
                <w:bCs/>
                <w:color w:val="FFFFFF"/>
                <w:sz w:val="19"/>
                <w:szCs w:val="19"/>
              </w:rPr>
              <w:t xml:space="preserve">Strategy</w:t>
            </w:r>
          </w:p>
        </w:tc>
        <w:tc>
          <w:tcPr>
            <w:tcW w:type="dxa" w:w="2218"/>
            <w:shd w:fill="1F4E5F" w:val="clear"/>
            <w:tcMar>
              <w:top w:type="dxa" w:w="90"/>
              <w:left w:type="dxa" w:w="130"/>
              <w:bottom w:type="dxa" w:w="90"/>
              <w:right w:type="dxa" w:w="130"/>
            </w:tcMar>
          </w:tcPr>
          <w:p>
            <w:pPr>
              <w:spacing w:after="0" w:line="252"/>
              <w:jc w:val="right"/>
            </w:pPr>
            <w:r>
              <w:rPr>
                <w:b/>
                <w:bCs/>
                <w:color w:val="FFFFFF"/>
                <w:sz w:val="19"/>
                <w:szCs w:val="19"/>
              </w:rPr>
              <w:t xml:space="preserve">Buy &amp; hold</w:t>
            </w:r>
          </w:p>
        </w:tc>
        <w:tc>
          <w:tcPr>
            <w:tcW w:type="dxa" w:w="2217"/>
            <w:shd w:fill="1F4E5F" w:val="clear"/>
            <w:tcMar>
              <w:top w:type="dxa" w:w="90"/>
              <w:left w:type="dxa" w:w="130"/>
              <w:bottom w:type="dxa" w:w="90"/>
              <w:right w:type="dxa" w:w="130"/>
            </w:tcMar>
          </w:tcPr>
          <w:p>
            <w:pPr>
              <w:spacing w:after="0" w:line="252"/>
              <w:jc w:val="right"/>
            </w:pPr>
            <w:r>
              <w:rPr>
                <w:b/>
                <w:bCs/>
                <w:color w:val="FFFFFF"/>
                <w:sz w:val="19"/>
                <w:szCs w:val="19"/>
              </w:rPr>
              <w:t xml:space="preserve">Difference</w:t>
            </w:r>
          </w:p>
        </w:tc>
      </w:tr>
      <w:tr>
        <w:tc>
          <w:tcPr>
            <w:tcW w:type="dxa" w:w="3427"/>
            <w:shd w:fill="FFFFFF" w:val="clear"/>
            <w:tcMar>
              <w:top w:type="dxa" w:w="90"/>
              <w:left w:type="dxa" w:w="130"/>
              <w:bottom w:type="dxa" w:w="90"/>
              <w:right w:type="dxa" w:w="130"/>
            </w:tcMar>
          </w:tcPr>
          <w:p>
            <w:pPr>
              <w:spacing w:after="0" w:line="252"/>
              <w:jc w:val="left"/>
            </w:pPr>
            <w:r>
              <w:rPr>
                <w:color w:val="1A1A1A"/>
                <w:sz w:val="19"/>
                <w:szCs w:val="19"/>
              </w:rPr>
              <w:t xml:space="preserve">Total return</w:t>
            </w:r>
          </w:p>
        </w:tc>
        <w:tc>
          <w:tcPr>
            <w:tcW w:type="dxa" w:w="2218"/>
            <w:shd w:fill="FFFFFF" w:val="clear"/>
            <w:tcMar>
              <w:top w:type="dxa" w:w="90"/>
              <w:left w:type="dxa" w:w="130"/>
              <w:bottom w:type="dxa" w:w="90"/>
              <w:right w:type="dxa" w:w="130"/>
            </w:tcMar>
          </w:tcPr>
          <w:p>
            <w:pPr>
              <w:spacing w:after="0" w:line="252"/>
              <w:jc w:val="right"/>
            </w:pPr>
            <w:r>
              <w:rPr>
                <w:color w:val="1A1A1A"/>
                <w:sz w:val="19"/>
                <w:szCs w:val="19"/>
              </w:rPr>
              <w:t xml:space="preserve">26,332%</w:t>
            </w:r>
          </w:p>
        </w:tc>
        <w:tc>
          <w:tcPr>
            <w:tcW w:type="dxa" w:w="2218"/>
            <w:shd w:fill="FFFFFF" w:val="clear"/>
            <w:tcMar>
              <w:top w:type="dxa" w:w="90"/>
              <w:left w:type="dxa" w:w="130"/>
              <w:bottom w:type="dxa" w:w="90"/>
              <w:right w:type="dxa" w:w="130"/>
            </w:tcMar>
          </w:tcPr>
          <w:p>
            <w:pPr>
              <w:spacing w:after="0" w:line="252"/>
              <w:jc w:val="right"/>
            </w:pPr>
            <w:r>
              <w:rPr>
                <w:color w:val="1A1A1A"/>
                <w:sz w:val="19"/>
                <w:szCs w:val="19"/>
              </w:rPr>
              <w:t xml:space="preserve">22,067%</w:t>
            </w:r>
          </w:p>
        </w:tc>
        <w:tc>
          <w:tcPr>
            <w:tcW w:type="dxa" w:w="2217"/>
            <w:shd w:fill="FFFFFF" w:val="clear"/>
            <w:tcMar>
              <w:top w:type="dxa" w:w="90"/>
              <w:left w:type="dxa" w:w="130"/>
              <w:bottom w:type="dxa" w:w="90"/>
              <w:right w:type="dxa" w:w="130"/>
            </w:tcMar>
          </w:tcPr>
          <w:p>
            <w:pPr>
              <w:spacing w:after="0" w:line="252"/>
              <w:jc w:val="right"/>
            </w:pPr>
            <w:r>
              <w:rPr>
                <w:b/>
                <w:bCs/>
                <w:color w:val="2C6E49"/>
                <w:sz w:val="19"/>
                <w:szCs w:val="19"/>
              </w:rPr>
              <w:t xml:space="preserve">+4,265pp</w:t>
            </w:r>
          </w:p>
        </w:tc>
      </w:tr>
      <w:tr>
        <w:tc>
          <w:tcPr>
            <w:tcW w:type="dxa" w:w="3427"/>
            <w:shd w:fill="F6F9FA" w:val="clear"/>
            <w:tcMar>
              <w:top w:type="dxa" w:w="90"/>
              <w:left w:type="dxa" w:w="130"/>
              <w:bottom w:type="dxa" w:w="90"/>
              <w:right w:type="dxa" w:w="130"/>
            </w:tcMar>
          </w:tcPr>
          <w:p>
            <w:pPr>
              <w:spacing w:after="0" w:line="252"/>
              <w:jc w:val="left"/>
            </w:pPr>
            <w:r>
              <w:rPr>
                <w:color w:val="1A1A1A"/>
                <w:sz w:val="19"/>
                <w:szCs w:val="19"/>
              </w:rPr>
              <w:t xml:space="preserve">CAGR</w:t>
            </w:r>
          </w:p>
        </w:tc>
        <w:tc>
          <w:tcPr>
            <w:tcW w:type="dxa" w:w="2218"/>
            <w:shd w:fill="F6F9FA" w:val="clear"/>
            <w:tcMar>
              <w:top w:type="dxa" w:w="90"/>
              <w:left w:type="dxa" w:w="130"/>
              <w:bottom w:type="dxa" w:w="90"/>
              <w:right w:type="dxa" w:w="130"/>
            </w:tcMar>
          </w:tcPr>
          <w:p>
            <w:pPr>
              <w:spacing w:after="0" w:line="252"/>
              <w:jc w:val="right"/>
            </w:pPr>
            <w:r>
              <w:rPr>
                <w:b/>
                <w:bCs/>
                <w:color w:val="1A1A1A"/>
                <w:sz w:val="19"/>
                <w:szCs w:val="19"/>
              </w:rPr>
              <w:t xml:space="preserve">69.0%</w:t>
            </w:r>
          </w:p>
        </w:tc>
        <w:tc>
          <w:tcPr>
            <w:tcW w:type="dxa" w:w="2218"/>
            <w:shd w:fill="F6F9FA" w:val="clear"/>
            <w:tcMar>
              <w:top w:type="dxa" w:w="90"/>
              <w:left w:type="dxa" w:w="130"/>
              <w:bottom w:type="dxa" w:w="90"/>
              <w:right w:type="dxa" w:w="130"/>
            </w:tcMar>
          </w:tcPr>
          <w:p>
            <w:pPr>
              <w:spacing w:after="0" w:line="252"/>
              <w:jc w:val="right"/>
            </w:pPr>
            <w:r>
              <w:rPr>
                <w:color w:val="1A1A1A"/>
                <w:sz w:val="19"/>
                <w:szCs w:val="19"/>
              </w:rPr>
              <w:t xml:space="preserve">66.2%</w:t>
            </w:r>
          </w:p>
        </w:tc>
        <w:tc>
          <w:tcPr>
            <w:tcW w:type="dxa" w:w="2217"/>
            <w:shd w:fill="F6F9FA" w:val="clear"/>
            <w:tcMar>
              <w:top w:type="dxa" w:w="90"/>
              <w:left w:type="dxa" w:w="130"/>
              <w:bottom w:type="dxa" w:w="90"/>
              <w:right w:type="dxa" w:w="130"/>
            </w:tcMar>
          </w:tcPr>
          <w:p>
            <w:pPr>
              <w:spacing w:after="0" w:line="252"/>
              <w:jc w:val="right"/>
            </w:pPr>
            <w:r>
              <w:rPr>
                <w:b/>
                <w:bCs/>
                <w:color w:val="2C6E49"/>
                <w:sz w:val="19"/>
                <w:szCs w:val="19"/>
              </w:rPr>
              <w:t xml:space="preserve">+2.8pp</w:t>
            </w:r>
          </w:p>
        </w:tc>
      </w:tr>
      <w:tr>
        <w:tc>
          <w:tcPr>
            <w:tcW w:type="dxa" w:w="3427"/>
            <w:shd w:fill="FFFFFF" w:val="clear"/>
            <w:tcMar>
              <w:top w:type="dxa" w:w="90"/>
              <w:left w:type="dxa" w:w="130"/>
              <w:bottom w:type="dxa" w:w="90"/>
              <w:right w:type="dxa" w:w="130"/>
            </w:tcMar>
          </w:tcPr>
          <w:p>
            <w:pPr>
              <w:spacing w:after="0" w:line="252"/>
              <w:jc w:val="left"/>
            </w:pPr>
            <w:r>
              <w:rPr>
                <w:color w:val="1A1A1A"/>
                <w:sz w:val="19"/>
                <w:szCs w:val="19"/>
              </w:rPr>
              <w:t xml:space="preserve">Sharpe ratio</w:t>
            </w:r>
          </w:p>
        </w:tc>
        <w:tc>
          <w:tcPr>
            <w:tcW w:type="dxa" w:w="2218"/>
            <w:shd w:fill="FFFFFF" w:val="clear"/>
            <w:tcMar>
              <w:top w:type="dxa" w:w="90"/>
              <w:left w:type="dxa" w:w="130"/>
              <w:bottom w:type="dxa" w:w="90"/>
              <w:right w:type="dxa" w:w="130"/>
            </w:tcMar>
          </w:tcPr>
          <w:p>
            <w:pPr>
              <w:spacing w:after="0" w:line="252"/>
              <w:jc w:val="right"/>
            </w:pPr>
            <w:r>
              <w:rPr>
                <w:b/>
                <w:bCs/>
                <w:color w:val="1A1A1A"/>
                <w:sz w:val="19"/>
                <w:szCs w:val="19"/>
              </w:rPr>
              <w:t xml:space="preserve">1.28</w:t>
            </w:r>
          </w:p>
        </w:tc>
        <w:tc>
          <w:tcPr>
            <w:tcW w:type="dxa" w:w="2218"/>
            <w:shd w:fill="FFFFFF" w:val="clear"/>
            <w:tcMar>
              <w:top w:type="dxa" w:w="90"/>
              <w:left w:type="dxa" w:w="130"/>
              <w:bottom w:type="dxa" w:w="90"/>
              <w:right w:type="dxa" w:w="130"/>
            </w:tcMar>
          </w:tcPr>
          <w:p>
            <w:pPr>
              <w:spacing w:after="0" w:line="252"/>
              <w:jc w:val="right"/>
            </w:pPr>
            <w:r>
              <w:rPr>
                <w:color w:val="1A1A1A"/>
                <w:sz w:val="19"/>
                <w:szCs w:val="19"/>
              </w:rPr>
              <w:t xml:space="preserve">1.10</w:t>
            </w:r>
          </w:p>
        </w:tc>
        <w:tc>
          <w:tcPr>
            <w:tcW w:type="dxa" w:w="2217"/>
            <w:shd w:fill="FFFFFF" w:val="clear"/>
            <w:tcMar>
              <w:top w:type="dxa" w:w="90"/>
              <w:left w:type="dxa" w:w="130"/>
              <w:bottom w:type="dxa" w:w="90"/>
              <w:right w:type="dxa" w:w="130"/>
            </w:tcMar>
          </w:tcPr>
          <w:p>
            <w:pPr>
              <w:spacing w:after="0" w:line="252"/>
              <w:jc w:val="right"/>
            </w:pPr>
            <w:r>
              <w:rPr>
                <w:b/>
                <w:bCs/>
                <w:color w:val="2C6E49"/>
                <w:sz w:val="19"/>
                <w:szCs w:val="19"/>
              </w:rPr>
              <w:t xml:space="preserve">+0.18</w:t>
            </w:r>
          </w:p>
        </w:tc>
      </w:tr>
      <w:tr>
        <w:tc>
          <w:tcPr>
            <w:tcW w:type="dxa" w:w="3427"/>
            <w:shd w:fill="F6F9FA" w:val="clear"/>
            <w:tcMar>
              <w:top w:type="dxa" w:w="90"/>
              <w:left w:type="dxa" w:w="130"/>
              <w:bottom w:type="dxa" w:w="90"/>
              <w:right w:type="dxa" w:w="130"/>
            </w:tcMar>
          </w:tcPr>
          <w:p>
            <w:pPr>
              <w:spacing w:after="0" w:line="252"/>
              <w:jc w:val="left"/>
            </w:pPr>
            <w:r>
              <w:rPr>
                <w:color w:val="1A1A1A"/>
                <w:sz w:val="19"/>
                <w:szCs w:val="19"/>
              </w:rPr>
              <w:t xml:space="preserve">Calmar (CAGR / max DD)</w:t>
            </w:r>
          </w:p>
        </w:tc>
        <w:tc>
          <w:tcPr>
            <w:tcW w:type="dxa" w:w="2218"/>
            <w:shd w:fill="F6F9FA" w:val="clear"/>
            <w:tcMar>
              <w:top w:type="dxa" w:w="90"/>
              <w:left w:type="dxa" w:w="130"/>
              <w:bottom w:type="dxa" w:w="90"/>
              <w:right w:type="dxa" w:w="130"/>
            </w:tcMar>
          </w:tcPr>
          <w:p>
            <w:pPr>
              <w:spacing w:after="0" w:line="252"/>
              <w:jc w:val="right"/>
            </w:pPr>
            <w:r>
              <w:rPr>
                <w:b/>
                <w:bCs/>
                <w:color w:val="1A1A1A"/>
                <w:sz w:val="19"/>
                <w:szCs w:val="19"/>
              </w:rPr>
              <w:t xml:space="preserve">0.98</w:t>
            </w:r>
          </w:p>
        </w:tc>
        <w:tc>
          <w:tcPr>
            <w:tcW w:type="dxa" w:w="2218"/>
            <w:shd w:fill="F6F9FA" w:val="clear"/>
            <w:tcMar>
              <w:top w:type="dxa" w:w="90"/>
              <w:left w:type="dxa" w:w="130"/>
              <w:bottom w:type="dxa" w:w="90"/>
              <w:right w:type="dxa" w:w="130"/>
            </w:tcMar>
          </w:tcPr>
          <w:p>
            <w:pPr>
              <w:spacing w:after="0" w:line="252"/>
              <w:jc w:val="right"/>
            </w:pPr>
            <w:r>
              <w:rPr>
                <w:color w:val="1A1A1A"/>
                <w:sz w:val="19"/>
                <w:szCs w:val="19"/>
              </w:rPr>
              <w:t xml:space="preserve">0.79</w:t>
            </w:r>
          </w:p>
        </w:tc>
        <w:tc>
          <w:tcPr>
            <w:tcW w:type="dxa" w:w="2217"/>
            <w:shd w:fill="F6F9FA" w:val="clear"/>
            <w:tcMar>
              <w:top w:type="dxa" w:w="90"/>
              <w:left w:type="dxa" w:w="130"/>
              <w:bottom w:type="dxa" w:w="90"/>
              <w:right w:type="dxa" w:w="130"/>
            </w:tcMar>
          </w:tcPr>
          <w:p>
            <w:pPr>
              <w:spacing w:after="0" w:line="252"/>
              <w:jc w:val="right"/>
            </w:pPr>
            <w:r>
              <w:rPr>
                <w:b/>
                <w:bCs/>
                <w:color w:val="2C6E49"/>
                <w:sz w:val="19"/>
                <w:szCs w:val="19"/>
              </w:rPr>
              <w:t xml:space="preserve">+0.19</w:t>
            </w:r>
          </w:p>
        </w:tc>
      </w:tr>
      <w:tr>
        <w:tc>
          <w:tcPr>
            <w:tcW w:type="dxa" w:w="3427"/>
            <w:shd w:fill="FFFFFF" w:val="clear"/>
            <w:tcMar>
              <w:top w:type="dxa" w:w="90"/>
              <w:left w:type="dxa" w:w="130"/>
              <w:bottom w:type="dxa" w:w="90"/>
              <w:right w:type="dxa" w:w="130"/>
            </w:tcMar>
          </w:tcPr>
          <w:p>
            <w:pPr>
              <w:spacing w:after="0" w:line="252"/>
              <w:jc w:val="left"/>
            </w:pPr>
            <w:r>
              <w:rPr>
                <w:color w:val="1A1A1A"/>
                <w:sz w:val="19"/>
                <w:szCs w:val="19"/>
              </w:rPr>
              <w:t xml:space="preserve">Maximum drawdown</w:t>
            </w:r>
          </w:p>
        </w:tc>
        <w:tc>
          <w:tcPr>
            <w:tcW w:type="dxa" w:w="2218"/>
            <w:shd w:fill="FFFFFF" w:val="clear"/>
            <w:tcMar>
              <w:top w:type="dxa" w:w="90"/>
              <w:left w:type="dxa" w:w="130"/>
              <w:bottom w:type="dxa" w:w="90"/>
              <w:right w:type="dxa" w:w="130"/>
            </w:tcMar>
          </w:tcPr>
          <w:p>
            <w:pPr>
              <w:spacing w:after="0" w:line="252"/>
              <w:jc w:val="right"/>
            </w:pPr>
            <w:r>
              <w:rPr>
                <w:b/>
                <w:bCs/>
                <w:color w:val="1A1A1A"/>
                <w:sz w:val="19"/>
                <w:szCs w:val="19"/>
              </w:rPr>
              <w:t xml:space="preserve">−70.1%</w:t>
            </w:r>
          </w:p>
        </w:tc>
        <w:tc>
          <w:tcPr>
            <w:tcW w:type="dxa" w:w="2218"/>
            <w:shd w:fill="FFFFFF" w:val="clear"/>
            <w:tcMar>
              <w:top w:type="dxa" w:w="90"/>
              <w:left w:type="dxa" w:w="130"/>
              <w:bottom w:type="dxa" w:w="90"/>
              <w:right w:type="dxa" w:w="130"/>
            </w:tcMar>
          </w:tcPr>
          <w:p>
            <w:pPr>
              <w:spacing w:after="0" w:line="252"/>
              <w:jc w:val="right"/>
            </w:pPr>
            <w:r>
              <w:rPr>
                <w:color w:val="1A1A1A"/>
                <w:sz w:val="19"/>
                <w:szCs w:val="19"/>
              </w:rPr>
              <w:t xml:space="preserve">−83.8%</w:t>
            </w:r>
          </w:p>
        </w:tc>
        <w:tc>
          <w:tcPr>
            <w:tcW w:type="dxa" w:w="2217"/>
            <w:shd w:fill="FFFFFF" w:val="clear"/>
            <w:tcMar>
              <w:top w:type="dxa" w:w="90"/>
              <w:left w:type="dxa" w:w="130"/>
              <w:bottom w:type="dxa" w:w="90"/>
              <w:right w:type="dxa" w:w="130"/>
            </w:tcMar>
          </w:tcPr>
          <w:p>
            <w:pPr>
              <w:spacing w:after="0" w:line="252"/>
              <w:jc w:val="right"/>
            </w:pPr>
            <w:r>
              <w:rPr>
                <w:b/>
                <w:bCs/>
                <w:color w:val="2C6E49"/>
                <w:sz w:val="19"/>
                <w:szCs w:val="19"/>
              </w:rPr>
              <w:t xml:space="preserve">13.7pp better</w:t>
            </w:r>
          </w:p>
        </w:tc>
      </w:tr>
      <w:tr>
        <w:tc>
          <w:tcPr>
            <w:tcW w:type="dxa" w:w="3427"/>
            <w:shd w:fill="F6F9FA" w:val="clear"/>
            <w:tcMar>
              <w:top w:type="dxa" w:w="90"/>
              <w:left w:type="dxa" w:w="130"/>
              <w:bottom w:type="dxa" w:w="90"/>
              <w:right w:type="dxa" w:w="130"/>
            </w:tcMar>
          </w:tcPr>
          <w:p>
            <w:pPr>
              <w:spacing w:after="0" w:line="252"/>
              <w:jc w:val="left"/>
            </w:pPr>
            <w:r>
              <w:rPr>
                <w:color w:val="1A1A1A"/>
                <w:sz w:val="19"/>
                <w:szCs w:val="19"/>
              </w:rPr>
              <w:t xml:space="preserve">Round trips</w:t>
            </w:r>
          </w:p>
        </w:tc>
        <w:tc>
          <w:tcPr>
            <w:tcW w:type="dxa" w:w="2218"/>
            <w:shd w:fill="F6F9FA" w:val="clear"/>
            <w:tcMar>
              <w:top w:type="dxa" w:w="90"/>
              <w:left w:type="dxa" w:w="130"/>
              <w:bottom w:type="dxa" w:w="90"/>
              <w:right w:type="dxa" w:w="130"/>
            </w:tcMar>
          </w:tcPr>
          <w:p>
            <w:pPr>
              <w:spacing w:after="0" w:line="252"/>
              <w:jc w:val="right"/>
            </w:pPr>
            <w:r>
              <w:rPr>
                <w:color w:val="1A1A1A"/>
                <w:sz w:val="19"/>
                <w:szCs w:val="19"/>
              </w:rPr>
              <w:t xml:space="preserve">23</w:t>
            </w:r>
          </w:p>
        </w:tc>
        <w:tc>
          <w:tcPr>
            <w:tcW w:type="dxa" w:w="2218"/>
            <w:shd w:fill="F6F9FA" w:val="clear"/>
            <w:tcMar>
              <w:top w:type="dxa" w:w="90"/>
              <w:left w:type="dxa" w:w="130"/>
              <w:bottom w:type="dxa" w:w="90"/>
              <w:right w:type="dxa" w:w="130"/>
            </w:tcMar>
          </w:tcPr>
          <w:p>
            <w:pPr>
              <w:spacing w:after="0" w:line="252"/>
              <w:jc w:val="right"/>
            </w:pPr>
            <w:r>
              <w:rPr>
                <w:color w:val="1A1A1A"/>
                <w:sz w:val="19"/>
                <w:szCs w:val="19"/>
              </w:rPr>
              <w:t xml:space="preserve">—</w:t>
            </w:r>
          </w:p>
        </w:tc>
        <w:tc>
          <w:tcPr>
            <w:tcW w:type="dxa" w:w="2217"/>
            <w:shd w:fill="F6F9FA" w:val="clear"/>
            <w:tcMar>
              <w:top w:type="dxa" w:w="90"/>
              <w:left w:type="dxa" w:w="130"/>
              <w:bottom w:type="dxa" w:w="90"/>
              <w:right w:type="dxa" w:w="130"/>
            </w:tcMar>
          </w:tcPr>
          <w:p>
            <w:pPr>
              <w:spacing w:after="0" w:line="252"/>
              <w:jc w:val="right"/>
            </w:pPr>
            <w:r>
              <w:rPr>
                <w:color w:val="1A1A1A"/>
                <w:sz w:val="19"/>
                <w:szCs w:val="19"/>
              </w:rPr>
              <w:t xml:space="preserve"/>
            </w:r>
          </w:p>
        </w:tc>
      </w:tr>
      <w:tr>
        <w:tc>
          <w:tcPr>
            <w:tcW w:type="dxa" w:w="3427"/>
            <w:shd w:fill="FFFFFF" w:val="clear"/>
            <w:tcMar>
              <w:top w:type="dxa" w:w="90"/>
              <w:left w:type="dxa" w:w="130"/>
              <w:bottom w:type="dxa" w:w="90"/>
              <w:right w:type="dxa" w:w="130"/>
            </w:tcMar>
          </w:tcPr>
          <w:p>
            <w:pPr>
              <w:spacing w:after="0" w:line="252"/>
              <w:jc w:val="left"/>
            </w:pPr>
            <w:r>
              <w:rPr>
                <w:color w:val="1A1A1A"/>
                <w:sz w:val="19"/>
                <w:szCs w:val="19"/>
              </w:rPr>
              <w:t xml:space="preserve">Win rate</w:t>
            </w:r>
          </w:p>
        </w:tc>
        <w:tc>
          <w:tcPr>
            <w:tcW w:type="dxa" w:w="2218"/>
            <w:shd w:fill="FFFFFF" w:val="clear"/>
            <w:tcMar>
              <w:top w:type="dxa" w:w="90"/>
              <w:left w:type="dxa" w:w="130"/>
              <w:bottom w:type="dxa" w:w="90"/>
              <w:right w:type="dxa" w:w="130"/>
            </w:tcMar>
          </w:tcPr>
          <w:p>
            <w:pPr>
              <w:spacing w:after="0" w:line="252"/>
              <w:jc w:val="right"/>
            </w:pPr>
            <w:r>
              <w:rPr>
                <w:color w:val="1A1A1A"/>
                <w:sz w:val="19"/>
                <w:szCs w:val="19"/>
              </w:rPr>
              <w:t xml:space="preserve">34.8%</w:t>
            </w:r>
          </w:p>
        </w:tc>
        <w:tc>
          <w:tcPr>
            <w:tcW w:type="dxa" w:w="2218"/>
            <w:shd w:fill="FFFFFF" w:val="clear"/>
            <w:tcMar>
              <w:top w:type="dxa" w:w="90"/>
              <w:left w:type="dxa" w:w="130"/>
              <w:bottom w:type="dxa" w:w="90"/>
              <w:right w:type="dxa" w:w="130"/>
            </w:tcMar>
          </w:tcPr>
          <w:p>
            <w:pPr>
              <w:spacing w:after="0" w:line="252"/>
              <w:jc w:val="right"/>
            </w:pPr>
            <w:r>
              <w:rPr>
                <w:color w:val="1A1A1A"/>
                <w:sz w:val="19"/>
                <w:szCs w:val="19"/>
              </w:rPr>
              <w:t xml:space="preserve">—</w:t>
            </w:r>
          </w:p>
        </w:tc>
        <w:tc>
          <w:tcPr>
            <w:tcW w:type="dxa" w:w="2217"/>
            <w:shd w:fill="FFFFFF" w:val="clear"/>
            <w:tcMar>
              <w:top w:type="dxa" w:w="90"/>
              <w:left w:type="dxa" w:w="130"/>
              <w:bottom w:type="dxa" w:w="90"/>
              <w:right w:type="dxa" w:w="130"/>
            </w:tcMar>
          </w:tcPr>
          <w:p>
            <w:pPr>
              <w:spacing w:after="0" w:line="252"/>
              <w:jc w:val="right"/>
            </w:pPr>
            <w:r>
              <w:rPr>
                <w:color w:val="1A1A1A"/>
                <w:sz w:val="19"/>
                <w:szCs w:val="19"/>
              </w:rPr>
              <w:t xml:space="preserve"/>
            </w:r>
          </w:p>
        </w:tc>
      </w:tr>
      <w:tr>
        <w:tc>
          <w:tcPr>
            <w:tcW w:type="dxa" w:w="3427"/>
            <w:shd w:fill="F6F9FA" w:val="clear"/>
            <w:tcMar>
              <w:top w:type="dxa" w:w="90"/>
              <w:left w:type="dxa" w:w="130"/>
              <w:bottom w:type="dxa" w:w="90"/>
              <w:right w:type="dxa" w:w="130"/>
            </w:tcMar>
          </w:tcPr>
          <w:p>
            <w:pPr>
              <w:spacing w:after="0" w:line="252"/>
              <w:jc w:val="left"/>
            </w:pPr>
            <w:r>
              <w:rPr>
                <w:color w:val="1A1A1A"/>
                <w:sz w:val="19"/>
                <w:szCs w:val="19"/>
              </w:rPr>
              <w:t xml:space="preserve">Fees paid</w:t>
            </w:r>
          </w:p>
        </w:tc>
        <w:tc>
          <w:tcPr>
            <w:tcW w:type="dxa" w:w="2218"/>
            <w:shd w:fill="F6F9FA" w:val="clear"/>
            <w:tcMar>
              <w:top w:type="dxa" w:w="90"/>
              <w:left w:type="dxa" w:w="130"/>
              <w:bottom w:type="dxa" w:w="90"/>
              <w:right w:type="dxa" w:w="130"/>
            </w:tcMar>
          </w:tcPr>
          <w:p>
            <w:pPr>
              <w:spacing w:after="0" w:line="252"/>
              <w:jc w:val="right"/>
            </w:pPr>
            <w:r>
              <w:rPr>
                <w:color w:val="1A1A1A"/>
                <w:sz w:val="19"/>
                <w:szCs w:val="19"/>
              </w:rPr>
              <w:t xml:space="preserve">$125,259</w:t>
            </w:r>
          </w:p>
        </w:tc>
        <w:tc>
          <w:tcPr>
            <w:tcW w:type="dxa" w:w="2218"/>
            <w:shd w:fill="F6F9FA" w:val="clear"/>
            <w:tcMar>
              <w:top w:type="dxa" w:w="90"/>
              <w:left w:type="dxa" w:w="130"/>
              <w:bottom w:type="dxa" w:w="90"/>
              <w:right w:type="dxa" w:w="130"/>
            </w:tcMar>
          </w:tcPr>
          <w:p>
            <w:pPr>
              <w:spacing w:after="0" w:line="252"/>
              <w:jc w:val="right"/>
            </w:pPr>
            <w:r>
              <w:rPr>
                <w:color w:val="1A1A1A"/>
                <w:sz w:val="19"/>
                <w:szCs w:val="19"/>
              </w:rPr>
              <w:t xml:space="preserve">$0</w:t>
            </w:r>
          </w:p>
        </w:tc>
        <w:tc>
          <w:tcPr>
            <w:tcW w:type="dxa" w:w="2217"/>
            <w:shd w:fill="F6F9FA" w:val="clear"/>
            <w:tcMar>
              <w:top w:type="dxa" w:w="90"/>
              <w:left w:type="dxa" w:w="130"/>
              <w:bottom w:type="dxa" w:w="90"/>
              <w:right w:type="dxa" w:w="130"/>
            </w:tcMar>
          </w:tcPr>
          <w:p>
            <w:pPr>
              <w:spacing w:after="0" w:line="252"/>
              <w:jc w:val="right"/>
            </w:pPr>
            <w:r>
              <w:rPr>
                <w:color w:val="1A1A1A"/>
                <w:sz w:val="19"/>
                <w:szCs w:val="19"/>
              </w:rPr>
              <w:t xml:space="preserve"/>
            </w:r>
          </w:p>
        </w:tc>
      </w:tr>
    </w:tbl>
    <w:p>
      <w:pPr>
        <w:pStyle w:val="Heading3"/>
      </w:pPr>
      <w:r>
        <w:t xml:space="preserve">Reading these numbers</w:t>
      </w:r>
    </w:p>
    <w:p>
      <w:r>
        <w:t xml:space="preserve">The 4,265 percentage-point return advantage sounds enormous and means very little. Compounded over a decade on an asset that rose 22,000%, small differences in exposure produce huge differences in terminal value. CAGR is the honest comparison, and there the edge is 2.8 points.</w:t>
      </w:r>
    </w:p>
    <w:p>
      <w:r>
        <w:t xml:space="preserve">The risk-adjusted numbers are where the strategy earns its keep. A Calmar of 0.98 against 0.79 means each unit of drawdown bought roughly 24% more annual return. That is a genuine, repeatable improvement — but it is an improvement in the shape of the ride, not in the destination.</w:t>
      </w:r>
    </w:p>
    <w:tbl>
      <w:tblPr>
        <w:tblW w:type="dxa" w:w="10080"/>
        <w:tblBorders>
          <w:top w:val="none"/>
          <w:left w:val="single" w:color="A32C2C" w:sz="18"/>
          <w:bottom w:val="none"/>
          <w:right w:val="none"/>
          <w:insideH w:val="none"/>
          <w:insideV w:val="none"/>
        </w:tblBorders>
      </w:tblPr>
      <w:tblGrid>
        <w:gridCol w:w="10080"/>
      </w:tblGrid>
      <w:tr>
        <w:tc>
          <w:tcPr>
            <w:tcW w:type="dxa" w:w="10080"/>
            <w:shd w:fill="F7F9FA" w:val="clear"/>
            <w:tcMar>
              <w:top w:type="dxa" w:w="120"/>
              <w:left w:type="dxa" w:w="180"/>
              <w:bottom w:type="dxa" w:w="120"/>
              <w:right w:type="dxa" w:w="180"/>
            </w:tcMar>
          </w:tcPr>
          <w:p>
            <w:pPr>
              <w:spacing w:after="60"/>
            </w:pPr>
            <w:r>
              <w:rPr>
                <w:b/>
                <w:bCs/>
                <w:color w:val="A32C2C"/>
                <w:sz w:val="20"/>
                <w:szCs w:val="20"/>
              </w:rPr>
              <w:t xml:space="preserve">Context for a −70% drawdown</w:t>
            </w:r>
          </w:p>
          <w:p>
            <w:pPr>
              <w:spacing w:after="0"/>
            </w:pPr>
            <w:r>
              <w:rPr>
                <w:sz w:val="20"/>
                <w:szCs w:val="20"/>
              </w:rPr>
              <w:t xml:space="preserve">Even the strategy’s worst loss was 70.1%. On a £10,000 account that is watching it fall to roughly £3,000 before recovering. The relevant question is not whether the backtest survives that — it does, mechanically — but whether you would hold through it without intervening. If not, the backtest describes a system you would never actually run.</w:t>
            </w:r>
          </w:p>
        </w:tc>
      </w:tr>
    </w:tbl>
    <w:p>
      <w:pPr>
        <w:pStyle w:val="Heading1"/>
      </w:pPr>
      <w:r>
        <w:t xml:space="preserve">3. Performance by market regime</w:t>
      </w:r>
    </w:p>
    <w:p>
      <w:r>
        <w:t xml:space="preserve">Splitting history into periods is the test that matters. A strategy that only works in one regime has been fitted to that regime.</w:t>
      </w:r>
    </w:p>
    <w:tbl>
      <w:tblPr>
        <w:tblW w:type="dxa" w:w="10080"/>
        <w:tblBorders>
          <w:top w:val="single" w:color="C8D2D9" w:sz="2"/>
          <w:left w:val="none"/>
          <w:bottom w:val="single" w:color="C8D2D9" w:sz="2"/>
          <w:right w:val="none"/>
          <w:insideH w:val="single" w:color="E2E8EC" w:sz="2"/>
          <w:insideV w:val="none"/>
        </w:tblBorders>
      </w:tblPr>
      <w:tblGrid>
        <w:gridCol w:w="3024"/>
        <w:gridCol w:w="1512"/>
        <w:gridCol w:w="1512"/>
        <w:gridCol w:w="1411"/>
        <w:gridCol w:w="1310"/>
        <w:gridCol w:w="1311"/>
      </w:tblGrid>
      <w:tr>
        <w:trPr>
          <w:tblHeader/>
        </w:trPr>
        <w:tc>
          <w:tcPr>
            <w:tcW w:type="dxa" w:w="3024"/>
            <w:shd w:fill="1F4E5F" w:val="clear"/>
            <w:tcMar>
              <w:top w:type="dxa" w:w="90"/>
              <w:left w:type="dxa" w:w="130"/>
              <w:bottom w:type="dxa" w:w="90"/>
              <w:right w:type="dxa" w:w="130"/>
            </w:tcMar>
          </w:tcPr>
          <w:p>
            <w:pPr>
              <w:spacing w:after="0" w:line="252"/>
              <w:jc w:val="left"/>
            </w:pPr>
            <w:r>
              <w:rPr>
                <w:b/>
                <w:bCs/>
                <w:color w:val="FFFFFF"/>
                <w:sz w:val="19"/>
                <w:szCs w:val="19"/>
              </w:rPr>
              <w:t xml:space="preserve">Period</w:t>
            </w:r>
          </w:p>
        </w:tc>
        <w:tc>
          <w:tcPr>
            <w:tcW w:type="dxa" w:w="1512"/>
            <w:shd w:fill="1F4E5F" w:val="clear"/>
            <w:tcMar>
              <w:top w:type="dxa" w:w="90"/>
              <w:left w:type="dxa" w:w="130"/>
              <w:bottom w:type="dxa" w:w="90"/>
              <w:right w:type="dxa" w:w="130"/>
            </w:tcMar>
          </w:tcPr>
          <w:p>
            <w:pPr>
              <w:spacing w:after="0" w:line="252"/>
              <w:jc w:val="right"/>
            </w:pPr>
            <w:r>
              <w:rPr>
                <w:b/>
                <w:bCs/>
                <w:color w:val="FFFFFF"/>
                <w:sz w:val="19"/>
                <w:szCs w:val="19"/>
              </w:rPr>
              <w:t xml:space="preserve">Strategy</w:t>
            </w:r>
          </w:p>
        </w:tc>
        <w:tc>
          <w:tcPr>
            <w:tcW w:type="dxa" w:w="1512"/>
            <w:shd w:fill="1F4E5F" w:val="clear"/>
            <w:tcMar>
              <w:top w:type="dxa" w:w="90"/>
              <w:left w:type="dxa" w:w="130"/>
              <w:bottom w:type="dxa" w:w="90"/>
              <w:right w:type="dxa" w:w="130"/>
            </w:tcMar>
          </w:tcPr>
          <w:p>
            <w:pPr>
              <w:spacing w:after="0" w:line="252"/>
              <w:jc w:val="right"/>
            </w:pPr>
            <w:r>
              <w:rPr>
                <w:b/>
                <w:bCs/>
                <w:color w:val="FFFFFF"/>
                <w:sz w:val="19"/>
                <w:szCs w:val="19"/>
              </w:rPr>
              <w:t xml:space="preserve">Buy &amp; hold</w:t>
            </w:r>
          </w:p>
        </w:tc>
        <w:tc>
          <w:tcPr>
            <w:tcW w:type="dxa" w:w="1411"/>
            <w:shd w:fill="1F4E5F" w:val="clear"/>
            <w:tcMar>
              <w:top w:type="dxa" w:w="90"/>
              <w:left w:type="dxa" w:w="130"/>
              <w:bottom w:type="dxa" w:w="90"/>
              <w:right w:type="dxa" w:w="130"/>
            </w:tcMar>
          </w:tcPr>
          <w:p>
            <w:pPr>
              <w:spacing w:after="0" w:line="252"/>
              <w:jc w:val="right"/>
            </w:pPr>
            <w:r>
              <w:rPr>
                <w:b/>
                <w:bCs/>
                <w:color w:val="FFFFFF"/>
                <w:sz w:val="19"/>
                <w:szCs w:val="19"/>
              </w:rPr>
              <w:t xml:space="preserve">Strat DD</w:t>
            </w:r>
          </w:p>
        </w:tc>
        <w:tc>
          <w:tcPr>
            <w:tcW w:type="dxa" w:w="1310"/>
            <w:shd w:fill="1F4E5F" w:val="clear"/>
            <w:tcMar>
              <w:top w:type="dxa" w:w="90"/>
              <w:left w:type="dxa" w:w="130"/>
              <w:bottom w:type="dxa" w:w="90"/>
              <w:right w:type="dxa" w:w="130"/>
            </w:tcMar>
          </w:tcPr>
          <w:p>
            <w:pPr>
              <w:spacing w:after="0" w:line="252"/>
              <w:jc w:val="right"/>
            </w:pPr>
            <w:r>
              <w:rPr>
                <w:b/>
                <w:bCs/>
                <w:color w:val="FFFFFF"/>
                <w:sz w:val="19"/>
                <w:szCs w:val="19"/>
              </w:rPr>
              <w:t xml:space="preserve">B&amp;H DD</w:t>
            </w:r>
          </w:p>
        </w:tc>
        <w:tc>
          <w:tcPr>
            <w:tcW w:type="dxa" w:w="1311"/>
            <w:shd w:fill="1F4E5F" w:val="clear"/>
            <w:tcMar>
              <w:top w:type="dxa" w:w="90"/>
              <w:left w:type="dxa" w:w="130"/>
              <w:bottom w:type="dxa" w:w="90"/>
              <w:right w:type="dxa" w:w="130"/>
            </w:tcMar>
          </w:tcPr>
          <w:p>
            <w:pPr>
              <w:spacing w:after="0" w:line="252"/>
              <w:jc w:val="right"/>
            </w:pPr>
            <w:r>
              <w:rPr>
                <w:b/>
                <w:bCs/>
                <w:color w:val="FFFFFF"/>
                <w:sz w:val="19"/>
                <w:szCs w:val="19"/>
              </w:rPr>
              <w:t xml:space="preserve">Trades</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2015–2017 early</w:t>
            </w:r>
          </w:p>
        </w:tc>
        <w:tc>
          <w:tcPr>
            <w:tcW w:type="dxa" w:w="1512"/>
            <w:shd w:fill="FFFFFF" w:val="clear"/>
            <w:tcMar>
              <w:top w:type="dxa" w:w="90"/>
              <w:left w:type="dxa" w:w="130"/>
              <w:bottom w:type="dxa" w:w="90"/>
              <w:right w:type="dxa" w:w="130"/>
            </w:tcMar>
          </w:tcPr>
          <w:p>
            <w:pPr>
              <w:spacing w:after="0" w:line="252"/>
              <w:jc w:val="right"/>
            </w:pPr>
            <w:r>
              <w:rPr>
                <w:color w:val="1A1A1A"/>
                <w:sz w:val="19"/>
                <w:szCs w:val="19"/>
              </w:rPr>
              <w:t xml:space="preserve">3,473%</w:t>
            </w:r>
          </w:p>
        </w:tc>
        <w:tc>
          <w:tcPr>
            <w:tcW w:type="dxa" w:w="1512"/>
            <w:shd w:fill="FFFFFF" w:val="clear"/>
            <w:tcMar>
              <w:top w:type="dxa" w:w="90"/>
              <w:left w:type="dxa" w:w="130"/>
              <w:bottom w:type="dxa" w:w="90"/>
              <w:right w:type="dxa" w:w="130"/>
            </w:tcMar>
          </w:tcPr>
          <w:p>
            <w:pPr>
              <w:spacing w:after="0" w:line="252"/>
              <w:jc w:val="right"/>
            </w:pPr>
            <w:r>
              <w:rPr>
                <w:color w:val="1A1A1A"/>
                <w:sz w:val="19"/>
                <w:szCs w:val="19"/>
              </w:rPr>
              <w:t xml:space="preserve">3,473%</w:t>
            </w:r>
          </w:p>
        </w:tc>
        <w:tc>
          <w:tcPr>
            <w:tcW w:type="dxa" w:w="1411"/>
            <w:shd w:fill="FFFFFF" w:val="clear"/>
            <w:tcMar>
              <w:top w:type="dxa" w:w="90"/>
              <w:left w:type="dxa" w:w="130"/>
              <w:bottom w:type="dxa" w:w="90"/>
              <w:right w:type="dxa" w:w="130"/>
            </w:tcMar>
          </w:tcPr>
          <w:p>
            <w:pPr>
              <w:spacing w:after="0" w:line="252"/>
              <w:jc w:val="right"/>
            </w:pPr>
            <w:r>
              <w:rPr>
                <w:color w:val="1A1A1A"/>
                <w:sz w:val="19"/>
                <w:szCs w:val="19"/>
              </w:rPr>
              <w:t xml:space="preserve">−36.3%</w:t>
            </w:r>
          </w:p>
        </w:tc>
        <w:tc>
          <w:tcPr>
            <w:tcW w:type="dxa" w:w="1310"/>
            <w:shd w:fill="FFFFFF" w:val="clear"/>
            <w:tcMar>
              <w:top w:type="dxa" w:w="90"/>
              <w:left w:type="dxa" w:w="130"/>
              <w:bottom w:type="dxa" w:w="90"/>
              <w:right w:type="dxa" w:w="130"/>
            </w:tcMar>
          </w:tcPr>
          <w:p>
            <w:pPr>
              <w:spacing w:after="0" w:line="252"/>
              <w:jc w:val="right"/>
            </w:pPr>
            <w:r>
              <w:rPr>
                <w:color w:val="1A1A1A"/>
                <w:sz w:val="19"/>
                <w:szCs w:val="19"/>
              </w:rPr>
              <w:t xml:space="preserve">−36.3%</w:t>
            </w:r>
          </w:p>
        </w:tc>
        <w:tc>
          <w:tcPr>
            <w:tcW w:type="dxa" w:w="1311"/>
            <w:shd w:fill="FFFFFF" w:val="clear"/>
            <w:tcMar>
              <w:top w:type="dxa" w:w="90"/>
              <w:left w:type="dxa" w:w="130"/>
              <w:bottom w:type="dxa" w:w="90"/>
              <w:right w:type="dxa" w:w="130"/>
            </w:tcMar>
          </w:tcPr>
          <w:p>
            <w:pPr>
              <w:spacing w:after="0" w:line="252"/>
              <w:jc w:val="right"/>
            </w:pPr>
            <w:r>
              <w:rPr>
                <w:color w:val="1A1A1A"/>
                <w:sz w:val="19"/>
                <w:szCs w:val="19"/>
              </w:rPr>
              <w:t xml:space="preserve">0</w:t>
            </w:r>
          </w:p>
        </w:tc>
      </w:tr>
      <w:tr>
        <w:tc>
          <w:tcPr>
            <w:tcW w:type="dxa" w:w="3024"/>
            <w:shd w:fill="F6F9FA" w:val="clear"/>
            <w:tcMar>
              <w:top w:type="dxa" w:w="90"/>
              <w:left w:type="dxa" w:w="130"/>
              <w:bottom w:type="dxa" w:w="90"/>
              <w:right w:type="dxa" w:w="130"/>
            </w:tcMar>
          </w:tcPr>
          <w:p>
            <w:pPr>
              <w:spacing w:after="0" w:line="252"/>
              <w:jc w:val="left"/>
            </w:pPr>
            <w:r>
              <w:rPr>
                <w:b/>
                <w:bCs/>
                <w:color w:val="1A1A1A"/>
                <w:sz w:val="19"/>
                <w:szCs w:val="19"/>
              </w:rPr>
              <w:t xml:space="preserve">2018–2019 bear</w:t>
            </w:r>
          </w:p>
        </w:tc>
        <w:tc>
          <w:tcPr>
            <w:tcW w:type="dxa" w:w="1512"/>
            <w:shd w:fill="F6F9FA" w:val="clear"/>
            <w:tcMar>
              <w:top w:type="dxa" w:w="90"/>
              <w:left w:type="dxa" w:w="130"/>
              <w:bottom w:type="dxa" w:w="90"/>
              <w:right w:type="dxa" w:w="130"/>
            </w:tcMar>
          </w:tcPr>
          <w:p>
            <w:pPr>
              <w:spacing w:after="0" w:line="252"/>
              <w:jc w:val="right"/>
            </w:pPr>
            <w:r>
              <w:rPr>
                <w:b/>
                <w:bCs/>
                <w:color w:val="2C6E49"/>
                <w:sz w:val="19"/>
                <w:szCs w:val="19"/>
              </w:rPr>
              <w:t xml:space="preserve">+71.1%</w:t>
            </w:r>
          </w:p>
        </w:tc>
        <w:tc>
          <w:tcPr>
            <w:tcW w:type="dxa" w:w="1512"/>
            <w:shd w:fill="F6F9FA" w:val="clear"/>
            <w:tcMar>
              <w:top w:type="dxa" w:w="90"/>
              <w:left w:type="dxa" w:w="130"/>
              <w:bottom w:type="dxa" w:w="90"/>
              <w:right w:type="dxa" w:w="130"/>
            </w:tcMar>
          </w:tcPr>
          <w:p>
            <w:pPr>
              <w:spacing w:after="0" w:line="252"/>
              <w:jc w:val="right"/>
            </w:pPr>
            <w:r>
              <w:rPr>
                <w:color w:val="A32C2C"/>
                <w:sz w:val="19"/>
                <w:szCs w:val="19"/>
              </w:rPr>
              <w:t xml:space="preserve">−4.1%</w:t>
            </w:r>
          </w:p>
        </w:tc>
        <w:tc>
          <w:tcPr>
            <w:tcW w:type="dxa" w:w="1411"/>
            <w:shd w:fill="F6F9FA" w:val="clear"/>
            <w:tcMar>
              <w:top w:type="dxa" w:w="90"/>
              <w:left w:type="dxa" w:w="130"/>
              <w:bottom w:type="dxa" w:w="90"/>
              <w:right w:type="dxa" w:w="130"/>
            </w:tcMar>
          </w:tcPr>
          <w:p>
            <w:pPr>
              <w:spacing w:after="0" w:line="252"/>
              <w:jc w:val="right"/>
            </w:pPr>
            <w:r>
              <w:rPr>
                <w:color w:val="1A1A1A"/>
                <w:sz w:val="19"/>
                <w:szCs w:val="19"/>
              </w:rPr>
              <w:t xml:space="preserve">−34.9%</w:t>
            </w:r>
          </w:p>
        </w:tc>
        <w:tc>
          <w:tcPr>
            <w:tcW w:type="dxa" w:w="1310"/>
            <w:shd w:fill="F6F9FA" w:val="clear"/>
            <w:tcMar>
              <w:top w:type="dxa" w:w="90"/>
              <w:left w:type="dxa" w:w="130"/>
              <w:bottom w:type="dxa" w:w="90"/>
              <w:right w:type="dxa" w:w="130"/>
            </w:tcMar>
          </w:tcPr>
          <w:p>
            <w:pPr>
              <w:spacing w:after="0" w:line="252"/>
              <w:jc w:val="right"/>
            </w:pPr>
            <w:r>
              <w:rPr>
                <w:color w:val="1A1A1A"/>
                <w:sz w:val="19"/>
                <w:szCs w:val="19"/>
              </w:rPr>
              <w:t xml:space="preserve">−62.0%</w:t>
            </w:r>
          </w:p>
        </w:tc>
        <w:tc>
          <w:tcPr>
            <w:tcW w:type="dxa" w:w="1311"/>
            <w:shd w:fill="F6F9FA" w:val="clear"/>
            <w:tcMar>
              <w:top w:type="dxa" w:w="90"/>
              <w:left w:type="dxa" w:w="130"/>
              <w:bottom w:type="dxa" w:w="90"/>
              <w:right w:type="dxa" w:w="130"/>
            </w:tcMar>
          </w:tcPr>
          <w:p>
            <w:pPr>
              <w:spacing w:after="0" w:line="252"/>
              <w:jc w:val="right"/>
            </w:pPr>
            <w:r>
              <w:rPr>
                <w:color w:val="1A1A1A"/>
                <w:sz w:val="19"/>
                <w:szCs w:val="19"/>
              </w:rPr>
              <w:t xml:space="preserve">1</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2020–2024 (original window)</w:t>
            </w:r>
          </w:p>
        </w:tc>
        <w:tc>
          <w:tcPr>
            <w:tcW w:type="dxa" w:w="1512"/>
            <w:shd w:fill="FFFFFF" w:val="clear"/>
            <w:tcMar>
              <w:top w:type="dxa" w:w="90"/>
              <w:left w:type="dxa" w:w="130"/>
              <w:bottom w:type="dxa" w:w="90"/>
              <w:right w:type="dxa" w:w="130"/>
            </w:tcMar>
          </w:tcPr>
          <w:p>
            <w:pPr>
              <w:spacing w:after="0" w:line="252"/>
              <w:jc w:val="right"/>
            </w:pPr>
            <w:r>
              <w:rPr>
                <w:color w:val="1A1A1A"/>
                <w:sz w:val="19"/>
                <w:szCs w:val="19"/>
              </w:rPr>
              <w:t xml:space="preserve">999.2%</w:t>
            </w:r>
          </w:p>
        </w:tc>
        <w:tc>
          <w:tcPr>
            <w:tcW w:type="dxa" w:w="1512"/>
            <w:shd w:fill="FFFFFF" w:val="clear"/>
            <w:tcMar>
              <w:top w:type="dxa" w:w="90"/>
              <w:left w:type="dxa" w:w="130"/>
              <w:bottom w:type="dxa" w:w="90"/>
              <w:right w:type="dxa" w:w="130"/>
            </w:tcMar>
          </w:tcPr>
          <w:p>
            <w:pPr>
              <w:spacing w:after="0" w:line="252"/>
              <w:jc w:val="right"/>
            </w:pPr>
            <w:r>
              <w:rPr>
                <w:color w:val="1A1A1A"/>
                <w:sz w:val="19"/>
                <w:szCs w:val="19"/>
              </w:rPr>
              <w:t xml:space="preserve">917.4%</w:t>
            </w:r>
          </w:p>
        </w:tc>
        <w:tc>
          <w:tcPr>
            <w:tcW w:type="dxa" w:w="1411"/>
            <w:shd w:fill="FFFFFF" w:val="clear"/>
            <w:tcMar>
              <w:top w:type="dxa" w:w="90"/>
              <w:left w:type="dxa" w:w="130"/>
              <w:bottom w:type="dxa" w:w="90"/>
              <w:right w:type="dxa" w:w="130"/>
            </w:tcMar>
          </w:tcPr>
          <w:p>
            <w:pPr>
              <w:spacing w:after="0" w:line="252"/>
              <w:jc w:val="right"/>
            </w:pPr>
            <w:r>
              <w:rPr>
                <w:color w:val="1A1A1A"/>
                <w:sz w:val="19"/>
                <w:szCs w:val="19"/>
              </w:rPr>
              <w:t xml:space="preserve">−50.0%</w:t>
            </w:r>
          </w:p>
        </w:tc>
        <w:tc>
          <w:tcPr>
            <w:tcW w:type="dxa" w:w="1310"/>
            <w:shd w:fill="FFFFFF" w:val="clear"/>
            <w:tcMar>
              <w:top w:type="dxa" w:w="90"/>
              <w:left w:type="dxa" w:w="130"/>
              <w:bottom w:type="dxa" w:w="90"/>
              <w:right w:type="dxa" w:w="130"/>
            </w:tcMar>
          </w:tcPr>
          <w:p>
            <w:pPr>
              <w:spacing w:after="0" w:line="252"/>
              <w:jc w:val="right"/>
            </w:pPr>
            <w:r>
              <w:rPr>
                <w:color w:val="1A1A1A"/>
                <w:sz w:val="19"/>
                <w:szCs w:val="19"/>
              </w:rPr>
              <w:t xml:space="preserve">−76.7%</w:t>
            </w:r>
          </w:p>
        </w:tc>
        <w:tc>
          <w:tcPr>
            <w:tcW w:type="dxa" w:w="1311"/>
            <w:shd w:fill="FFFFFF" w:val="clear"/>
            <w:tcMar>
              <w:top w:type="dxa" w:w="90"/>
              <w:left w:type="dxa" w:w="130"/>
              <w:bottom w:type="dxa" w:w="90"/>
              <w:right w:type="dxa" w:w="130"/>
            </w:tcMar>
          </w:tcPr>
          <w:p>
            <w:pPr>
              <w:spacing w:after="0" w:line="252"/>
              <w:jc w:val="right"/>
            </w:pPr>
            <w:r>
              <w:rPr>
                <w:color w:val="1A1A1A"/>
                <w:sz w:val="19"/>
                <w:szCs w:val="19"/>
              </w:rPr>
              <w:t xml:space="preserve">13</w:t>
            </w:r>
          </w:p>
        </w:tc>
      </w:tr>
      <w:tr>
        <w:tc>
          <w:tcPr>
            <w:tcW w:type="dxa" w:w="3024"/>
            <w:shd w:fill="F6F9FA" w:val="clear"/>
            <w:tcMar>
              <w:top w:type="dxa" w:w="90"/>
              <w:left w:type="dxa" w:w="130"/>
              <w:bottom w:type="dxa" w:w="90"/>
              <w:right w:type="dxa" w:w="130"/>
            </w:tcMar>
          </w:tcPr>
          <w:p>
            <w:pPr>
              <w:spacing w:after="0" w:line="252"/>
              <w:jc w:val="left"/>
            </w:pPr>
            <w:r>
              <w:rPr>
                <w:b/>
                <w:bCs/>
                <w:color w:val="1A1A1A"/>
                <w:sz w:val="19"/>
                <w:szCs w:val="19"/>
              </w:rPr>
              <w:t xml:space="preserve">2025–today (out of sample)</w:t>
            </w:r>
          </w:p>
        </w:tc>
        <w:tc>
          <w:tcPr>
            <w:tcW w:type="dxa" w:w="1512"/>
            <w:shd w:fill="F6F9FA" w:val="clear"/>
            <w:tcMar>
              <w:top w:type="dxa" w:w="90"/>
              <w:left w:type="dxa" w:w="130"/>
              <w:bottom w:type="dxa" w:w="90"/>
              <w:right w:type="dxa" w:w="130"/>
            </w:tcMar>
          </w:tcPr>
          <w:p>
            <w:pPr>
              <w:spacing w:after="0" w:line="252"/>
              <w:jc w:val="right"/>
            </w:pPr>
            <w:r>
              <w:rPr>
                <w:color w:val="A32C2C"/>
                <w:sz w:val="19"/>
                <w:szCs w:val="19"/>
              </w:rPr>
              <w:t xml:space="preserve">−3.0%</w:t>
            </w:r>
          </w:p>
        </w:tc>
        <w:tc>
          <w:tcPr>
            <w:tcW w:type="dxa" w:w="1512"/>
            <w:shd w:fill="F6F9FA" w:val="clear"/>
            <w:tcMar>
              <w:top w:type="dxa" w:w="90"/>
              <w:left w:type="dxa" w:w="130"/>
              <w:bottom w:type="dxa" w:w="90"/>
              <w:right w:type="dxa" w:w="130"/>
            </w:tcMar>
          </w:tcPr>
          <w:p>
            <w:pPr>
              <w:spacing w:after="0" w:line="252"/>
              <w:jc w:val="right"/>
            </w:pPr>
            <w:r>
              <w:rPr>
                <w:color w:val="A32C2C"/>
                <w:sz w:val="19"/>
                <w:szCs w:val="19"/>
              </w:rPr>
              <w:t xml:space="preserve">−27.1%</w:t>
            </w:r>
          </w:p>
        </w:tc>
        <w:tc>
          <w:tcPr>
            <w:tcW w:type="dxa" w:w="1411"/>
            <w:shd w:fill="F6F9FA" w:val="clear"/>
            <w:tcMar>
              <w:top w:type="dxa" w:w="90"/>
              <w:left w:type="dxa" w:w="130"/>
              <w:bottom w:type="dxa" w:w="90"/>
              <w:right w:type="dxa" w:w="130"/>
            </w:tcMar>
          </w:tcPr>
          <w:p>
            <w:pPr>
              <w:spacing w:after="0" w:line="252"/>
              <w:jc w:val="right"/>
            </w:pPr>
            <w:r>
              <w:rPr>
                <w:color w:val="1A1A1A"/>
                <w:sz w:val="19"/>
                <w:szCs w:val="19"/>
              </w:rPr>
              <w:t xml:space="preserve">−19.4%</w:t>
            </w:r>
          </w:p>
        </w:tc>
        <w:tc>
          <w:tcPr>
            <w:tcW w:type="dxa" w:w="1310"/>
            <w:shd w:fill="F6F9FA" w:val="clear"/>
            <w:tcMar>
              <w:top w:type="dxa" w:w="90"/>
              <w:left w:type="dxa" w:w="130"/>
              <w:bottom w:type="dxa" w:w="90"/>
              <w:right w:type="dxa" w:w="130"/>
            </w:tcMar>
          </w:tcPr>
          <w:p>
            <w:pPr>
              <w:spacing w:after="0" w:line="252"/>
              <w:jc w:val="right"/>
            </w:pPr>
            <w:r>
              <w:rPr>
                <w:color w:val="1A1A1A"/>
                <w:sz w:val="19"/>
                <w:szCs w:val="19"/>
              </w:rPr>
              <w:t xml:space="preserve">−53.1%</w:t>
            </w:r>
          </w:p>
        </w:tc>
        <w:tc>
          <w:tcPr>
            <w:tcW w:type="dxa" w:w="1311"/>
            <w:shd w:fill="F6F9FA" w:val="clear"/>
            <w:tcMar>
              <w:top w:type="dxa" w:w="90"/>
              <w:left w:type="dxa" w:w="130"/>
              <w:bottom w:type="dxa" w:w="90"/>
              <w:right w:type="dxa" w:w="130"/>
            </w:tcMar>
          </w:tcPr>
          <w:p>
            <w:pPr>
              <w:spacing w:after="0" w:line="252"/>
              <w:jc w:val="right"/>
            </w:pPr>
            <w:r>
              <w:rPr>
                <w:color w:val="1A1A1A"/>
                <w:sz w:val="19"/>
                <w:szCs w:val="19"/>
              </w:rPr>
              <w:t xml:space="preserve">2</w:t>
            </w:r>
          </w:p>
        </w:tc>
      </w:tr>
      <w:tr>
        <w:tc>
          <w:tcPr>
            <w:tcW w:type="dxa" w:w="3024"/>
            <w:shd w:fill="FFFFFF" w:val="clear"/>
            <w:tcMar>
              <w:top w:type="dxa" w:w="90"/>
              <w:left w:type="dxa" w:w="130"/>
              <w:bottom w:type="dxa" w:w="90"/>
              <w:right w:type="dxa" w:w="130"/>
            </w:tcMar>
          </w:tcPr>
          <w:p>
            <w:pPr>
              <w:spacing w:after="0" w:line="252"/>
              <w:jc w:val="left"/>
            </w:pPr>
            <w:r>
              <w:rPr>
                <w:color w:val="1A1A1A"/>
                <w:sz w:val="19"/>
                <w:szCs w:val="19"/>
              </w:rPr>
              <w:t xml:space="preserve">Full history</w:t>
            </w:r>
          </w:p>
        </w:tc>
        <w:tc>
          <w:tcPr>
            <w:tcW w:type="dxa" w:w="1512"/>
            <w:shd w:fill="FFFFFF" w:val="clear"/>
            <w:tcMar>
              <w:top w:type="dxa" w:w="90"/>
              <w:left w:type="dxa" w:w="130"/>
              <w:bottom w:type="dxa" w:w="90"/>
              <w:right w:type="dxa" w:w="130"/>
            </w:tcMar>
          </w:tcPr>
          <w:p>
            <w:pPr>
              <w:spacing w:after="0" w:line="252"/>
              <w:jc w:val="right"/>
            </w:pPr>
            <w:r>
              <w:rPr>
                <w:color w:val="1A1A1A"/>
                <w:sz w:val="19"/>
                <w:szCs w:val="19"/>
              </w:rPr>
              <w:t xml:space="preserve">26,332%</w:t>
            </w:r>
          </w:p>
        </w:tc>
        <w:tc>
          <w:tcPr>
            <w:tcW w:type="dxa" w:w="1512"/>
            <w:shd w:fill="FFFFFF" w:val="clear"/>
            <w:tcMar>
              <w:top w:type="dxa" w:w="90"/>
              <w:left w:type="dxa" w:w="130"/>
              <w:bottom w:type="dxa" w:w="90"/>
              <w:right w:type="dxa" w:w="130"/>
            </w:tcMar>
          </w:tcPr>
          <w:p>
            <w:pPr>
              <w:spacing w:after="0" w:line="252"/>
              <w:jc w:val="right"/>
            </w:pPr>
            <w:r>
              <w:rPr>
                <w:color w:val="1A1A1A"/>
                <w:sz w:val="19"/>
                <w:szCs w:val="19"/>
              </w:rPr>
              <w:t xml:space="preserve">22,067%</w:t>
            </w:r>
          </w:p>
        </w:tc>
        <w:tc>
          <w:tcPr>
            <w:tcW w:type="dxa" w:w="1411"/>
            <w:shd w:fill="FFFFFF" w:val="clear"/>
            <w:tcMar>
              <w:top w:type="dxa" w:w="90"/>
              <w:left w:type="dxa" w:w="130"/>
              <w:bottom w:type="dxa" w:w="90"/>
              <w:right w:type="dxa" w:w="130"/>
            </w:tcMar>
          </w:tcPr>
          <w:p>
            <w:pPr>
              <w:spacing w:after="0" w:line="252"/>
              <w:jc w:val="right"/>
            </w:pPr>
            <w:r>
              <w:rPr>
                <w:color w:val="1A1A1A"/>
                <w:sz w:val="19"/>
                <w:szCs w:val="19"/>
              </w:rPr>
              <w:t xml:space="preserve">−70.1%</w:t>
            </w:r>
          </w:p>
        </w:tc>
        <w:tc>
          <w:tcPr>
            <w:tcW w:type="dxa" w:w="1310"/>
            <w:shd w:fill="FFFFFF" w:val="clear"/>
            <w:tcMar>
              <w:top w:type="dxa" w:w="90"/>
              <w:left w:type="dxa" w:w="130"/>
              <w:bottom w:type="dxa" w:w="90"/>
              <w:right w:type="dxa" w:w="130"/>
            </w:tcMar>
          </w:tcPr>
          <w:p>
            <w:pPr>
              <w:spacing w:after="0" w:line="252"/>
              <w:jc w:val="right"/>
            </w:pPr>
            <w:r>
              <w:rPr>
                <w:color w:val="1A1A1A"/>
                <w:sz w:val="19"/>
                <w:szCs w:val="19"/>
              </w:rPr>
              <w:t xml:space="preserve">−83.8%</w:t>
            </w:r>
          </w:p>
        </w:tc>
        <w:tc>
          <w:tcPr>
            <w:tcW w:type="dxa" w:w="1311"/>
            <w:shd w:fill="FFFFFF" w:val="clear"/>
            <w:tcMar>
              <w:top w:type="dxa" w:w="90"/>
              <w:left w:type="dxa" w:w="130"/>
              <w:bottom w:type="dxa" w:w="90"/>
              <w:right w:type="dxa" w:w="130"/>
            </w:tcMar>
          </w:tcPr>
          <w:p>
            <w:pPr>
              <w:spacing w:after="0" w:line="252"/>
              <w:jc w:val="right"/>
            </w:pPr>
            <w:r>
              <w:rPr>
                <w:color w:val="1A1A1A"/>
                <w:sz w:val="19"/>
                <w:szCs w:val="19"/>
              </w:rPr>
              <w:t xml:space="preserve">23</w:t>
            </w:r>
          </w:p>
        </w:tc>
      </w:tr>
    </w:tbl>
    <w:p>
      <w:pPr>
        <w:pStyle w:val="Heading3"/>
      </w:pPr>
      <w:r>
        <w:t xml:space="preserve">2018–2019 — the strongest evidence</w:t>
      </w:r>
    </w:p>
    <w:p>
      <w:r>
        <w:t xml:space="preserve">The strategy returned 71.1% while buy-and-hold lost 4.1%, and roughly halved the drawdown. This is precisely what a trend filter is supposed to do: sit out the 2018 collapse, participate in the 2019 recovery. It is the clearest sign the logic is sound rather than lucky.</w:t>
      </w:r>
    </w:p>
    <w:p>
      <w:pPr>
        <w:pStyle w:val="Heading3"/>
      </w:pPr>
      <w:r>
        <w:t xml:space="preserve">2020–2024 — the original claim, corrected</w:t>
      </w:r>
    </w:p>
    <w:p>
      <w:r>
        <w:t xml:space="preserve">This is the window the original bot.py reported on. With fees included, the strategy beat buy-and-hold by 82 percentage points on a 917% move, across 13 round trips. A real but modest edge — considerably less impressive than a costless backtest suggests.</w:t>
      </w:r>
    </w:p>
    <w:p>
      <w:pPr>
        <w:pStyle w:val="Heading3"/>
      </w:pPr>
      <w:r>
        <w:t xml:space="preserve">2025–today — out of sample, and the honest one</w:t>
      </w:r>
    </w:p>
    <w:p>
      <w:r>
        <w:t xml:space="preserve">This period was never used to choose any parameter. The strategy lost 3.0%. Buy-and-hold lost 27.1%. Drawdown was 19.4% against 53.1%.</w:t>
      </w:r>
    </w:p>
    <w:p>
      <w:r>
        <w:rPr>
          <w:b/>
          <w:bCs/>
        </w:rPr>
        <w:t xml:space="preserve">The strategy did not make money out of sample. It preserved capital. </w:t>
      </w:r>
      <w:r>
        <w:t xml:space="preserve">That is a legitimate outcome and arguably the whole point of a trend filter — but it is not the same thing as a profitable trading system, and it should be described accurately.</w:t>
      </w:r>
    </w:p>
    <w:p>
      <w:pPr>
        <w:pStyle w:val="Heading3"/>
      </w:pPr>
      <w:r>
        <w:t xml:space="preserve">2015–2017 — zero trades</w:t>
      </w:r>
    </w:p>
    <w:p>
      <w:r>
        <w:t xml:space="preserve">The strategy made no completed round trips: it bought early and simply held, producing results identical to buy-and-hold. Worth knowing, because it demonstrates that in a sustained bull market the system contributes nothing except its own fees.</w:t>
      </w:r>
    </w:p>
    <w:p>
      <w:pPr>
        <w:pStyle w:val="Heading1"/>
      </w:pPr>
      <w:r>
        <w:t xml:space="preserve">4. Parameter sensitivity</w:t>
      </w:r>
    </w:p>
    <w:p>
      <w:r>
        <w:t xml:space="preserve">Twenty-five combinations of the short and long moving averages, scored on Calmar. Ranking by total return would be close to meaningless on an asset that rose 22,000% — the ranking would mostly measure who happened to be invested during the two biggest runs.</w:t>
      </w:r>
    </w:p>
    <w:p>
      <w:pPr>
        <w:pStyle w:val="Code"/>
        <w:shd w:fill="F2F5F7" w:val="clear"/>
        <w:spacing w:after="0" w:before="40"/>
      </w:pPr>
      <w:r>
        <w:t xml:space="preserve">short\long    100     120     150     180     200</w:t>
      </w:r>
    </w:p>
    <w:p>
      <w:pPr>
        <w:pStyle w:val="Code"/>
        <w:shd w:fill="F2F5F7" w:val="clear"/>
        <w:spacing w:after="0" w:before="0"/>
      </w:pPr>
      <w:r>
        <w:t xml:space="preserve">  3          1.54    1.64    1.25    0.96    0.80</w:t>
      </w:r>
    </w:p>
    <w:p>
      <w:pPr>
        <w:pStyle w:val="Code"/>
        <w:shd w:fill="F2F5F7" w:val="clear"/>
        <w:spacing w:after="0" w:before="0"/>
      </w:pPr>
      <w:r>
        <w:t xml:space="preserve">  5          1.74    1.45    0.98*   0.90    0.81</w:t>
      </w:r>
    </w:p>
    <w:p>
      <w:pPr>
        <w:pStyle w:val="Code"/>
        <w:shd w:fill="F2F5F7" w:val="clear"/>
        <w:spacing w:after="0" w:before="0"/>
      </w:pPr>
      <w:r>
        <w:t xml:space="preserve">  8          1.65    1.29    0.88    0.86    0.83</w:t>
      </w:r>
    </w:p>
    <w:p>
      <w:pPr>
        <w:pStyle w:val="Code"/>
        <w:shd w:fill="F2F5F7" w:val="clear"/>
        <w:spacing w:after="0" w:before="0"/>
      </w:pPr>
      <w:r>
        <w:t xml:space="preserve"> 10          1.61    1.30    0.91    0.79    0.73</w:t>
      </w:r>
    </w:p>
    <w:p>
      <w:pPr>
        <w:pStyle w:val="Code"/>
        <w:shd w:fill="F2F5F7" w:val="clear"/>
        <w:spacing w:after="0" w:before="0"/>
      </w:pPr>
      <w:r>
        <w:t xml:space="preserve"> 20          1.29    0.93    0.84    0.80    0.77</w:t>
      </w:r>
    </w:p>
    <w:p>
      <w:pPr>
        <w:pStyle w:val="Code"/>
        <w:shd w:fill="F2F5F7" w:val="clear"/>
        <w:spacing w:after="0" w:before="0"/>
      </w:pPr>
      <w:r>
        <w:t xml:space="preserve"> </w:t>
      </w:r>
    </w:p>
    <w:p>
      <w:pPr>
        <w:pStyle w:val="Code"/>
        <w:shd w:fill="F2F5F7" w:val="clear"/>
        <w:spacing w:after="200" w:before="0"/>
      </w:pPr>
      <w:r>
        <w:t xml:space="preserve">best 1.74    worst 0.73    median 0.93    (* = current 5/150)</w:t>
      </w:r>
    </w:p>
    <w:p>
      <w:pPr>
        <w:pStyle w:val="Heading3"/>
      </w:pPr>
      <w:r>
        <w:t xml:space="preserve">The good news</w:t>
      </w:r>
    </w:p>
    <w:p>
      <w:r>
        <w:t xml:space="preserve">That is a smooth, monotonic gradient, not an isolated spike. Performance declines consistently as the long MA lengthens, across every single short-MA value. Consistency of that kind indicates real structure in the data rather than noise — the strategy is not a curve-fitting artefact.</w:t>
      </w:r>
    </w:p>
    <w:p>
      <w:pPr>
        <w:pStyle w:val="Heading3"/>
      </w:pPr>
      <w:r>
        <w:t xml:space="preserve">The bad news</w:t>
      </w:r>
    </w:p>
    <w:p>
      <w:r>
        <w:t xml:space="preserve">The current 5/150 scores 0.98 and is beaten by 10 of the 25 combinations. 5/100 scores 1.74 — nearly double. The chosen parameters sit on the wrong side of the gradient.</w:t>
      </w:r>
    </w:p>
    <w:tbl>
      <w:tblPr>
        <w:tblW w:type="dxa" w:w="10080"/>
        <w:tblBorders>
          <w:top w:val="none"/>
          <w:left w:val="single" w:color="A32C2C" w:sz="18"/>
          <w:bottom w:val="none"/>
          <w:right w:val="none"/>
          <w:insideH w:val="none"/>
          <w:insideV w:val="none"/>
        </w:tblBorders>
      </w:tblPr>
      <w:tblGrid>
        <w:gridCol w:w="10080"/>
      </w:tblGrid>
      <w:tr>
        <w:tc>
          <w:tcPr>
            <w:tcW w:type="dxa" w:w="10080"/>
            <w:shd w:fill="F7F9FA" w:val="clear"/>
            <w:tcMar>
              <w:top w:type="dxa" w:w="120"/>
              <w:left w:type="dxa" w:w="180"/>
              <w:bottom w:type="dxa" w:w="120"/>
              <w:right w:type="dxa" w:w="180"/>
            </w:tcMar>
          </w:tcPr>
          <w:p>
            <w:pPr>
              <w:spacing w:after="60"/>
            </w:pPr>
            <w:r>
              <w:rPr>
                <w:b/>
                <w:bCs/>
                <w:color w:val="A32C2C"/>
                <w:sz w:val="20"/>
                <w:szCs w:val="20"/>
              </w:rPr>
              <w:t xml:space="preserve">Do not simply switch to 5/100</w:t>
            </w:r>
          </w:p>
          <w:p>
            <w:pPr>
              <w:spacing w:after="0"/>
            </w:pPr>
            <w:r>
              <w:rPr>
                <w:sz w:val="20"/>
                <w:szCs w:val="20"/>
              </w:rPr>
              <w:t xml:space="preserve">Selecting the best-performing parameters from the same data used to evaluate them is overfitting, regardless of how convincing the gradient looks. The only honest way to change a parameter is walk-forward validation: fit on 2015–2018, test on 2019, roll forward a year, repeat. If shorter long-MAs win in most rolling windows, the finding is real. Until that test is run, 5/150 should stay.</w:t>
            </w:r>
          </w:p>
        </w:tc>
      </w:tr>
    </w:tbl>
    <w:p>
      <w:pPr>
        <w:pStyle w:val="Heading1"/>
      </w:pPr>
      <w:r>
        <w:t xml:space="preserve">5. Walk-forward validation — the decisive test</w:t>
      </w:r>
    </w:p>
    <w:p>
      <w:r>
        <w:t xml:space="preserve">Every result above is contaminated. The parameters were chosen by looking at price history and then judged against that same history; sweeping 25 combinations makes this worse, because with enough combinations something always wins and the winner’s margin is mostly luck.</w:t>
      </w:r>
    </w:p>
    <w:p>
      <w:r>
        <w:t xml:space="preserve">Walk-forward removes the contamination: fit parameters on three years, test on the next year, roll forward, repeat. The test window is never used to choose anything, so its results are what the strategy would actually have delivered.</w:t>
      </w:r>
    </w:p>
    <w:tbl>
      <w:tblPr>
        <w:tblW w:type="dxa" w:w="10080"/>
        <w:tblBorders>
          <w:top w:val="single" w:color="C8D2D9" w:sz="2"/>
          <w:left w:val="none"/>
          <w:bottom w:val="single" w:color="C8D2D9" w:sz="2"/>
          <w:right w:val="none"/>
          <w:insideH w:val="single" w:color="E2E8EC" w:sz="2"/>
          <w:insideV w:val="none"/>
        </w:tblBorders>
      </w:tblPr>
      <w:tblGrid>
        <w:gridCol w:w="1814"/>
        <w:gridCol w:w="1411"/>
        <w:gridCol w:w="1714"/>
        <w:gridCol w:w="1714"/>
        <w:gridCol w:w="1714"/>
        <w:gridCol w:w="1713"/>
      </w:tblGrid>
      <w:tr>
        <w:trPr>
          <w:tblHeader/>
        </w:trPr>
        <w:tc>
          <w:tcPr>
            <w:tcW w:type="dxa" w:w="1814"/>
            <w:shd w:fill="1F4E5F" w:val="clear"/>
            <w:tcMar>
              <w:top w:type="dxa" w:w="90"/>
              <w:left w:type="dxa" w:w="130"/>
              <w:bottom w:type="dxa" w:w="90"/>
              <w:right w:type="dxa" w:w="130"/>
            </w:tcMar>
          </w:tcPr>
          <w:p>
            <w:pPr>
              <w:spacing w:after="0" w:line="252"/>
              <w:jc w:val="left"/>
            </w:pPr>
            <w:r>
              <w:rPr>
                <w:b/>
                <w:bCs/>
                <w:color w:val="FFFFFF"/>
                <w:sz w:val="19"/>
                <w:szCs w:val="19"/>
              </w:rPr>
              <w:t xml:space="preserve">Test window</w:t>
            </w:r>
          </w:p>
        </w:tc>
        <w:tc>
          <w:tcPr>
            <w:tcW w:type="dxa" w:w="1411"/>
            <w:shd w:fill="1F4E5F" w:val="clear"/>
            <w:tcMar>
              <w:top w:type="dxa" w:w="90"/>
              <w:left w:type="dxa" w:w="130"/>
              <w:bottom w:type="dxa" w:w="90"/>
              <w:right w:type="dxa" w:w="130"/>
            </w:tcMar>
          </w:tcPr>
          <w:p>
            <w:pPr>
              <w:spacing w:after="0" w:line="252"/>
              <w:jc w:val="right"/>
            </w:pPr>
            <w:r>
              <w:rPr>
                <w:b/>
                <w:bCs/>
                <w:color w:val="FFFFFF"/>
                <w:sz w:val="19"/>
                <w:szCs w:val="19"/>
              </w:rPr>
              <w:t xml:space="preserve">IS best</w:t>
            </w:r>
          </w:p>
        </w:tc>
        <w:tc>
          <w:tcPr>
            <w:tcW w:type="dxa" w:w="1714"/>
            <w:shd w:fill="1F4E5F" w:val="clear"/>
            <w:tcMar>
              <w:top w:type="dxa" w:w="90"/>
              <w:left w:type="dxa" w:w="130"/>
              <w:bottom w:type="dxa" w:w="90"/>
              <w:right w:type="dxa" w:w="130"/>
            </w:tcMar>
          </w:tcPr>
          <w:p>
            <w:pPr>
              <w:spacing w:after="0" w:line="252"/>
              <w:jc w:val="right"/>
            </w:pPr>
            <w:r>
              <w:rPr>
                <w:b/>
                <w:bCs/>
                <w:color w:val="FFFFFF"/>
                <w:sz w:val="19"/>
                <w:szCs w:val="19"/>
              </w:rPr>
              <w:t xml:space="preserve">OOS 5/150</w:t>
            </w:r>
          </w:p>
        </w:tc>
        <w:tc>
          <w:tcPr>
            <w:tcW w:type="dxa" w:w="1714"/>
            <w:shd w:fill="1F4E5F" w:val="clear"/>
            <w:tcMar>
              <w:top w:type="dxa" w:w="90"/>
              <w:left w:type="dxa" w:w="130"/>
              <w:bottom w:type="dxa" w:w="90"/>
              <w:right w:type="dxa" w:w="130"/>
            </w:tcMar>
          </w:tcPr>
          <w:p>
            <w:pPr>
              <w:spacing w:after="0" w:line="252"/>
              <w:jc w:val="right"/>
            </w:pPr>
            <w:r>
              <w:rPr>
                <w:b/>
                <w:bCs/>
                <w:color w:val="FFFFFF"/>
                <w:sz w:val="19"/>
                <w:szCs w:val="19"/>
              </w:rPr>
              <w:t xml:space="preserve">OOS B&amp;H</w:t>
            </w:r>
          </w:p>
        </w:tc>
        <w:tc>
          <w:tcPr>
            <w:tcW w:type="dxa" w:w="1714"/>
            <w:shd w:fill="1F4E5F" w:val="clear"/>
            <w:tcMar>
              <w:top w:type="dxa" w:w="90"/>
              <w:left w:type="dxa" w:w="130"/>
              <w:bottom w:type="dxa" w:w="90"/>
              <w:right w:type="dxa" w:w="130"/>
            </w:tcMar>
          </w:tcPr>
          <w:p>
            <w:pPr>
              <w:spacing w:after="0" w:line="252"/>
              <w:jc w:val="right"/>
            </w:pPr>
            <w:r>
              <w:rPr>
                <w:b/>
                <w:bCs/>
                <w:color w:val="FFFFFF"/>
                <w:sz w:val="19"/>
                <w:szCs w:val="19"/>
              </w:rPr>
              <w:t xml:space="preserve">DD 5/150</w:t>
            </w:r>
          </w:p>
        </w:tc>
        <w:tc>
          <w:tcPr>
            <w:tcW w:type="dxa" w:w="1713"/>
            <w:shd w:fill="1F4E5F" w:val="clear"/>
            <w:tcMar>
              <w:top w:type="dxa" w:w="90"/>
              <w:left w:type="dxa" w:w="130"/>
              <w:bottom w:type="dxa" w:w="90"/>
              <w:right w:type="dxa" w:w="130"/>
            </w:tcMar>
          </w:tcPr>
          <w:p>
            <w:pPr>
              <w:spacing w:after="0" w:line="252"/>
              <w:jc w:val="right"/>
            </w:pPr>
            <w:r>
              <w:rPr>
                <w:b/>
                <w:bCs/>
                <w:color w:val="FFFFFF"/>
                <w:sz w:val="19"/>
                <w:szCs w:val="19"/>
              </w:rPr>
              <w:t xml:space="preserve">DD B&amp;H</w:t>
            </w:r>
          </w:p>
        </w:tc>
      </w:tr>
      <w:tr>
        <w:tc>
          <w:tcPr>
            <w:tcW w:type="dxa" w:w="1814"/>
            <w:shd w:fill="FFFFFF" w:val="clear"/>
            <w:tcMar>
              <w:top w:type="dxa" w:w="90"/>
              <w:left w:type="dxa" w:w="130"/>
              <w:bottom w:type="dxa" w:w="90"/>
              <w:right w:type="dxa" w:w="130"/>
            </w:tcMar>
          </w:tcPr>
          <w:p>
            <w:pPr>
              <w:spacing w:after="0" w:line="252"/>
              <w:jc w:val="left"/>
            </w:pPr>
            <w:r>
              <w:rPr>
                <w:color w:val="1A1A1A"/>
                <w:sz w:val="19"/>
                <w:szCs w:val="19"/>
              </w:rPr>
              <w:t xml:space="preserve">2020</w:t>
            </w:r>
          </w:p>
        </w:tc>
        <w:tc>
          <w:tcPr>
            <w:tcW w:type="dxa" w:w="1411"/>
            <w:shd w:fill="FFFFFF" w:val="clear"/>
            <w:tcMar>
              <w:top w:type="dxa" w:w="90"/>
              <w:left w:type="dxa" w:w="130"/>
              <w:bottom w:type="dxa" w:w="90"/>
              <w:right w:type="dxa" w:w="130"/>
            </w:tcMar>
          </w:tcPr>
          <w:p>
            <w:pPr>
              <w:spacing w:after="0" w:line="252"/>
              <w:jc w:val="right"/>
            </w:pPr>
            <w:r>
              <w:rPr>
                <w:color w:val="1A1A1A"/>
                <w:sz w:val="19"/>
                <w:szCs w:val="19"/>
              </w:rPr>
              <w:t xml:space="preserve">10/100</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172.5%</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310.0%</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−27.8%</w:t>
            </w:r>
          </w:p>
        </w:tc>
        <w:tc>
          <w:tcPr>
            <w:tcW w:type="dxa" w:w="1713"/>
            <w:shd w:fill="FFFFFF" w:val="clear"/>
            <w:tcMar>
              <w:top w:type="dxa" w:w="90"/>
              <w:left w:type="dxa" w:w="130"/>
              <w:bottom w:type="dxa" w:w="90"/>
              <w:right w:type="dxa" w:w="130"/>
            </w:tcMar>
          </w:tcPr>
          <w:p>
            <w:pPr>
              <w:spacing w:after="0" w:line="252"/>
              <w:jc w:val="right"/>
            </w:pPr>
            <w:r>
              <w:rPr>
                <w:color w:val="1A1A1A"/>
                <w:sz w:val="19"/>
                <w:szCs w:val="19"/>
              </w:rPr>
              <w:t xml:space="preserve">−53.2%</w:t>
            </w:r>
          </w:p>
        </w:tc>
      </w:tr>
      <w:tr>
        <w:tc>
          <w:tcPr>
            <w:tcW w:type="dxa" w:w="1814"/>
            <w:shd w:fill="F6F9FA" w:val="clear"/>
            <w:tcMar>
              <w:top w:type="dxa" w:w="90"/>
              <w:left w:type="dxa" w:w="130"/>
              <w:bottom w:type="dxa" w:w="90"/>
              <w:right w:type="dxa" w:w="130"/>
            </w:tcMar>
          </w:tcPr>
          <w:p>
            <w:pPr>
              <w:spacing w:after="0" w:line="252"/>
              <w:jc w:val="left"/>
            </w:pPr>
            <w:r>
              <w:rPr>
                <w:color w:val="1A1A1A"/>
                <w:sz w:val="19"/>
                <w:szCs w:val="19"/>
              </w:rPr>
              <w:t xml:space="preserve">2021</w:t>
            </w:r>
          </w:p>
        </w:tc>
        <w:tc>
          <w:tcPr>
            <w:tcW w:type="dxa" w:w="1411"/>
            <w:shd w:fill="F6F9FA" w:val="clear"/>
            <w:tcMar>
              <w:top w:type="dxa" w:w="90"/>
              <w:left w:type="dxa" w:w="130"/>
              <w:bottom w:type="dxa" w:w="90"/>
              <w:right w:type="dxa" w:w="130"/>
            </w:tcMar>
          </w:tcPr>
          <w:p>
            <w:pPr>
              <w:spacing w:after="0" w:line="252"/>
              <w:jc w:val="right"/>
            </w:pPr>
            <w:r>
              <w:rPr>
                <w:color w:val="1A1A1A"/>
                <w:sz w:val="19"/>
                <w:szCs w:val="19"/>
              </w:rPr>
              <w:t xml:space="preserve">10/100</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14.3%</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62.3%</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−50.0%</w:t>
            </w:r>
          </w:p>
        </w:tc>
        <w:tc>
          <w:tcPr>
            <w:tcW w:type="dxa" w:w="1713"/>
            <w:shd w:fill="F6F9FA" w:val="clear"/>
            <w:tcMar>
              <w:top w:type="dxa" w:w="90"/>
              <w:left w:type="dxa" w:w="130"/>
              <w:bottom w:type="dxa" w:w="90"/>
              <w:right w:type="dxa" w:w="130"/>
            </w:tcMar>
          </w:tcPr>
          <w:p>
            <w:pPr>
              <w:spacing w:after="0" w:line="252"/>
              <w:jc w:val="right"/>
            </w:pPr>
            <w:r>
              <w:rPr>
                <w:color w:val="1A1A1A"/>
                <w:sz w:val="19"/>
                <w:szCs w:val="19"/>
              </w:rPr>
              <w:t xml:space="preserve">−53.1%</w:t>
            </w:r>
          </w:p>
        </w:tc>
      </w:tr>
      <w:tr>
        <w:tc>
          <w:tcPr>
            <w:tcW w:type="dxa" w:w="1814"/>
            <w:shd w:fill="FFFFFF" w:val="clear"/>
            <w:tcMar>
              <w:top w:type="dxa" w:w="90"/>
              <w:left w:type="dxa" w:w="130"/>
              <w:bottom w:type="dxa" w:w="90"/>
              <w:right w:type="dxa" w:w="130"/>
            </w:tcMar>
          </w:tcPr>
          <w:p>
            <w:pPr>
              <w:spacing w:after="0" w:line="252"/>
              <w:jc w:val="left"/>
            </w:pPr>
            <w:r>
              <w:rPr>
                <w:b/>
                <w:bCs/>
                <w:color w:val="1A1A1A"/>
                <w:sz w:val="19"/>
                <w:szCs w:val="19"/>
              </w:rPr>
              <w:t xml:space="preserve">2022</w:t>
            </w:r>
          </w:p>
        </w:tc>
        <w:tc>
          <w:tcPr>
            <w:tcW w:type="dxa" w:w="1411"/>
            <w:shd w:fill="FFFFFF" w:val="clear"/>
            <w:tcMar>
              <w:top w:type="dxa" w:w="90"/>
              <w:left w:type="dxa" w:w="130"/>
              <w:bottom w:type="dxa" w:w="90"/>
              <w:right w:type="dxa" w:w="130"/>
            </w:tcMar>
          </w:tcPr>
          <w:p>
            <w:pPr>
              <w:spacing w:after="0" w:line="252"/>
              <w:jc w:val="right"/>
            </w:pPr>
            <w:r>
              <w:rPr>
                <w:color w:val="1A1A1A"/>
                <w:sz w:val="19"/>
                <w:szCs w:val="19"/>
              </w:rPr>
              <w:t xml:space="preserve">3/120</w:t>
            </w:r>
          </w:p>
        </w:tc>
        <w:tc>
          <w:tcPr>
            <w:tcW w:type="dxa" w:w="1714"/>
            <w:shd w:fill="FFFFFF" w:val="clear"/>
            <w:tcMar>
              <w:top w:type="dxa" w:w="90"/>
              <w:left w:type="dxa" w:w="130"/>
              <w:bottom w:type="dxa" w:w="90"/>
              <w:right w:type="dxa" w:w="130"/>
            </w:tcMar>
          </w:tcPr>
          <w:p>
            <w:pPr>
              <w:spacing w:after="0" w:line="252"/>
              <w:jc w:val="right"/>
            </w:pPr>
            <w:r>
              <w:rPr>
                <w:b/>
                <w:bCs/>
                <w:color w:val="2C6E49"/>
                <w:sz w:val="19"/>
                <w:szCs w:val="19"/>
              </w:rPr>
              <w:t xml:space="preserve">0.0%</w:t>
            </w:r>
          </w:p>
        </w:tc>
        <w:tc>
          <w:tcPr>
            <w:tcW w:type="dxa" w:w="1714"/>
            <w:shd w:fill="FFFFFF" w:val="clear"/>
            <w:tcMar>
              <w:top w:type="dxa" w:w="90"/>
              <w:left w:type="dxa" w:w="130"/>
              <w:bottom w:type="dxa" w:w="90"/>
              <w:right w:type="dxa" w:w="130"/>
            </w:tcMar>
          </w:tcPr>
          <w:p>
            <w:pPr>
              <w:spacing w:after="0" w:line="252"/>
              <w:jc w:val="right"/>
            </w:pPr>
            <w:r>
              <w:rPr>
                <w:color w:val="A32C2C"/>
                <w:sz w:val="19"/>
                <w:szCs w:val="19"/>
              </w:rPr>
              <w:t xml:space="preserve">−65.2%</w:t>
            </w:r>
          </w:p>
        </w:tc>
        <w:tc>
          <w:tcPr>
            <w:tcW w:type="dxa" w:w="1714"/>
            <w:shd w:fill="FFFFFF" w:val="clear"/>
            <w:tcMar>
              <w:top w:type="dxa" w:w="90"/>
              <w:left w:type="dxa" w:w="130"/>
              <w:bottom w:type="dxa" w:w="90"/>
              <w:right w:type="dxa" w:w="130"/>
            </w:tcMar>
          </w:tcPr>
          <w:p>
            <w:pPr>
              <w:spacing w:after="0" w:line="252"/>
              <w:jc w:val="right"/>
            </w:pPr>
            <w:r>
              <w:rPr>
                <w:b/>
                <w:bCs/>
                <w:color w:val="2C6E49"/>
                <w:sz w:val="19"/>
                <w:szCs w:val="19"/>
              </w:rPr>
              <w:t xml:space="preserve">0.0%</w:t>
            </w:r>
          </w:p>
        </w:tc>
        <w:tc>
          <w:tcPr>
            <w:tcW w:type="dxa" w:w="1713"/>
            <w:shd w:fill="FFFFFF" w:val="clear"/>
            <w:tcMar>
              <w:top w:type="dxa" w:w="90"/>
              <w:left w:type="dxa" w:w="130"/>
              <w:bottom w:type="dxa" w:w="90"/>
              <w:right w:type="dxa" w:w="130"/>
            </w:tcMar>
          </w:tcPr>
          <w:p>
            <w:pPr>
              <w:spacing w:after="0" w:line="252"/>
              <w:jc w:val="right"/>
            </w:pPr>
            <w:r>
              <w:rPr>
                <w:color w:val="1A1A1A"/>
                <w:sz w:val="19"/>
                <w:szCs w:val="19"/>
              </w:rPr>
              <w:t xml:space="preserve">−67.0%</w:t>
            </w:r>
          </w:p>
        </w:tc>
      </w:tr>
      <w:tr>
        <w:tc>
          <w:tcPr>
            <w:tcW w:type="dxa" w:w="1814"/>
            <w:shd w:fill="F6F9FA" w:val="clear"/>
            <w:tcMar>
              <w:top w:type="dxa" w:w="90"/>
              <w:left w:type="dxa" w:w="130"/>
              <w:bottom w:type="dxa" w:w="90"/>
              <w:right w:type="dxa" w:w="130"/>
            </w:tcMar>
          </w:tcPr>
          <w:p>
            <w:pPr>
              <w:spacing w:after="0" w:line="252"/>
              <w:jc w:val="left"/>
            </w:pPr>
            <w:r>
              <w:rPr>
                <w:color w:val="1A1A1A"/>
                <w:sz w:val="19"/>
                <w:szCs w:val="19"/>
              </w:rPr>
              <w:t xml:space="preserve">2023</w:t>
            </w:r>
          </w:p>
        </w:tc>
        <w:tc>
          <w:tcPr>
            <w:tcW w:type="dxa" w:w="1411"/>
            <w:shd w:fill="F6F9FA" w:val="clear"/>
            <w:tcMar>
              <w:top w:type="dxa" w:w="90"/>
              <w:left w:type="dxa" w:w="130"/>
              <w:bottom w:type="dxa" w:w="90"/>
              <w:right w:type="dxa" w:w="130"/>
            </w:tcMar>
          </w:tcPr>
          <w:p>
            <w:pPr>
              <w:spacing w:after="0" w:line="252"/>
              <w:jc w:val="right"/>
            </w:pPr>
            <w:r>
              <w:rPr>
                <w:color w:val="1A1A1A"/>
                <w:sz w:val="19"/>
                <w:szCs w:val="19"/>
              </w:rPr>
              <w:t xml:space="preserve">3/120</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80.2%</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166.2%</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−19.3%</w:t>
            </w:r>
          </w:p>
        </w:tc>
        <w:tc>
          <w:tcPr>
            <w:tcW w:type="dxa" w:w="1713"/>
            <w:shd w:fill="F6F9FA" w:val="clear"/>
            <w:tcMar>
              <w:top w:type="dxa" w:w="90"/>
              <w:left w:type="dxa" w:w="130"/>
              <w:bottom w:type="dxa" w:w="90"/>
              <w:right w:type="dxa" w:w="130"/>
            </w:tcMar>
          </w:tcPr>
          <w:p>
            <w:pPr>
              <w:spacing w:after="0" w:line="252"/>
              <w:jc w:val="right"/>
            </w:pPr>
            <w:r>
              <w:rPr>
                <w:color w:val="1A1A1A"/>
                <w:sz w:val="19"/>
                <w:szCs w:val="19"/>
              </w:rPr>
              <w:t xml:space="preserve">−20.1%</w:t>
            </w:r>
          </w:p>
        </w:tc>
      </w:tr>
      <w:tr>
        <w:tc>
          <w:tcPr>
            <w:tcW w:type="dxa" w:w="1814"/>
            <w:shd w:fill="FFFFFF" w:val="clear"/>
            <w:tcMar>
              <w:top w:type="dxa" w:w="90"/>
              <w:left w:type="dxa" w:w="130"/>
              <w:bottom w:type="dxa" w:w="90"/>
              <w:right w:type="dxa" w:w="130"/>
            </w:tcMar>
          </w:tcPr>
          <w:p>
            <w:pPr>
              <w:spacing w:after="0" w:line="252"/>
              <w:jc w:val="left"/>
            </w:pPr>
            <w:r>
              <w:rPr>
                <w:color w:val="1A1A1A"/>
                <w:sz w:val="19"/>
                <w:szCs w:val="19"/>
              </w:rPr>
              <w:t xml:space="preserve">2024</w:t>
            </w:r>
          </w:p>
        </w:tc>
        <w:tc>
          <w:tcPr>
            <w:tcW w:type="dxa" w:w="1411"/>
            <w:shd w:fill="FFFFFF" w:val="clear"/>
            <w:tcMar>
              <w:top w:type="dxa" w:w="90"/>
              <w:left w:type="dxa" w:w="130"/>
              <w:bottom w:type="dxa" w:w="90"/>
              <w:right w:type="dxa" w:w="130"/>
            </w:tcMar>
          </w:tcPr>
          <w:p>
            <w:pPr>
              <w:spacing w:after="0" w:line="252"/>
              <w:jc w:val="right"/>
            </w:pPr>
            <w:r>
              <w:rPr>
                <w:color w:val="1A1A1A"/>
                <w:sz w:val="19"/>
                <w:szCs w:val="19"/>
              </w:rPr>
              <w:t xml:space="preserve">3/120</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68.3%</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113.4%</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−28.8%</w:t>
            </w:r>
          </w:p>
        </w:tc>
        <w:tc>
          <w:tcPr>
            <w:tcW w:type="dxa" w:w="1713"/>
            <w:shd w:fill="FFFFFF" w:val="clear"/>
            <w:tcMar>
              <w:top w:type="dxa" w:w="90"/>
              <w:left w:type="dxa" w:w="130"/>
              <w:bottom w:type="dxa" w:w="90"/>
              <w:right w:type="dxa" w:w="130"/>
            </w:tcMar>
          </w:tcPr>
          <w:p>
            <w:pPr>
              <w:spacing w:after="0" w:line="252"/>
              <w:jc w:val="right"/>
            </w:pPr>
            <w:r>
              <w:rPr>
                <w:color w:val="1A1A1A"/>
                <w:sz w:val="19"/>
                <w:szCs w:val="19"/>
              </w:rPr>
              <w:t xml:space="preserve">−26.2%</w:t>
            </w:r>
          </w:p>
        </w:tc>
      </w:tr>
      <w:tr>
        <w:tc>
          <w:tcPr>
            <w:tcW w:type="dxa" w:w="1814"/>
            <w:shd w:fill="F6F9FA" w:val="clear"/>
            <w:tcMar>
              <w:top w:type="dxa" w:w="90"/>
              <w:left w:type="dxa" w:w="130"/>
              <w:bottom w:type="dxa" w:w="90"/>
              <w:right w:type="dxa" w:w="130"/>
            </w:tcMar>
          </w:tcPr>
          <w:p>
            <w:pPr>
              <w:spacing w:after="0" w:line="252"/>
              <w:jc w:val="left"/>
            </w:pPr>
            <w:r>
              <w:rPr>
                <w:color w:val="1A1A1A"/>
                <w:sz w:val="19"/>
                <w:szCs w:val="19"/>
              </w:rPr>
              <w:t xml:space="preserve">2025</w:t>
            </w:r>
          </w:p>
        </w:tc>
        <w:tc>
          <w:tcPr>
            <w:tcW w:type="dxa" w:w="1411"/>
            <w:shd w:fill="F6F9FA" w:val="clear"/>
            <w:tcMar>
              <w:top w:type="dxa" w:w="90"/>
              <w:left w:type="dxa" w:w="130"/>
              <w:bottom w:type="dxa" w:w="90"/>
              <w:right w:type="dxa" w:w="130"/>
            </w:tcMar>
          </w:tcPr>
          <w:p>
            <w:pPr>
              <w:spacing w:after="0" w:line="252"/>
              <w:jc w:val="right"/>
            </w:pPr>
            <w:r>
              <w:rPr>
                <w:color w:val="1A1A1A"/>
                <w:sz w:val="19"/>
                <w:szCs w:val="19"/>
              </w:rPr>
              <w:t xml:space="preserve">3/150</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−1.7%</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−6.0%</w:t>
            </w:r>
          </w:p>
        </w:tc>
        <w:tc>
          <w:tcPr>
            <w:tcW w:type="dxa" w:w="1714"/>
            <w:shd w:fill="F6F9FA" w:val="clear"/>
            <w:tcMar>
              <w:top w:type="dxa" w:w="90"/>
              <w:left w:type="dxa" w:w="130"/>
              <w:bottom w:type="dxa" w:w="90"/>
              <w:right w:type="dxa" w:w="130"/>
            </w:tcMar>
          </w:tcPr>
          <w:p>
            <w:pPr>
              <w:spacing w:after="0" w:line="252"/>
              <w:jc w:val="right"/>
            </w:pPr>
            <w:r>
              <w:rPr>
                <w:color w:val="1A1A1A"/>
                <w:sz w:val="19"/>
                <w:szCs w:val="19"/>
              </w:rPr>
              <w:t xml:space="preserve">−21.5%</w:t>
            </w:r>
          </w:p>
        </w:tc>
        <w:tc>
          <w:tcPr>
            <w:tcW w:type="dxa" w:w="1713"/>
            <w:shd w:fill="F6F9FA" w:val="clear"/>
            <w:tcMar>
              <w:top w:type="dxa" w:w="90"/>
              <w:left w:type="dxa" w:w="130"/>
              <w:bottom w:type="dxa" w:w="90"/>
              <w:right w:type="dxa" w:w="130"/>
            </w:tcMar>
          </w:tcPr>
          <w:p>
            <w:pPr>
              <w:spacing w:after="0" w:line="252"/>
              <w:jc w:val="right"/>
            </w:pPr>
            <w:r>
              <w:rPr>
                <w:color w:val="1A1A1A"/>
                <w:sz w:val="19"/>
                <w:szCs w:val="19"/>
              </w:rPr>
              <w:t xml:space="preserve">−32.1%</w:t>
            </w:r>
          </w:p>
        </w:tc>
      </w:tr>
      <w:tr>
        <w:tc>
          <w:tcPr>
            <w:tcW w:type="dxa" w:w="1814"/>
            <w:shd w:fill="FFFFFF" w:val="clear"/>
            <w:tcMar>
              <w:top w:type="dxa" w:w="90"/>
              <w:left w:type="dxa" w:w="130"/>
              <w:bottom w:type="dxa" w:w="90"/>
              <w:right w:type="dxa" w:w="130"/>
            </w:tcMar>
          </w:tcPr>
          <w:p>
            <w:pPr>
              <w:spacing w:after="0" w:line="252"/>
              <w:jc w:val="left"/>
            </w:pPr>
            <w:r>
              <w:rPr>
                <w:color w:val="1A1A1A"/>
                <w:sz w:val="19"/>
                <w:szCs w:val="19"/>
              </w:rPr>
              <w:t xml:space="preserve">2026 YTD</w:t>
            </w:r>
          </w:p>
        </w:tc>
        <w:tc>
          <w:tcPr>
            <w:tcW w:type="dxa" w:w="1411"/>
            <w:shd w:fill="FFFFFF" w:val="clear"/>
            <w:tcMar>
              <w:top w:type="dxa" w:w="90"/>
              <w:left w:type="dxa" w:w="130"/>
              <w:bottom w:type="dxa" w:w="90"/>
              <w:right w:type="dxa" w:w="130"/>
            </w:tcMar>
          </w:tcPr>
          <w:p>
            <w:pPr>
              <w:spacing w:after="0" w:line="252"/>
              <w:jc w:val="right"/>
            </w:pPr>
            <w:r>
              <w:rPr>
                <w:color w:val="1A1A1A"/>
                <w:sz w:val="19"/>
                <w:szCs w:val="19"/>
              </w:rPr>
              <w:t xml:space="preserve">3/150</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9.5%</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−3.1%</w:t>
            </w:r>
          </w:p>
        </w:tc>
        <w:tc>
          <w:tcPr>
            <w:tcW w:type="dxa" w:w="1714"/>
            <w:shd w:fill="FFFFFF" w:val="clear"/>
            <w:tcMar>
              <w:top w:type="dxa" w:w="90"/>
              <w:left w:type="dxa" w:w="130"/>
              <w:bottom w:type="dxa" w:w="90"/>
              <w:right w:type="dxa" w:w="130"/>
            </w:tcMar>
          </w:tcPr>
          <w:p>
            <w:pPr>
              <w:spacing w:after="0" w:line="252"/>
              <w:jc w:val="right"/>
            </w:pPr>
            <w:r>
              <w:rPr>
                <w:color w:val="1A1A1A"/>
                <w:sz w:val="19"/>
                <w:szCs w:val="19"/>
              </w:rPr>
              <w:t xml:space="preserve">−7.0%</w:t>
            </w:r>
          </w:p>
        </w:tc>
        <w:tc>
          <w:tcPr>
            <w:tcW w:type="dxa" w:w="1713"/>
            <w:shd w:fill="FFFFFF" w:val="clear"/>
            <w:tcMar>
              <w:top w:type="dxa" w:w="90"/>
              <w:left w:type="dxa" w:w="130"/>
              <w:bottom w:type="dxa" w:w="90"/>
              <w:right w:type="dxa" w:w="130"/>
            </w:tcMar>
          </w:tcPr>
          <w:p>
            <w:pPr>
              <w:spacing w:after="0" w:line="252"/>
              <w:jc w:val="right"/>
            </w:pPr>
            <w:r>
              <w:rPr>
                <w:color w:val="1A1A1A"/>
                <w:sz w:val="19"/>
                <w:szCs w:val="19"/>
              </w:rPr>
              <w:t xml:space="preserve">−39.6%</w:t>
            </w:r>
          </w:p>
        </w:tc>
      </w:tr>
    </w:tbl>
    <w:p>
      <w:pPr>
        <w:pStyle w:val="Heading3"/>
      </w:pPr>
      <w:r>
        <w:t xml:space="preserve">Compounded across all seven windows</w:t>
      </w:r>
    </w:p>
    <w:tbl>
      <w:tblPr>
        <w:tblW w:type="dxa" w:w="10080"/>
        <w:tblBorders>
          <w:top w:val="single" w:color="C8D2D9" w:sz="2"/>
          <w:left w:val="none"/>
          <w:bottom w:val="single" w:color="C8D2D9" w:sz="2"/>
          <w:right w:val="none"/>
          <w:insideH w:val="single" w:color="E2E8EC" w:sz="2"/>
          <w:insideV w:val="none"/>
        </w:tblBorders>
      </w:tblPr>
      <w:tblGrid>
        <w:gridCol w:w="6048"/>
        <w:gridCol w:w="4032"/>
      </w:tblGrid>
      <w:tr>
        <w:trPr>
          <w:tblHeader/>
        </w:trPr>
        <w:tc>
          <w:tcPr>
            <w:tcW w:type="dxa" w:w="6048"/>
            <w:shd w:fill="1F4E5F" w:val="clear"/>
            <w:tcMar>
              <w:top w:type="dxa" w:w="90"/>
              <w:left w:type="dxa" w:w="130"/>
              <w:bottom w:type="dxa" w:w="90"/>
              <w:right w:type="dxa" w:w="130"/>
            </w:tcMar>
          </w:tcPr>
          <w:p>
            <w:pPr>
              <w:spacing w:after="0" w:line="252"/>
              <w:jc w:val="left"/>
            </w:pPr>
            <w:r>
              <w:rPr>
                <w:b/>
                <w:bCs/>
                <w:color w:val="FFFFFF"/>
                <w:sz w:val="19"/>
                <w:szCs w:val="19"/>
              </w:rPr>
              <w:t xml:space="preserve">Approach</w:t>
            </w:r>
          </w:p>
        </w:tc>
        <w:tc>
          <w:tcPr>
            <w:tcW w:type="dxa" w:w="4032"/>
            <w:shd w:fill="1F4E5F" w:val="clear"/>
            <w:tcMar>
              <w:top w:type="dxa" w:w="90"/>
              <w:left w:type="dxa" w:w="130"/>
              <w:bottom w:type="dxa" w:w="90"/>
              <w:right w:type="dxa" w:w="130"/>
            </w:tcMar>
          </w:tcPr>
          <w:p>
            <w:pPr>
              <w:spacing w:after="0" w:line="252"/>
              <w:jc w:val="right"/>
            </w:pPr>
            <w:r>
              <w:rPr>
                <w:b/>
                <w:bCs/>
                <w:color w:val="FFFFFF"/>
                <w:sz w:val="19"/>
                <w:szCs w:val="19"/>
              </w:rPr>
              <w:t xml:space="preserve">Return</w:t>
            </w:r>
          </w:p>
        </w:tc>
      </w:tr>
      <w:tr>
        <w:tc>
          <w:tcPr>
            <w:tcW w:type="dxa" w:w="6048"/>
            <w:shd w:fill="FFFFFF" w:val="clear"/>
            <w:tcMar>
              <w:top w:type="dxa" w:w="90"/>
              <w:left w:type="dxa" w:w="130"/>
              <w:bottom w:type="dxa" w:w="90"/>
              <w:right w:type="dxa" w:w="130"/>
            </w:tcMar>
          </w:tcPr>
          <w:p>
            <w:pPr>
              <w:spacing w:after="0" w:line="252"/>
              <w:jc w:val="left"/>
            </w:pPr>
            <w:r>
              <w:rPr>
                <w:b/>
                <w:bCs/>
                <w:color w:val="1A1A1A"/>
                <w:sz w:val="19"/>
                <w:szCs w:val="19"/>
              </w:rPr>
              <w:t xml:space="preserve">Buy &amp; hold</w:t>
            </w:r>
          </w:p>
        </w:tc>
        <w:tc>
          <w:tcPr>
            <w:tcW w:type="dxa" w:w="4032"/>
            <w:shd w:fill="FFFFFF" w:val="clear"/>
            <w:tcMar>
              <w:top w:type="dxa" w:w="90"/>
              <w:left w:type="dxa" w:w="130"/>
              <w:bottom w:type="dxa" w:w="90"/>
              <w:right w:type="dxa" w:w="130"/>
            </w:tcMar>
          </w:tcPr>
          <w:p>
            <w:pPr>
              <w:spacing w:after="0" w:line="252"/>
              <w:jc w:val="right"/>
            </w:pPr>
            <w:r>
              <w:rPr>
                <w:b/>
                <w:bCs/>
                <w:color w:val="1A1A1A"/>
                <w:sz w:val="19"/>
                <w:szCs w:val="19"/>
              </w:rPr>
              <w:t xml:space="preserve">1,098.8%</w:t>
            </w:r>
          </w:p>
        </w:tc>
      </w:tr>
      <w:tr>
        <w:tc>
          <w:tcPr>
            <w:tcW w:type="dxa" w:w="6048"/>
            <w:shd w:fill="F6F9FA" w:val="clear"/>
            <w:tcMar>
              <w:top w:type="dxa" w:w="90"/>
              <w:left w:type="dxa" w:w="130"/>
              <w:bottom w:type="dxa" w:w="90"/>
              <w:right w:type="dxa" w:w="130"/>
            </w:tcMar>
          </w:tcPr>
          <w:p>
            <w:pPr>
              <w:spacing w:after="0" w:line="252"/>
              <w:jc w:val="left"/>
            </w:pPr>
            <w:r>
              <w:rPr>
                <w:color w:val="1A1A1A"/>
                <w:sz w:val="19"/>
                <w:szCs w:val="19"/>
              </w:rPr>
              <w:t xml:space="preserve">Parameters re-fitted annually</w:t>
            </w:r>
          </w:p>
        </w:tc>
        <w:tc>
          <w:tcPr>
            <w:tcW w:type="dxa" w:w="4032"/>
            <w:shd w:fill="F6F9FA" w:val="clear"/>
            <w:tcMar>
              <w:top w:type="dxa" w:w="90"/>
              <w:left w:type="dxa" w:w="130"/>
              <w:bottom w:type="dxa" w:w="90"/>
              <w:right w:type="dxa" w:w="130"/>
            </w:tcMar>
          </w:tcPr>
          <w:p>
            <w:pPr>
              <w:spacing w:after="0" w:line="252"/>
              <w:jc w:val="right"/>
            </w:pPr>
            <w:r>
              <w:rPr>
                <w:color w:val="1A1A1A"/>
                <w:sz w:val="19"/>
                <w:szCs w:val="19"/>
              </w:rPr>
              <w:t xml:space="preserve">1,071.4%</w:t>
            </w:r>
          </w:p>
        </w:tc>
      </w:tr>
      <w:tr>
        <w:tc>
          <w:tcPr>
            <w:tcW w:type="dxa" w:w="6048"/>
            <w:shd w:fill="FFFFFF" w:val="clear"/>
            <w:tcMar>
              <w:top w:type="dxa" w:w="90"/>
              <w:left w:type="dxa" w:w="130"/>
              <w:bottom w:type="dxa" w:w="90"/>
              <w:right w:type="dxa" w:w="130"/>
            </w:tcMar>
          </w:tcPr>
          <w:p>
            <w:pPr>
              <w:spacing w:after="0" w:line="252"/>
              <w:jc w:val="left"/>
            </w:pPr>
            <w:r>
              <w:rPr>
                <w:color w:val="1A1A1A"/>
                <w:sz w:val="19"/>
                <w:szCs w:val="19"/>
              </w:rPr>
              <w:t xml:space="preserve">Fixed 5/150</w:t>
            </w:r>
          </w:p>
        </w:tc>
        <w:tc>
          <w:tcPr>
            <w:tcW w:type="dxa" w:w="4032"/>
            <w:shd w:fill="FFFFFF" w:val="clear"/>
            <w:tcMar>
              <w:top w:type="dxa" w:w="90"/>
              <w:left w:type="dxa" w:w="130"/>
              <w:bottom w:type="dxa" w:w="90"/>
              <w:right w:type="dxa" w:w="130"/>
            </w:tcMar>
          </w:tcPr>
          <w:p>
            <w:pPr>
              <w:spacing w:after="0" w:line="252"/>
              <w:jc w:val="right"/>
            </w:pPr>
            <w:r>
              <w:rPr>
                <w:color w:val="A32C2C"/>
                <w:sz w:val="19"/>
                <w:szCs w:val="19"/>
              </w:rPr>
              <w:t xml:space="preserve">916.9%</w:t>
            </w:r>
          </w:p>
        </w:tc>
      </w:tr>
    </w:tbl>
    <w:p>
      <w:r>
        <w:rPr>
          <w:b/>
          <w:bCs/>
        </w:rPr>
        <w:t xml:space="preserve">Buy and hold beat every variant. </w:t>
      </w:r>
      <w:r>
        <w:t xml:space="preserve">The strategy beat it in three windows out of seven. Re-fitting each year did beat the fixed parameters by 154 percentage points, but with three different winners across seven fit windows that margin was not capturable in advance — you would have had to know which pair to pick.</w:t>
      </w:r>
    </w:p>
    <w:p>
      <w:pPr>
        <w:pStyle w:val="Heading3"/>
      </w:pPr>
      <w:r>
        <w:t xml:space="preserve">The parameters are noise</w:t>
      </w:r>
    </w:p>
    <w:p>
      <w:r>
        <w:t xml:space="preserve">Three different pairs won the fit windows: 3/120 three times, 10/100 twice, 3/150 twice. The winner changes depending on which three years you look at. The smooth gradient in the sweep above is real structure in the price series, but it does not translate into a parameter choice that holds up forward. The 5/100 result should not be acted on.</w:t>
      </w:r>
    </w:p>
    <w:tbl>
      <w:tblPr>
        <w:tblW w:type="dxa" w:w="10080"/>
        <w:tblBorders>
          <w:top w:val="none"/>
          <w:left w:val="single" w:color="1F4E5F" w:sz="18"/>
          <w:bottom w:val="none"/>
          <w:right w:val="none"/>
          <w:insideH w:val="none"/>
          <w:insideV w:val="none"/>
        </w:tblBorders>
      </w:tblPr>
      <w:tblGrid>
        <w:gridCol w:w="10080"/>
      </w:tblGrid>
      <w:tr>
        <w:tc>
          <w:tcPr>
            <w:tcW w:type="dxa" w:w="10080"/>
            <w:shd w:fill="F7F9FA" w:val="clear"/>
            <w:tcMar>
              <w:top w:type="dxa" w:w="120"/>
              <w:left w:type="dxa" w:w="180"/>
              <w:bottom w:type="dxa" w:w="120"/>
              <w:right w:type="dxa" w:w="180"/>
            </w:tcMar>
          </w:tcPr>
          <w:p>
            <w:pPr>
              <w:spacing w:after="60"/>
            </w:pPr>
            <w:r>
              <w:rPr>
                <w:b/>
                <w:bCs/>
                <w:color w:val="1F4E5F"/>
                <w:sz w:val="20"/>
                <w:szCs w:val="20"/>
              </w:rPr>
              <w:t xml:space="preserve">What the strategy actually is</w:t>
            </w:r>
          </w:p>
          <w:p>
            <w:pPr>
              <w:spacing w:after="0"/>
            </w:pPr>
            <w:r>
              <w:rPr>
                <w:sz w:val="20"/>
                <w:szCs w:val="20"/>
              </w:rPr>
              <w:t xml:space="preserve">Look at 2022: the strategy returned 0.0% while holding lost 65.2%. It sat in cash through the entire crash. That is the product. It is paid for in bull years — 172% instead of 310% in 2020, 14% instead of 62% in 2021 — and collected in the bad ones. Over these seven years the premium cost slightly more than the payout. Whether that trade is worth making depends on whether you would hold through a 67% fall without selling, which is a question about you rather than about the data.</w:t>
            </w:r>
          </w:p>
        </w:tc>
      </w:tr>
    </w:tbl>
    <w:p>
      <w:pPr>
        <w:pStyle w:val="Heading1"/>
      </w:pPr>
      <w:r>
        <w:t xml:space="preserve">6. The stop loss is not doing its job</w:t>
      </w:r>
    </w:p>
    <w:p>
      <w:r>
        <w:t xml:space="preserve">The 15% stop loss triggered once in 23 round trips over 10.6 years. In every other exit, the moving-average signal fired first. In practice the stop is close to decorative.</w:t>
      </w:r>
    </w:p>
    <w:p>
      <w:r>
        <w:t xml:space="preserve">It also does not do what its name implies. It measures from the entry price, not from the position’s high. A position up 30% can give back 20% from its peak and still sit comfortably above the stop. That is why the 2025–26 window reached a 19.4% drawdown with zero stop-loss exits.</w:t>
      </w:r>
    </w:p>
    <w:p>
      <w:pPr>
        <w:pStyle w:val="Heading3"/>
      </w:pPr>
      <w:r>
        <w:t xml:space="preserve">Trailing stop: tested and rejected</w:t>
      </w:r>
    </w:p>
    <w:p>
      <w:r>
        <w:t xml:space="preserve">The obvious fix is to measure the stop from the high-water mark instead. It was implemented and tested. It is worse:</w:t>
      </w:r>
    </w:p>
    <w:tbl>
      <w:tblPr>
        <w:tblW w:type="dxa" w:w="10080"/>
        <w:tblBorders>
          <w:top w:val="single" w:color="C8D2D9" w:sz="2"/>
          <w:left w:val="none"/>
          <w:bottom w:val="single" w:color="C8D2D9" w:sz="2"/>
          <w:right w:val="none"/>
          <w:insideH w:val="single" w:color="E2E8EC" w:sz="2"/>
          <w:insideV w:val="none"/>
        </w:tblBorders>
      </w:tblPr>
      <w:tblGrid>
        <w:gridCol w:w="2822"/>
        <w:gridCol w:w="1814"/>
        <w:gridCol w:w="1814"/>
        <w:gridCol w:w="1814"/>
        <w:gridCol w:w="1816"/>
      </w:tblGrid>
      <w:tr>
        <w:trPr>
          <w:tblHeader/>
        </w:trPr>
        <w:tc>
          <w:tcPr>
            <w:tcW w:type="dxa" w:w="2822"/>
            <w:shd w:fill="1F4E5F" w:val="clear"/>
            <w:tcMar>
              <w:top w:type="dxa" w:w="90"/>
              <w:left w:type="dxa" w:w="130"/>
              <w:bottom w:type="dxa" w:w="90"/>
              <w:right w:type="dxa" w:w="130"/>
            </w:tcMar>
          </w:tcPr>
          <w:p>
            <w:pPr>
              <w:spacing w:after="0" w:line="252"/>
              <w:jc w:val="left"/>
            </w:pPr>
            <w:r>
              <w:rPr>
                <w:b/>
                <w:bCs/>
                <w:color w:val="FFFFFF"/>
                <w:sz w:val="19"/>
                <w:szCs w:val="19"/>
              </w:rPr>
              <w:t xml:space="preserve">Period</w:t>
            </w:r>
          </w:p>
        </w:tc>
        <w:tc>
          <w:tcPr>
            <w:tcW w:type="dxa" w:w="1814"/>
            <w:shd w:fill="1F4E5F" w:val="clear"/>
            <w:tcMar>
              <w:top w:type="dxa" w:w="90"/>
              <w:left w:type="dxa" w:w="130"/>
              <w:bottom w:type="dxa" w:w="90"/>
              <w:right w:type="dxa" w:w="130"/>
            </w:tcMar>
          </w:tcPr>
          <w:p>
            <w:pPr>
              <w:spacing w:after="0" w:line="252"/>
              <w:jc w:val="right"/>
            </w:pPr>
            <w:r>
              <w:rPr>
                <w:b/>
                <w:bCs/>
                <w:color w:val="FFFFFF"/>
                <w:sz w:val="19"/>
                <w:szCs w:val="19"/>
              </w:rPr>
              <w:t xml:space="preserve">Entry stop</w:t>
            </w:r>
          </w:p>
        </w:tc>
        <w:tc>
          <w:tcPr>
            <w:tcW w:type="dxa" w:w="1814"/>
            <w:shd w:fill="1F4E5F" w:val="clear"/>
            <w:tcMar>
              <w:top w:type="dxa" w:w="90"/>
              <w:left w:type="dxa" w:w="130"/>
              <w:bottom w:type="dxa" w:w="90"/>
              <w:right w:type="dxa" w:w="130"/>
            </w:tcMar>
          </w:tcPr>
          <w:p>
            <w:pPr>
              <w:spacing w:after="0" w:line="252"/>
              <w:jc w:val="right"/>
            </w:pPr>
            <w:r>
              <w:rPr>
                <w:b/>
                <w:bCs/>
                <w:color w:val="FFFFFF"/>
                <w:sz w:val="19"/>
                <w:szCs w:val="19"/>
              </w:rPr>
              <w:t xml:space="preserve">Trailing stop</w:t>
            </w:r>
          </w:p>
        </w:tc>
        <w:tc>
          <w:tcPr>
            <w:tcW w:type="dxa" w:w="1814"/>
            <w:shd w:fill="1F4E5F" w:val="clear"/>
            <w:tcMar>
              <w:top w:type="dxa" w:w="90"/>
              <w:left w:type="dxa" w:w="130"/>
              <w:bottom w:type="dxa" w:w="90"/>
              <w:right w:type="dxa" w:w="130"/>
            </w:tcMar>
          </w:tcPr>
          <w:p>
            <w:pPr>
              <w:spacing w:after="0" w:line="252"/>
              <w:jc w:val="right"/>
            </w:pPr>
            <w:r>
              <w:rPr>
                <w:b/>
                <w:bCs/>
                <w:color w:val="FFFFFF"/>
                <w:sz w:val="19"/>
                <w:szCs w:val="19"/>
              </w:rPr>
              <w:t xml:space="preserve">Entry DD</w:t>
            </w:r>
          </w:p>
        </w:tc>
        <w:tc>
          <w:tcPr>
            <w:tcW w:type="dxa" w:w="1816"/>
            <w:shd w:fill="1F4E5F" w:val="clear"/>
            <w:tcMar>
              <w:top w:type="dxa" w:w="90"/>
              <w:left w:type="dxa" w:w="130"/>
              <w:bottom w:type="dxa" w:w="90"/>
              <w:right w:type="dxa" w:w="130"/>
            </w:tcMar>
          </w:tcPr>
          <w:p>
            <w:pPr>
              <w:spacing w:after="0" w:line="252"/>
              <w:jc w:val="right"/>
            </w:pPr>
            <w:r>
              <w:rPr>
                <w:b/>
                <w:bCs/>
                <w:color w:val="FFFFFF"/>
                <w:sz w:val="19"/>
                <w:szCs w:val="19"/>
              </w:rPr>
              <w:t xml:space="preserve">Trailing DD</w:t>
            </w:r>
          </w:p>
        </w:tc>
      </w:tr>
      <w:tr>
        <w:tc>
          <w:tcPr>
            <w:tcW w:type="dxa" w:w="2822"/>
            <w:shd w:fill="FFFFFF" w:val="clear"/>
            <w:tcMar>
              <w:top w:type="dxa" w:w="90"/>
              <w:left w:type="dxa" w:w="130"/>
              <w:bottom w:type="dxa" w:w="90"/>
              <w:right w:type="dxa" w:w="130"/>
            </w:tcMar>
          </w:tcPr>
          <w:p>
            <w:pPr>
              <w:spacing w:after="0" w:line="252"/>
              <w:jc w:val="left"/>
            </w:pPr>
            <w:r>
              <w:rPr>
                <w:color w:val="1A1A1A"/>
                <w:sz w:val="19"/>
                <w:szCs w:val="19"/>
              </w:rPr>
              <w:t xml:space="preserve">2015–2017 early</w:t>
            </w:r>
          </w:p>
        </w:tc>
        <w:tc>
          <w:tcPr>
            <w:tcW w:type="dxa" w:w="1814"/>
            <w:shd w:fill="FFFFFF" w:val="clear"/>
            <w:tcMar>
              <w:top w:type="dxa" w:w="90"/>
              <w:left w:type="dxa" w:w="130"/>
              <w:bottom w:type="dxa" w:w="90"/>
              <w:right w:type="dxa" w:w="130"/>
            </w:tcMar>
          </w:tcPr>
          <w:p>
            <w:pPr>
              <w:spacing w:after="0" w:line="252"/>
              <w:jc w:val="right"/>
            </w:pPr>
            <w:r>
              <w:rPr>
                <w:color w:val="1A1A1A"/>
                <w:sz w:val="19"/>
                <w:szCs w:val="19"/>
              </w:rPr>
              <w:t xml:space="preserve">3,473%</w:t>
            </w:r>
          </w:p>
        </w:tc>
        <w:tc>
          <w:tcPr>
            <w:tcW w:type="dxa" w:w="1814"/>
            <w:shd w:fill="FFFFFF" w:val="clear"/>
            <w:tcMar>
              <w:top w:type="dxa" w:w="90"/>
              <w:left w:type="dxa" w:w="130"/>
              <w:bottom w:type="dxa" w:w="90"/>
              <w:right w:type="dxa" w:w="130"/>
            </w:tcMar>
          </w:tcPr>
          <w:p>
            <w:pPr>
              <w:spacing w:after="0" w:line="252"/>
              <w:jc w:val="right"/>
            </w:pPr>
            <w:r>
              <w:rPr>
                <w:color w:val="1A1A1A"/>
                <w:sz w:val="19"/>
                <w:szCs w:val="19"/>
              </w:rPr>
              <w:t xml:space="preserve">2,977%</w:t>
            </w:r>
          </w:p>
        </w:tc>
        <w:tc>
          <w:tcPr>
            <w:tcW w:type="dxa" w:w="1814"/>
            <w:shd w:fill="FFFFFF" w:val="clear"/>
            <w:tcMar>
              <w:top w:type="dxa" w:w="90"/>
              <w:left w:type="dxa" w:w="130"/>
              <w:bottom w:type="dxa" w:w="90"/>
              <w:right w:type="dxa" w:w="130"/>
            </w:tcMar>
          </w:tcPr>
          <w:p>
            <w:pPr>
              <w:spacing w:after="0" w:line="252"/>
              <w:jc w:val="right"/>
            </w:pPr>
            <w:r>
              <w:rPr>
                <w:color w:val="1A1A1A"/>
                <w:sz w:val="19"/>
                <w:szCs w:val="19"/>
              </w:rPr>
              <w:t xml:space="preserve">−36.3%</w:t>
            </w:r>
          </w:p>
        </w:tc>
        <w:tc>
          <w:tcPr>
            <w:tcW w:type="dxa" w:w="1816"/>
            <w:shd w:fill="FFFFFF" w:val="clear"/>
            <w:tcMar>
              <w:top w:type="dxa" w:w="90"/>
              <w:left w:type="dxa" w:w="130"/>
              <w:bottom w:type="dxa" w:w="90"/>
              <w:right w:type="dxa" w:w="130"/>
            </w:tcMar>
          </w:tcPr>
          <w:p>
            <w:pPr>
              <w:spacing w:after="0" w:line="252"/>
              <w:jc w:val="right"/>
            </w:pPr>
            <w:r>
              <w:rPr>
                <w:color w:val="1A1A1A"/>
                <w:sz w:val="19"/>
                <w:szCs w:val="19"/>
              </w:rPr>
              <w:t xml:space="preserve">−37.1%</w:t>
            </w:r>
          </w:p>
        </w:tc>
      </w:tr>
      <w:tr>
        <w:tc>
          <w:tcPr>
            <w:tcW w:type="dxa" w:w="2822"/>
            <w:shd w:fill="F6F9FA" w:val="clear"/>
            <w:tcMar>
              <w:top w:type="dxa" w:w="90"/>
              <w:left w:type="dxa" w:w="130"/>
              <w:bottom w:type="dxa" w:w="90"/>
              <w:right w:type="dxa" w:w="130"/>
            </w:tcMar>
          </w:tcPr>
          <w:p>
            <w:pPr>
              <w:spacing w:after="0" w:line="252"/>
              <w:jc w:val="left"/>
            </w:pPr>
            <w:r>
              <w:rPr>
                <w:color w:val="1A1A1A"/>
                <w:sz w:val="19"/>
                <w:szCs w:val="19"/>
              </w:rPr>
              <w:t xml:space="preserve">2018–2019 bear</w:t>
            </w:r>
          </w:p>
        </w:tc>
        <w:tc>
          <w:tcPr>
            <w:tcW w:type="dxa" w:w="1814"/>
            <w:shd w:fill="F6F9FA" w:val="clear"/>
            <w:tcMar>
              <w:top w:type="dxa" w:w="90"/>
              <w:left w:type="dxa" w:w="130"/>
              <w:bottom w:type="dxa" w:w="90"/>
              <w:right w:type="dxa" w:w="130"/>
            </w:tcMar>
          </w:tcPr>
          <w:p>
            <w:pPr>
              <w:spacing w:after="0" w:line="252"/>
              <w:jc w:val="right"/>
            </w:pPr>
            <w:r>
              <w:rPr>
                <w:color w:val="1A1A1A"/>
                <w:sz w:val="19"/>
                <w:szCs w:val="19"/>
              </w:rPr>
              <w:t xml:space="preserve">71.1%</w:t>
            </w:r>
          </w:p>
        </w:tc>
        <w:tc>
          <w:tcPr>
            <w:tcW w:type="dxa" w:w="1814"/>
            <w:shd w:fill="F6F9FA" w:val="clear"/>
            <w:tcMar>
              <w:top w:type="dxa" w:w="90"/>
              <w:left w:type="dxa" w:w="130"/>
              <w:bottom w:type="dxa" w:w="90"/>
              <w:right w:type="dxa" w:w="130"/>
            </w:tcMar>
          </w:tcPr>
          <w:p>
            <w:pPr>
              <w:spacing w:after="0" w:line="252"/>
              <w:jc w:val="right"/>
            </w:pPr>
            <w:r>
              <w:rPr>
                <w:color w:val="1A1A1A"/>
                <w:sz w:val="19"/>
                <w:szCs w:val="19"/>
              </w:rPr>
              <w:t xml:space="preserve">57.7%</w:t>
            </w:r>
          </w:p>
        </w:tc>
        <w:tc>
          <w:tcPr>
            <w:tcW w:type="dxa" w:w="1814"/>
            <w:shd w:fill="F6F9FA" w:val="clear"/>
            <w:tcMar>
              <w:top w:type="dxa" w:w="90"/>
              <w:left w:type="dxa" w:w="130"/>
              <w:bottom w:type="dxa" w:w="90"/>
              <w:right w:type="dxa" w:w="130"/>
            </w:tcMar>
          </w:tcPr>
          <w:p>
            <w:pPr>
              <w:spacing w:after="0" w:line="252"/>
              <w:jc w:val="right"/>
            </w:pPr>
            <w:r>
              <w:rPr>
                <w:color w:val="1A1A1A"/>
                <w:sz w:val="19"/>
                <w:szCs w:val="19"/>
              </w:rPr>
              <w:t xml:space="preserve">−34.9%</w:t>
            </w:r>
          </w:p>
        </w:tc>
        <w:tc>
          <w:tcPr>
            <w:tcW w:type="dxa" w:w="1816"/>
            <w:shd w:fill="F6F9FA" w:val="clear"/>
            <w:tcMar>
              <w:top w:type="dxa" w:w="90"/>
              <w:left w:type="dxa" w:w="130"/>
              <w:bottom w:type="dxa" w:w="90"/>
              <w:right w:type="dxa" w:w="130"/>
            </w:tcMar>
          </w:tcPr>
          <w:p>
            <w:pPr>
              <w:spacing w:after="0" w:line="252"/>
              <w:jc w:val="right"/>
            </w:pPr>
            <w:r>
              <w:rPr>
                <w:color w:val="1A1A1A"/>
                <w:sz w:val="19"/>
                <w:szCs w:val="19"/>
              </w:rPr>
              <w:t xml:space="preserve">−40.0%</w:t>
            </w:r>
          </w:p>
        </w:tc>
      </w:tr>
      <w:tr>
        <w:tc>
          <w:tcPr>
            <w:tcW w:type="dxa" w:w="2822"/>
            <w:shd w:fill="FFFFFF" w:val="clear"/>
            <w:tcMar>
              <w:top w:type="dxa" w:w="90"/>
              <w:left w:type="dxa" w:w="130"/>
              <w:bottom w:type="dxa" w:w="90"/>
              <w:right w:type="dxa" w:w="130"/>
            </w:tcMar>
          </w:tcPr>
          <w:p>
            <w:pPr>
              <w:spacing w:after="0" w:line="252"/>
              <w:jc w:val="left"/>
            </w:pPr>
            <w:r>
              <w:rPr>
                <w:color w:val="1A1A1A"/>
                <w:sz w:val="19"/>
                <w:szCs w:val="19"/>
              </w:rPr>
              <w:t xml:space="preserve">2020–2024</w:t>
            </w:r>
          </w:p>
        </w:tc>
        <w:tc>
          <w:tcPr>
            <w:tcW w:type="dxa" w:w="1814"/>
            <w:shd w:fill="FFFFFF" w:val="clear"/>
            <w:tcMar>
              <w:top w:type="dxa" w:w="90"/>
              <w:left w:type="dxa" w:w="130"/>
              <w:bottom w:type="dxa" w:w="90"/>
              <w:right w:type="dxa" w:w="130"/>
            </w:tcMar>
          </w:tcPr>
          <w:p>
            <w:pPr>
              <w:spacing w:after="0" w:line="252"/>
              <w:jc w:val="right"/>
            </w:pPr>
            <w:r>
              <w:rPr>
                <w:color w:val="1A1A1A"/>
                <w:sz w:val="19"/>
                <w:szCs w:val="19"/>
              </w:rPr>
              <w:t xml:space="preserve">999.2%</w:t>
            </w:r>
          </w:p>
        </w:tc>
        <w:tc>
          <w:tcPr>
            <w:tcW w:type="dxa" w:w="1814"/>
            <w:shd w:fill="FFFFFF" w:val="clear"/>
            <w:tcMar>
              <w:top w:type="dxa" w:w="90"/>
              <w:left w:type="dxa" w:w="130"/>
              <w:bottom w:type="dxa" w:w="90"/>
              <w:right w:type="dxa" w:w="130"/>
            </w:tcMar>
          </w:tcPr>
          <w:p>
            <w:pPr>
              <w:spacing w:after="0" w:line="252"/>
              <w:jc w:val="right"/>
            </w:pPr>
            <w:r>
              <w:rPr>
                <w:color w:val="1A1A1A"/>
                <w:sz w:val="19"/>
                <w:szCs w:val="19"/>
              </w:rPr>
              <w:t xml:space="preserve">589.3%</w:t>
            </w:r>
          </w:p>
        </w:tc>
        <w:tc>
          <w:tcPr>
            <w:tcW w:type="dxa" w:w="1814"/>
            <w:shd w:fill="FFFFFF" w:val="clear"/>
            <w:tcMar>
              <w:top w:type="dxa" w:w="90"/>
              <w:left w:type="dxa" w:w="130"/>
              <w:bottom w:type="dxa" w:w="90"/>
              <w:right w:type="dxa" w:w="130"/>
            </w:tcMar>
          </w:tcPr>
          <w:p>
            <w:pPr>
              <w:spacing w:after="0" w:line="252"/>
              <w:jc w:val="right"/>
            </w:pPr>
            <w:r>
              <w:rPr>
                <w:color w:val="1A1A1A"/>
                <w:sz w:val="19"/>
                <w:szCs w:val="19"/>
              </w:rPr>
              <w:t xml:space="preserve">−50.0%</w:t>
            </w:r>
          </w:p>
        </w:tc>
        <w:tc>
          <w:tcPr>
            <w:tcW w:type="dxa" w:w="1816"/>
            <w:shd w:fill="FFFFFF" w:val="clear"/>
            <w:tcMar>
              <w:top w:type="dxa" w:w="90"/>
              <w:left w:type="dxa" w:w="130"/>
              <w:bottom w:type="dxa" w:w="90"/>
              <w:right w:type="dxa" w:w="130"/>
            </w:tcMar>
          </w:tcPr>
          <w:p>
            <w:pPr>
              <w:spacing w:after="0" w:line="252"/>
              <w:jc w:val="right"/>
            </w:pPr>
            <w:r>
              <w:rPr>
                <w:color w:val="1A1A1A"/>
                <w:sz w:val="19"/>
                <w:szCs w:val="19"/>
              </w:rPr>
              <w:t xml:space="preserve">−51.7%</w:t>
            </w:r>
          </w:p>
        </w:tc>
      </w:tr>
      <w:tr>
        <w:tc>
          <w:tcPr>
            <w:tcW w:type="dxa" w:w="2822"/>
            <w:shd w:fill="F6F9FA" w:val="clear"/>
            <w:tcMar>
              <w:top w:type="dxa" w:w="90"/>
              <w:left w:type="dxa" w:w="130"/>
              <w:bottom w:type="dxa" w:w="90"/>
              <w:right w:type="dxa" w:w="130"/>
            </w:tcMar>
          </w:tcPr>
          <w:p>
            <w:pPr>
              <w:spacing w:after="0" w:line="252"/>
              <w:jc w:val="left"/>
            </w:pPr>
            <w:r>
              <w:rPr>
                <w:color w:val="1A1A1A"/>
                <w:sz w:val="19"/>
                <w:szCs w:val="19"/>
              </w:rPr>
              <w:t xml:space="preserve">2025–today</w:t>
            </w:r>
          </w:p>
        </w:tc>
        <w:tc>
          <w:tcPr>
            <w:tcW w:type="dxa" w:w="1814"/>
            <w:shd w:fill="F6F9FA" w:val="clear"/>
            <w:tcMar>
              <w:top w:type="dxa" w:w="90"/>
              <w:left w:type="dxa" w:w="130"/>
              <w:bottom w:type="dxa" w:w="90"/>
              <w:right w:type="dxa" w:w="130"/>
            </w:tcMar>
          </w:tcPr>
          <w:p>
            <w:pPr>
              <w:spacing w:after="0" w:line="252"/>
              <w:jc w:val="right"/>
            </w:pPr>
            <w:r>
              <w:rPr>
                <w:color w:val="1A1A1A"/>
                <w:sz w:val="19"/>
                <w:szCs w:val="19"/>
              </w:rPr>
              <w:t xml:space="preserve">−3.0%</w:t>
            </w:r>
          </w:p>
        </w:tc>
        <w:tc>
          <w:tcPr>
            <w:tcW w:type="dxa" w:w="1814"/>
            <w:shd w:fill="F6F9FA" w:val="clear"/>
            <w:tcMar>
              <w:top w:type="dxa" w:w="90"/>
              <w:left w:type="dxa" w:w="130"/>
              <w:bottom w:type="dxa" w:w="90"/>
              <w:right w:type="dxa" w:w="130"/>
            </w:tcMar>
          </w:tcPr>
          <w:p>
            <w:pPr>
              <w:spacing w:after="0" w:line="252"/>
              <w:jc w:val="right"/>
            </w:pPr>
            <w:r>
              <w:rPr>
                <w:color w:val="1A1A1A"/>
                <w:sz w:val="19"/>
                <w:szCs w:val="19"/>
              </w:rPr>
              <w:t xml:space="preserve">−3.0%</w:t>
            </w:r>
          </w:p>
        </w:tc>
        <w:tc>
          <w:tcPr>
            <w:tcW w:type="dxa" w:w="1814"/>
            <w:shd w:fill="F6F9FA" w:val="clear"/>
            <w:tcMar>
              <w:top w:type="dxa" w:w="90"/>
              <w:left w:type="dxa" w:w="130"/>
              <w:bottom w:type="dxa" w:w="90"/>
              <w:right w:type="dxa" w:w="130"/>
            </w:tcMar>
          </w:tcPr>
          <w:p>
            <w:pPr>
              <w:spacing w:after="0" w:line="252"/>
              <w:jc w:val="right"/>
            </w:pPr>
            <w:r>
              <w:rPr>
                <w:color w:val="1A1A1A"/>
                <w:sz w:val="19"/>
                <w:szCs w:val="19"/>
              </w:rPr>
              <w:t xml:space="preserve">−19.4%</w:t>
            </w:r>
          </w:p>
        </w:tc>
        <w:tc>
          <w:tcPr>
            <w:tcW w:type="dxa" w:w="1816"/>
            <w:shd w:fill="F6F9FA" w:val="clear"/>
            <w:tcMar>
              <w:top w:type="dxa" w:w="90"/>
              <w:left w:type="dxa" w:w="130"/>
              <w:bottom w:type="dxa" w:w="90"/>
              <w:right w:type="dxa" w:w="130"/>
            </w:tcMar>
          </w:tcPr>
          <w:p>
            <w:pPr>
              <w:spacing w:after="0" w:line="252"/>
              <w:jc w:val="right"/>
            </w:pPr>
            <w:r>
              <w:rPr>
                <w:color w:val="1A1A1A"/>
                <w:sz w:val="19"/>
                <w:szCs w:val="19"/>
              </w:rPr>
              <w:t xml:space="preserve">−19.4%</w:t>
            </w:r>
          </w:p>
        </w:tc>
      </w:tr>
      <w:tr>
        <w:tc>
          <w:tcPr>
            <w:tcW w:type="dxa" w:w="2822"/>
            <w:shd w:fill="FFFFFF" w:val="clear"/>
            <w:tcMar>
              <w:top w:type="dxa" w:w="90"/>
              <w:left w:type="dxa" w:w="130"/>
              <w:bottom w:type="dxa" w:w="90"/>
              <w:right w:type="dxa" w:w="130"/>
            </w:tcMar>
          </w:tcPr>
          <w:p>
            <w:pPr>
              <w:spacing w:after="0" w:line="252"/>
              <w:jc w:val="left"/>
            </w:pPr>
            <w:r>
              <w:rPr>
                <w:b/>
                <w:bCs/>
                <w:color w:val="1A1A1A"/>
                <w:sz w:val="19"/>
                <w:szCs w:val="19"/>
              </w:rPr>
              <w:t xml:space="preserve">Full history</w:t>
            </w:r>
          </w:p>
        </w:tc>
        <w:tc>
          <w:tcPr>
            <w:tcW w:type="dxa" w:w="1814"/>
            <w:shd w:fill="FFFFFF" w:val="clear"/>
            <w:tcMar>
              <w:top w:type="dxa" w:w="90"/>
              <w:left w:type="dxa" w:w="130"/>
              <w:bottom w:type="dxa" w:w="90"/>
              <w:right w:type="dxa" w:w="130"/>
            </w:tcMar>
          </w:tcPr>
          <w:p>
            <w:pPr>
              <w:spacing w:after="0" w:line="252"/>
              <w:jc w:val="right"/>
            </w:pPr>
            <w:r>
              <w:rPr>
                <w:b/>
                <w:bCs/>
                <w:color w:val="1A1A1A"/>
                <w:sz w:val="19"/>
                <w:szCs w:val="19"/>
              </w:rPr>
              <w:t xml:space="preserve">26,332%</w:t>
            </w:r>
          </w:p>
        </w:tc>
        <w:tc>
          <w:tcPr>
            <w:tcW w:type="dxa" w:w="1814"/>
            <w:shd w:fill="FFFFFF" w:val="clear"/>
            <w:tcMar>
              <w:top w:type="dxa" w:w="90"/>
              <w:left w:type="dxa" w:w="130"/>
              <w:bottom w:type="dxa" w:w="90"/>
              <w:right w:type="dxa" w:w="130"/>
            </w:tcMar>
          </w:tcPr>
          <w:p>
            <w:pPr>
              <w:spacing w:after="0" w:line="252"/>
              <w:jc w:val="right"/>
            </w:pPr>
            <w:r>
              <w:rPr>
                <w:b/>
                <w:bCs/>
                <w:color w:val="A32C2C"/>
                <w:sz w:val="19"/>
                <w:szCs w:val="19"/>
              </w:rPr>
              <w:t xml:space="preserve">13,760%</w:t>
            </w:r>
          </w:p>
        </w:tc>
        <w:tc>
          <w:tcPr>
            <w:tcW w:type="dxa" w:w="1814"/>
            <w:shd w:fill="FFFFFF" w:val="clear"/>
            <w:tcMar>
              <w:top w:type="dxa" w:w="90"/>
              <w:left w:type="dxa" w:w="130"/>
              <w:bottom w:type="dxa" w:w="90"/>
              <w:right w:type="dxa" w:w="130"/>
            </w:tcMar>
          </w:tcPr>
          <w:p>
            <w:pPr>
              <w:spacing w:after="0" w:line="252"/>
              <w:jc w:val="right"/>
            </w:pPr>
            <w:r>
              <w:rPr>
                <w:color w:val="1A1A1A"/>
                <w:sz w:val="19"/>
                <w:szCs w:val="19"/>
              </w:rPr>
              <w:t xml:space="preserve">−70.1%</w:t>
            </w:r>
          </w:p>
        </w:tc>
        <w:tc>
          <w:tcPr>
            <w:tcW w:type="dxa" w:w="1816"/>
            <w:shd w:fill="FFFFFF" w:val="clear"/>
            <w:tcMar>
              <w:top w:type="dxa" w:w="90"/>
              <w:left w:type="dxa" w:w="130"/>
              <w:bottom w:type="dxa" w:w="90"/>
              <w:right w:type="dxa" w:w="130"/>
            </w:tcMar>
          </w:tcPr>
          <w:p>
            <w:pPr>
              <w:spacing w:after="0" w:line="252"/>
              <w:jc w:val="right"/>
            </w:pPr>
            <w:r>
              <w:rPr>
                <w:color w:val="A32C2C"/>
                <w:sz w:val="19"/>
                <w:szCs w:val="19"/>
              </w:rPr>
              <w:t xml:space="preserve">−71.2%</w:t>
            </w:r>
          </w:p>
        </w:tc>
      </w:tr>
    </w:tbl>
    <w:p>
      <w:r>
        <w:t xml:space="preserve">Lower returns in every period and marginally worse drawdown. The mechanism is whipsaw: in an asset this volatile, a trailing stop ejects the position during ordinary pullbacks that would have recovered. The entry-based stop stays.</w:t>
      </w:r>
    </w:p>
    <w:p>
      <w:pPr>
        <w:pStyle w:val="Heading1"/>
      </w:pPr>
      <w:r>
        <w:t xml:space="preserve">7. Things worth knowing before trading this</w:t>
      </w:r>
    </w:p>
    <w:p>
      <w:pPr>
        <w:pStyle w:val="Heading3"/>
      </w:pPr>
      <w:r>
        <w:t xml:space="preserve">The win rate is 34.8%</w:t>
      </w:r>
    </w:p>
    <w:p>
      <w:r>
        <w:t xml:space="preserve">Roughly two in three trades lose money. That is normal and expected for trend-following — a small number of large winners pay for a long tail of small losers — but it means long stretches of being wrong. The common failure mode for systematic traders is not a bad strategy; it is overriding a good one during a losing streak.</w:t>
      </w:r>
    </w:p>
    <w:p>
      <w:pPr>
        <w:pStyle w:val="Heading3"/>
      </w:pPr>
      <w:r>
        <w:t xml:space="preserve">It trades about twice a year</w:t>
      </w:r>
    </w:p>
    <w:p>
      <w:r>
        <w:t xml:space="preserve">Twenty-three round trips across 10.6 years. This is not day trading and will never feel like it. Most days the bot will report “hold” and do nothing.</w:t>
      </w:r>
    </w:p>
    <w:p>
      <w:pPr>
        <w:pStyle w:val="Heading3"/>
      </w:pPr>
      <w:r>
        <w:t xml:space="preserve">Results are sensitive to the start date</w:t>
      </w:r>
    </w:p>
    <w:p>
      <w:r>
        <w:t xml:space="preserve">Running the same strategy from different 2025 start months produces returns between −3.0% and +9.5%. Buy-and-hold over the same starts ranges from −27.1% to −0.2%, so the strategy is in fact the more stable of the two — but any single window’s number should be treated as one sample, not a result.</w:t>
      </w:r>
    </w:p>
    <w:p>
      <w:pPr>
        <w:pStyle w:val="Heading3"/>
      </w:pPr>
      <w:r>
        <w:t xml:space="preserve">Fees scale with trading frequency</w:t>
      </w:r>
    </w:p>
    <w:p>
      <w:r>
        <w:t xml:space="preserve">$125,259 in fees on a final equity of $2.6M is about 5% — acceptable at 23 trades. If a future parameter change increases turnover, that figure grows quickly and quietly, which is exactly how a paper edge disappears in production.</w:t>
      </w:r>
    </w:p>
    <w:p>
      <w:pPr>
        <w:pStyle w:val="Heading1"/>
      </w:pPr>
      <w:r>
        <w:t xml:space="preserve">8. Recommendation</w:t>
      </w:r>
    </w:p>
    <w:p>
      <w:pPr>
        <w:pStyle w:val="ListParagraph"/>
        <w:numPr>
          <w:ilvl w:val="0"/>
          <w:numId w:val="2"/>
        </w:numPr>
        <w:spacing w:after="80"/>
      </w:pPr>
      <w:r>
        <w:rPr>
          <w:b/>
          <w:bCs/>
        </w:rPr>
        <w:t xml:space="preserve">Do not go live.</w:t>
      </w:r>
      <w:r>
        <w:t xml:space="preserve"> Walk-forward shows buy and hold beat every variant of the strategy on return across seven out-of-sample windows.</w:t>
      </w:r>
    </w:p>
    <w:p>
      <w:pPr>
        <w:pStyle w:val="ListParagraph"/>
        <w:numPr>
          <w:ilvl w:val="0"/>
          <w:numId w:val="2"/>
        </w:numPr>
        <w:spacing w:after="80"/>
      </w:pPr>
      <w:r>
        <w:rPr>
          <w:b/>
          <w:bCs/>
        </w:rPr>
        <w:t xml:space="preserve">Keep paper trading.</w:t>
      </w:r>
      <w:r>
        <w:t xml:space="preserve"> The bot is running daily and costs nothing. In six months there will be a real record rather than a simulation. A paper position is currently open: 0.115124 BTC at $86,637.10.</w:t>
      </w:r>
    </w:p>
    <w:p>
      <w:pPr>
        <w:pStyle w:val="ListParagraph"/>
        <w:numPr>
          <w:ilvl w:val="0"/>
          <w:numId w:val="2"/>
        </w:numPr>
        <w:spacing w:after="80"/>
      </w:pPr>
      <w:r>
        <w:rPr>
          <w:b/>
          <w:bCs/>
        </w:rPr>
        <w:t xml:space="preserve">Do not change the parameters.</w:t>
      </w:r>
      <w:r>
        <w:t xml:space="preserve"> Walk-forward has been run: the winning pair changes every few years, so the sweep result is noise. Leave 5/150 alone.</w:t>
      </w:r>
    </w:p>
    <w:p>
      <w:pPr>
        <w:pStyle w:val="ListParagraph"/>
        <w:numPr>
          <w:ilvl w:val="0"/>
          <w:numId w:val="2"/>
        </w:numPr>
        <w:spacing w:after="80"/>
      </w:pPr>
      <w:r>
        <w:rPr>
          <w:b/>
          <w:bCs/>
        </w:rPr>
        <w:t xml:space="preserve">Reframe what this is.</w:t>
      </w:r>
      <w:r>
        <w:t xml:space="preserve"> It is a risk overlay on a long-BTC position that produces roughly buy-and-hold returns with materially less drawdown. It is not an income source and will not replace a salary.</w:t>
      </w:r>
    </w:p>
    <w:tbl>
      <w:tblPr>
        <w:tblW w:type="dxa" w:w="10080"/>
        <w:tblBorders>
          <w:top w:val="none"/>
          <w:left w:val="single" w:color="1F4E5F" w:sz="18"/>
          <w:bottom w:val="none"/>
          <w:right w:val="none"/>
          <w:insideH w:val="none"/>
          <w:insideV w:val="none"/>
        </w:tblBorders>
      </w:tblPr>
      <w:tblGrid>
        <w:gridCol w:w="10080"/>
      </w:tblGrid>
      <w:tr>
        <w:tc>
          <w:tcPr>
            <w:tcW w:type="dxa" w:w="10080"/>
            <w:shd w:fill="F7F9FA" w:val="clear"/>
            <w:tcMar>
              <w:top w:type="dxa" w:w="120"/>
              <w:left w:type="dxa" w:w="180"/>
              <w:bottom w:type="dxa" w:w="120"/>
              <w:right w:type="dxa" w:w="180"/>
            </w:tcMar>
          </w:tcPr>
          <w:p>
            <w:pPr>
              <w:spacing w:after="60"/>
            </w:pPr>
            <w:r>
              <w:rPr>
                <w:b/>
                <w:bCs/>
                <w:color w:val="1F4E5F"/>
                <w:sz w:val="20"/>
                <w:szCs w:val="20"/>
              </w:rPr>
              <w:t xml:space="preserve">If the goal is income rather than risk reduction</w:t>
            </w:r>
          </w:p>
          <w:p>
            <w:pPr>
              <w:spacing w:after="0"/>
            </w:pPr>
            <w:r>
              <w:rPr>
                <w:sz w:val="20"/>
                <w:szCs w:val="20"/>
              </w:rPr>
              <w:t xml:space="preserve">This strategy answers the question “how do I hold BTC with less pain?” It does not answer “how do I generate returns uncorrelated with BTC?” Those need different approaches — shorting, multiple assets, or a genuinely different signal — and each needs its own validation from scratch. The infrastructure built here (data layer, paper broker, backtest harness) supports testing any of them, which is arguably its greater value.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6"/>
        <w:szCs w:val="16"/>
      </w:rPr>
      <w:t xml:space="preserve">BTC Trend Strategy — Validation Analysis   ·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4E5F"/>
      <w:sz w:val="40"/>
      <w:szCs w:val="40"/>
    </w:rPr>
  </w:style>
  <w:style w:type="paragraph" w:styleId="Subtitle">
    <w:name w:val="Subtitle"/>
    <w:basedOn w:val="Normal"/>
    <w:next w:val="Normal"/>
    <w:pPr>
      <w:spacing w:after="320"/>
    </w:pPr>
    <w:rPr>
      <w:rFonts w:ascii="Calibri" w:cs="Calibri" w:eastAsia="Calibri" w:hAnsi="Calibri"/>
      <w:color w:val="5A6672"/>
      <w:sz w:val="22"/>
      <w:szCs w:val="22"/>
    </w:rPr>
  </w:style>
  <w:style w:type="paragraph" w:styleId="Heading1">
    <w:name w:val="Heading 1"/>
    <w:basedOn w:val="Normal"/>
    <w:next w:val="Normal"/>
    <w:qFormat/>
    <w:pPr>
      <w:pBdr>
        <w:bottom w:val="single" w:color="D4DCE2" w:sz="6" w:space="6"/>
      </w:pBdr>
      <w:spacing w:after="140" w:before="360"/>
    </w:pPr>
    <w:rPr>
      <w:rFonts w:ascii="Calibri" w:cs="Calibri" w:eastAsia="Calibri" w:hAnsi="Calibri"/>
      <w:b/>
      <w:bCs/>
      <w:color w:val="1F4E5F"/>
      <w:sz w:val="28"/>
      <w:szCs w:val="28"/>
    </w:rPr>
  </w:style>
  <w:style w:type="paragraph" w:styleId="Heading2">
    <w:name w:val="Heading 2"/>
    <w:basedOn w:val="Normal"/>
    <w:next w:val="Normal"/>
    <w:qFormat/>
    <w:pPr>
      <w:spacing w:after="100" w:before="260"/>
    </w:pPr>
    <w:rPr>
      <w:rFonts w:ascii="Calibri" w:cs="Calibri" w:eastAsia="Calibri" w:hAnsi="Calibri"/>
      <w:b/>
      <w:bCs/>
      <w:color w:val="2E3B44"/>
      <w:sz w:val="23"/>
      <w:szCs w:val="23"/>
    </w:rPr>
  </w:style>
  <w:style w:type="paragraph" w:styleId="Heading3">
    <w:name w:val="Heading 3"/>
    <w:basedOn w:val="Normal"/>
    <w:next w:val="Normal"/>
    <w:qFormat/>
    <w:pPr>
      <w:spacing w:after="80" w:before="200"/>
    </w:pPr>
    <w:rPr>
      <w:rFonts w:ascii="Calibri" w:cs="Calibri" w:eastAsia="Calibri" w:hAnsi="Calibri"/>
      <w:b/>
      <w:bCs/>
      <w:color w:val="2E3B44"/>
      <w:sz w:val="21"/>
      <w:szCs w:val="21"/>
    </w:rPr>
  </w:style>
  <w:style w:type="paragraph" w:styleId="Code">
    <w:name w:val="Code"/>
    <w:basedOn w:val="Normal"/>
    <w:next w:val="Normal"/>
    <w:pPr>
      <w:spacing w:after="40" w:line="240"/>
      <w:ind w:left="288"/>
    </w:pPr>
    <w:rPr>
      <w:rFonts w:ascii="Consolas" w:cs="Consolas" w:eastAsia="Consolas" w:hAnsi="Consolas"/>
      <w:color w:val="24303A"/>
      <w:sz w:val="18"/>
      <w:szCs w:val="18"/>
    </w:rPr>
  </w:style>
  <w:style w:type="paragraph" w:styleId="Caption">
    <w:name w:val="Caption"/>
    <w:basedOn w:val="Normal"/>
    <w:next w:val="Normal"/>
    <w:pPr>
      <w:spacing w:after="200" w:before="40"/>
    </w:pPr>
    <w:rPr>
      <w:i/>
      <w:iCs/>
      <w:color w:val="5A6672"/>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2026-09-22T13:21:22.908Z</dcterms:created>
  <dcterms:modified xsi:type="dcterms:W3CDTF">2026-09-22T13:21:22.917Z</dcterms:modified>
</cp:coreProperties>
</file>

<file path=docProps/custom.xml><?xml version="1.0" encoding="utf-8"?>
<Properties xmlns="http://schemas.openxmlformats.org/officeDocument/2006/custom-properties" xmlns:vt="http://schemas.openxmlformats.org/officeDocument/2006/docPropsVTypes"/>
</file>