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BTC Trend Strategy — Validation Analysis</w:t>
      </w:r>
    </w:p>
    <w:p>
      <w:pPr>
        <w:pStyle w:val="Subtitle"/>
      </w:pPr>
      <w:r>
        <w:t xml:space="preserve">5/150/200 moving-average system with a 15% stop loss  ·  22 September 2026</w:t>
      </w:r>
    </w:p>
    <w:tbl>
      <w:tblPr>
        <w:tblW w:type="dxa" w:w="10080"/>
        <w:tblBorders>
          <w:top w:val="none"/>
          <w:left w:val="single" w:color="1F4E5F" w:sz="18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F9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F4E5F"/>
                <w:sz w:val="20"/>
                <w:szCs w:val="20"/>
              </w:rPr>
              <w:t xml:space="preserve">Verdict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strategy does not generate meaningful excess return. It reduces drawdown.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Over 10.6 years it delivered 69.0% CAGR against buy-and-hold’s 66.2% — 2.8 percentage points, after fees. What it did deliver is a better Sharpe (1.28 vs 1.10), a better Calmar (0.98 vs 0.79) and 13.7 points less maximum drawdown. Out of sample it lost 3.0% while buy-and-hold lost 27.1%. This is a risk overlay, not an income source. Recommendation: do not trade it with real money yet.</w:t>
            </w:r>
          </w:p>
        </w:tc>
      </w:tr>
    </w:tbl>
    <w:p>
      <w:pPr>
        <w:pStyle w:val="Heading1"/>
      </w:pPr>
      <w:r>
        <w:t xml:space="preserve">1. What was tested</w:t>
      </w:r>
    </w:p>
    <w:p>
      <w:r>
        <w:t xml:space="preserve">The strategy holds BTC when the 5-day moving average is above the 150-day moving average AND price is above the 200-day moving average. It exits when either condition fails, or when price falls 15% below the entry price, whichever comes first. It is long-or-flat: no shorting, no leverage, no partial sizing.</w:t>
      </w:r>
    </w:p>
    <w:p>
      <w:r>
        <w:t xml:space="preserve">Every figure in this document includes execution costs: a 0.26% Kraken taker fee and 0.05% assumed slippage, charged on both sides of every trade. The original backtest applied neither, which flatters any strategy that trades.</w:t>
      </w:r>
    </w:p>
    <w:p>
      <w:pPr>
        <w:pStyle w:val="Heading3"/>
      </w:pPr>
      <w:r>
        <w:t xml:space="preserve">Data</w:t>
      </w:r>
    </w:p>
    <w:tbl>
      <w:tblPr>
        <w:tblW w:type="dxa" w:w="10080"/>
        <w:tblBorders>
          <w:top w:val="single" w:color="C8D2D9" w:sz="2"/>
          <w:left w:val="none"/>
          <w:bottom w:val="single" w:color="C8D2D9" w:sz="2"/>
          <w:right w:val="none"/>
          <w:insideH w:val="single" w:color="E2E8EC" w:sz="2"/>
          <w:insideV w:val="none"/>
        </w:tblBorders>
      </w:tblPr>
      <w:tblGrid>
        <w:gridCol w:w="3024"/>
        <w:gridCol w:w="7056"/>
      </w:tblGrid>
      <w:tr>
        <w:trPr>
          <w:tblHeader/>
        </w:trPr>
        <w:tc>
          <w:tcPr>
            <w:tcW w:type="dxa" w:w="3024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Property</w:t>
            </w:r>
          </w:p>
        </w:tc>
        <w:tc>
          <w:tcPr>
            <w:tcW w:type="dxa" w:w="7056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Source</w:t>
            </w:r>
          </w:p>
        </w:tc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Coinbase Exchange daily candles (BTC-USD)</w:t>
            </w:r>
          </w:p>
        </w:tc>
      </w:tr>
      <w:tr>
        <w:tc>
          <w:tcPr>
            <w:tcW w:type="dxa" w:w="302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Range</w:t>
            </w:r>
          </w:p>
        </w:tc>
        <w:tc>
          <w:tcPr>
            <w:tcW w:type="dxa" w:w="7056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 July 2015 — 22 September 2026</w:t>
            </w:r>
          </w:p>
        </w:tc>
      </w:tr>
      <w:tr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Candles</w:t>
            </w:r>
          </w:p>
        </w:tc>
        <w:tc>
          <w:tcPr>
            <w:tcW w:type="dxa" w:w="705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4,083 daily closes, zero gaps</w:t>
            </w:r>
          </w:p>
        </w:tc>
      </w:tr>
      <w:tr>
        <w:tc>
          <w:tcPr>
            <w:tcW w:type="dxa" w:w="302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Usable after warm-up</w:t>
            </w:r>
          </w:p>
        </w:tc>
        <w:tc>
          <w:tcPr>
            <w:tcW w:type="dxa" w:w="7056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3,884 days (the 200-day MA consumes the first 199)</w:t>
            </w:r>
          </w:p>
        </w:tc>
      </w:tr>
    </w:tbl>
    <w:p>
      <w:pPr>
        <w:pStyle w:val="Caption"/>
      </w:pPr>
      <w:r>
        <w:t xml:space="preserve">Kraken’s public feed caps at 720 candles — under two years, of which 200 are lost to warm-up. Backtesting on that window means testing one market regime.</w:t>
      </w:r>
    </w:p>
    <w:p>
      <w:pPr>
        <w:pStyle w:val="Heading1"/>
      </w:pPr>
      <w:r>
        <w:t xml:space="preserve">2. Headline results, full history</w:t>
      </w:r>
    </w:p>
    <w:tbl>
      <w:tblPr>
        <w:tblW w:type="dxa" w:w="10080"/>
        <w:tblBorders>
          <w:top w:val="single" w:color="C8D2D9" w:sz="2"/>
          <w:left w:val="none"/>
          <w:bottom w:val="single" w:color="C8D2D9" w:sz="2"/>
          <w:right w:val="none"/>
          <w:insideH w:val="single" w:color="E2E8EC" w:sz="2"/>
          <w:insideV w:val="none"/>
        </w:tblBorders>
      </w:tblPr>
      <w:tblGrid>
        <w:gridCol w:w="3427"/>
        <w:gridCol w:w="2218"/>
        <w:gridCol w:w="2218"/>
        <w:gridCol w:w="2217"/>
      </w:tblGrid>
      <w:tr>
        <w:trPr>
          <w:tblHeader/>
        </w:trPr>
        <w:tc>
          <w:tcPr>
            <w:tcW w:type="dxa" w:w="3427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218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2218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Buy &amp; hold</w:t>
            </w:r>
          </w:p>
        </w:tc>
        <w:tc>
          <w:tcPr>
            <w:tcW w:type="dxa" w:w="2217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Difference</w:t>
            </w:r>
          </w:p>
        </w:tc>
      </w:tr>
      <w:tr>
        <w:tc>
          <w:tcPr>
            <w:tcW w:type="dxa" w:w="342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Total return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26,332%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22,067%</w:t>
            </w:r>
          </w:p>
        </w:tc>
        <w:tc>
          <w:tcPr>
            <w:tcW w:type="dxa" w:w="221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2C6E49"/>
                <w:sz w:val="19"/>
                <w:szCs w:val="19"/>
              </w:rPr>
              <w:t xml:space="preserve">+4,265pp</w:t>
            </w:r>
          </w:p>
        </w:tc>
      </w:tr>
      <w:tr>
        <w:tc>
          <w:tcPr>
            <w:tcW w:type="dxa" w:w="342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CAGR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69.0%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66.2%</w:t>
            </w:r>
          </w:p>
        </w:tc>
        <w:tc>
          <w:tcPr>
            <w:tcW w:type="dxa" w:w="221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2C6E49"/>
                <w:sz w:val="19"/>
                <w:szCs w:val="19"/>
              </w:rPr>
              <w:t xml:space="preserve">+2.8pp</w:t>
            </w:r>
          </w:p>
        </w:tc>
      </w:tr>
      <w:tr>
        <w:tc>
          <w:tcPr>
            <w:tcW w:type="dxa" w:w="342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Sharpe ratio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1.28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1.10</w:t>
            </w:r>
          </w:p>
        </w:tc>
        <w:tc>
          <w:tcPr>
            <w:tcW w:type="dxa" w:w="221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2C6E49"/>
                <w:sz w:val="19"/>
                <w:szCs w:val="19"/>
              </w:rPr>
              <w:t xml:space="preserve">+0.18</w:t>
            </w:r>
          </w:p>
        </w:tc>
      </w:tr>
      <w:tr>
        <w:tc>
          <w:tcPr>
            <w:tcW w:type="dxa" w:w="342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Calmar (CAGR / max DD)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0.98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0.79</w:t>
            </w:r>
          </w:p>
        </w:tc>
        <w:tc>
          <w:tcPr>
            <w:tcW w:type="dxa" w:w="221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2C6E49"/>
                <w:sz w:val="19"/>
                <w:szCs w:val="19"/>
              </w:rPr>
              <w:t xml:space="preserve">+0.19</w:t>
            </w:r>
          </w:p>
        </w:tc>
      </w:tr>
      <w:tr>
        <w:tc>
          <w:tcPr>
            <w:tcW w:type="dxa" w:w="342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Maximum drawdown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−70.1%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−83.8%</w:t>
            </w:r>
          </w:p>
        </w:tc>
        <w:tc>
          <w:tcPr>
            <w:tcW w:type="dxa" w:w="221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2C6E49"/>
                <w:sz w:val="19"/>
                <w:szCs w:val="19"/>
              </w:rPr>
              <w:t xml:space="preserve">13.7pp better</w:t>
            </w:r>
          </w:p>
        </w:tc>
      </w:tr>
      <w:tr>
        <w:tc>
          <w:tcPr>
            <w:tcW w:type="dxa" w:w="342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Round trips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21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2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Win rate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34.8%</w:t>
            </w:r>
          </w:p>
        </w:tc>
        <w:tc>
          <w:tcPr>
            <w:tcW w:type="dxa" w:w="2218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217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2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Fees paid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$125,259</w:t>
            </w:r>
          </w:p>
        </w:tc>
        <w:tc>
          <w:tcPr>
            <w:tcW w:type="dxa" w:w="2218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$0</w:t>
            </w:r>
          </w:p>
        </w:tc>
        <w:tc>
          <w:tcPr>
            <w:tcW w:type="dxa" w:w="2217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</w:pPr>
      <w:r>
        <w:t xml:space="preserve">Reading these numbers</w:t>
      </w:r>
    </w:p>
    <w:p>
      <w:r>
        <w:t xml:space="preserve">The 4,265 percentage-point return advantage sounds enormous and means very little. Compounded over a decade on an asset that rose 22,000%, small differences in exposure produce huge differences in terminal value. CAGR is the honest comparison, and there the edge is 2.8 points.</w:t>
      </w:r>
    </w:p>
    <w:p>
      <w:r>
        <w:t xml:space="preserve">The risk-adjusted numbers are where the strategy earns its keep. A Calmar of 0.98 against 0.79 means each unit of drawdown bought roughly 24% more annual return. That is a genuine, repeatable improvement — but it is an improvement in the shape of the ride, not in the destination.</w:t>
      </w:r>
    </w:p>
    <w:tbl>
      <w:tblPr>
        <w:tblW w:type="dxa" w:w="10080"/>
        <w:tblBorders>
          <w:top w:val="none"/>
          <w:left w:val="single" w:color="A32C2C" w:sz="18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F9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A32C2C"/>
                <w:sz w:val="20"/>
                <w:szCs w:val="20"/>
              </w:rPr>
              <w:t xml:space="preserve">Context for a −70% drawdown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Even the strategy’s worst loss was 70.1%. On a £10,000 account that is watching it fall to roughly £3,000 before recovering. The relevant question is not whether the backtest survives that — it does, mechanically — but whether you would hold through it without intervening. If not, the backtest describes a system you would never actually run.</w:t>
            </w:r>
          </w:p>
        </w:tc>
      </w:tr>
    </w:tbl>
    <w:p>
      <w:pPr>
        <w:pStyle w:val="Heading1"/>
      </w:pPr>
      <w:r>
        <w:t xml:space="preserve">3. Performance by market regime</w:t>
      </w:r>
    </w:p>
    <w:p>
      <w:r>
        <w:t xml:space="preserve">Splitting history into periods is the test that matters. A strategy that only works in one regime has been fitted to that regime.</w:t>
      </w:r>
    </w:p>
    <w:tbl>
      <w:tblPr>
        <w:tblW w:type="dxa" w:w="10080"/>
        <w:tblBorders>
          <w:top w:val="single" w:color="C8D2D9" w:sz="2"/>
          <w:left w:val="none"/>
          <w:bottom w:val="single" w:color="C8D2D9" w:sz="2"/>
          <w:right w:val="none"/>
          <w:insideH w:val="single" w:color="E2E8EC" w:sz="2"/>
          <w:insideV w:val="none"/>
        </w:tblBorders>
      </w:tblPr>
      <w:tblGrid>
        <w:gridCol w:w="3024"/>
        <w:gridCol w:w="1512"/>
        <w:gridCol w:w="1512"/>
        <w:gridCol w:w="1411"/>
        <w:gridCol w:w="1310"/>
        <w:gridCol w:w="1311"/>
      </w:tblGrid>
      <w:tr>
        <w:trPr>
          <w:tblHeader/>
        </w:trPr>
        <w:tc>
          <w:tcPr>
            <w:tcW w:type="dxa" w:w="3024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  <w:tc>
          <w:tcPr>
            <w:tcW w:type="dxa" w:w="1512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1512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Buy &amp; hold</w:t>
            </w:r>
          </w:p>
        </w:tc>
        <w:tc>
          <w:tcPr>
            <w:tcW w:type="dxa" w:w="1411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Strat DD</w:t>
            </w:r>
          </w:p>
        </w:tc>
        <w:tc>
          <w:tcPr>
            <w:tcW w:type="dxa" w:w="1310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B&amp;H DD</w:t>
            </w:r>
          </w:p>
        </w:tc>
        <w:tc>
          <w:tcPr>
            <w:tcW w:type="dxa" w:w="1311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Trades</w:t>
            </w:r>
          </w:p>
        </w:tc>
      </w:tr>
      <w:tr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2015–2017 early</w:t>
            </w:r>
          </w:p>
        </w:tc>
        <w:tc>
          <w:tcPr>
            <w:tcW w:type="dxa" w:w="151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3,473%</w:t>
            </w:r>
          </w:p>
        </w:tc>
        <w:tc>
          <w:tcPr>
            <w:tcW w:type="dxa" w:w="151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3,473%</w:t>
            </w:r>
          </w:p>
        </w:tc>
        <w:tc>
          <w:tcPr>
            <w:tcW w:type="dxa" w:w="141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−36.3%</w:t>
            </w:r>
          </w:p>
        </w:tc>
        <w:tc>
          <w:tcPr>
            <w:tcW w:type="dxa" w:w="131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−36.3%</w:t>
            </w:r>
          </w:p>
        </w:tc>
        <w:tc>
          <w:tcPr>
            <w:tcW w:type="dxa" w:w="131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02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2018–2019 bear</w:t>
            </w:r>
          </w:p>
        </w:tc>
        <w:tc>
          <w:tcPr>
            <w:tcW w:type="dxa" w:w="1512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2C6E49"/>
                <w:sz w:val="19"/>
                <w:szCs w:val="19"/>
              </w:rPr>
              <w:t xml:space="preserve">+71.1%</w:t>
            </w:r>
          </w:p>
        </w:tc>
        <w:tc>
          <w:tcPr>
            <w:tcW w:type="dxa" w:w="1512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A32C2C"/>
                <w:sz w:val="19"/>
                <w:szCs w:val="19"/>
              </w:rPr>
              <w:t xml:space="preserve">−4.1%</w:t>
            </w:r>
          </w:p>
        </w:tc>
        <w:tc>
          <w:tcPr>
            <w:tcW w:type="dxa" w:w="1411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−34.9%</w:t>
            </w:r>
          </w:p>
        </w:tc>
        <w:tc>
          <w:tcPr>
            <w:tcW w:type="dxa" w:w="1310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−62.0%</w:t>
            </w:r>
          </w:p>
        </w:tc>
        <w:tc>
          <w:tcPr>
            <w:tcW w:type="dxa" w:w="1311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2020–2024 (original window)</w:t>
            </w:r>
          </w:p>
        </w:tc>
        <w:tc>
          <w:tcPr>
            <w:tcW w:type="dxa" w:w="151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999.2%</w:t>
            </w:r>
          </w:p>
        </w:tc>
        <w:tc>
          <w:tcPr>
            <w:tcW w:type="dxa" w:w="151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917.4%</w:t>
            </w:r>
          </w:p>
        </w:tc>
        <w:tc>
          <w:tcPr>
            <w:tcW w:type="dxa" w:w="141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−50.0%</w:t>
            </w:r>
          </w:p>
        </w:tc>
        <w:tc>
          <w:tcPr>
            <w:tcW w:type="dxa" w:w="131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−76.7%</w:t>
            </w:r>
          </w:p>
        </w:tc>
        <w:tc>
          <w:tcPr>
            <w:tcW w:type="dxa" w:w="131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302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2025–today (out of sample)</w:t>
            </w:r>
          </w:p>
        </w:tc>
        <w:tc>
          <w:tcPr>
            <w:tcW w:type="dxa" w:w="1512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A32C2C"/>
                <w:sz w:val="19"/>
                <w:szCs w:val="19"/>
              </w:rPr>
              <w:t xml:space="preserve">−3.0%</w:t>
            </w:r>
          </w:p>
        </w:tc>
        <w:tc>
          <w:tcPr>
            <w:tcW w:type="dxa" w:w="1512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A32C2C"/>
                <w:sz w:val="19"/>
                <w:szCs w:val="19"/>
              </w:rPr>
              <w:t xml:space="preserve">−27.1%</w:t>
            </w:r>
          </w:p>
        </w:tc>
        <w:tc>
          <w:tcPr>
            <w:tcW w:type="dxa" w:w="1411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−19.4%</w:t>
            </w:r>
          </w:p>
        </w:tc>
        <w:tc>
          <w:tcPr>
            <w:tcW w:type="dxa" w:w="1310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−53.1%</w:t>
            </w:r>
          </w:p>
        </w:tc>
        <w:tc>
          <w:tcPr>
            <w:tcW w:type="dxa" w:w="1311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302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Full history</w:t>
            </w:r>
          </w:p>
        </w:tc>
        <w:tc>
          <w:tcPr>
            <w:tcW w:type="dxa" w:w="151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26,332%</w:t>
            </w:r>
          </w:p>
        </w:tc>
        <w:tc>
          <w:tcPr>
            <w:tcW w:type="dxa" w:w="151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22,067%</w:t>
            </w:r>
          </w:p>
        </w:tc>
        <w:tc>
          <w:tcPr>
            <w:tcW w:type="dxa" w:w="141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−70.1%</w:t>
            </w:r>
          </w:p>
        </w:tc>
        <w:tc>
          <w:tcPr>
            <w:tcW w:type="dxa" w:w="1310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−83.8%</w:t>
            </w:r>
          </w:p>
        </w:tc>
        <w:tc>
          <w:tcPr>
            <w:tcW w:type="dxa" w:w="1311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23</w:t>
            </w:r>
          </w:p>
        </w:tc>
      </w:tr>
    </w:tbl>
    <w:p>
      <w:pPr>
        <w:pStyle w:val="Heading3"/>
      </w:pPr>
      <w:r>
        <w:t xml:space="preserve">2018–2019 — the strongest evidence</w:t>
      </w:r>
    </w:p>
    <w:p>
      <w:r>
        <w:t xml:space="preserve">The strategy returned 71.1% while buy-and-hold lost 4.1%, and roughly halved the drawdown. This is precisely what a trend filter is supposed to do: sit out the 2018 collapse, participate in the 2019 recovery. It is the clearest sign the logic is sound rather than lucky.</w:t>
      </w:r>
    </w:p>
    <w:p>
      <w:pPr>
        <w:pStyle w:val="Heading3"/>
      </w:pPr>
      <w:r>
        <w:t xml:space="preserve">2020–2024 — the original claim, corrected</w:t>
      </w:r>
    </w:p>
    <w:p>
      <w:r>
        <w:t xml:space="preserve">This is the window the original bot.py reported on. With fees included, the strategy beat buy-and-hold by 82 percentage points on a 917% move, across 13 round trips. A real but modest edge — considerably less impressive than a costless backtest suggests.</w:t>
      </w:r>
    </w:p>
    <w:p>
      <w:pPr>
        <w:pStyle w:val="Heading3"/>
      </w:pPr>
      <w:r>
        <w:t xml:space="preserve">2025–today — out of sample, and the honest one</w:t>
      </w:r>
    </w:p>
    <w:p>
      <w:r>
        <w:t xml:space="preserve">This period was never used to choose any parameter. The strategy lost 3.0%. Buy-and-hold lost 27.1%. Drawdown was 19.4% against 53.1%.</w:t>
      </w:r>
    </w:p>
    <w:p>
      <w:r>
        <w:rPr>
          <w:b/>
          <w:bCs/>
        </w:rPr>
        <w:t xml:space="preserve">The strategy did not make money out of sample. It preserved capital. </w:t>
      </w:r>
      <w:r>
        <w:t xml:space="preserve">That is a legitimate outcome and arguably the whole point of a trend filter — but it is not the same thing as a profitable trading system, and it should be described accurately.</w:t>
      </w:r>
    </w:p>
    <w:p>
      <w:pPr>
        <w:pStyle w:val="Heading3"/>
      </w:pPr>
      <w:r>
        <w:t xml:space="preserve">2015–2017 — zero trades</w:t>
      </w:r>
    </w:p>
    <w:p>
      <w:r>
        <w:t xml:space="preserve">The strategy made no completed round trips: it bought early and simply held, producing results identical to buy-and-hold. Worth knowing, because it demonstrates that in a sustained bull market the system contributes nothing except its own fees.</w:t>
      </w:r>
    </w:p>
    <w:p>
      <w:pPr>
        <w:pStyle w:val="Heading1"/>
      </w:pPr>
      <w:r>
        <w:t xml:space="preserve">4. Parameter sensitivity</w:t>
      </w:r>
    </w:p>
    <w:p>
      <w:r>
        <w:t xml:space="preserve">Twenty-five combinations of the short and long moving averages, scored on Calmar. Ranking by total return would be close to meaningless on an asset that rose 22,000% — the ranking would mostly measure who happened to be invested during the two biggest runs.</w:t>
      </w:r>
    </w:p>
    <w:p>
      <w:pPr>
        <w:pStyle w:val="Code"/>
        <w:shd w:fill="F2F5F7" w:val="clear"/>
        <w:spacing w:after="0" w:before="40"/>
      </w:pPr>
      <w:r>
        <w:t xml:space="preserve">short\long    100     120     150     180     200</w:t>
      </w:r>
    </w:p>
    <w:p>
      <w:pPr>
        <w:pStyle w:val="Code"/>
        <w:shd w:fill="F2F5F7" w:val="clear"/>
        <w:spacing w:after="0" w:before="0"/>
      </w:pPr>
      <w:r>
        <w:t xml:space="preserve">  3          1.54    1.64    1.25    0.96    0.80</w:t>
      </w:r>
    </w:p>
    <w:p>
      <w:pPr>
        <w:pStyle w:val="Code"/>
        <w:shd w:fill="F2F5F7" w:val="clear"/>
        <w:spacing w:after="0" w:before="0"/>
      </w:pPr>
      <w:r>
        <w:t xml:space="preserve">  5          1.74    1.45    0.98*   0.90    0.81</w:t>
      </w:r>
    </w:p>
    <w:p>
      <w:pPr>
        <w:pStyle w:val="Code"/>
        <w:shd w:fill="F2F5F7" w:val="clear"/>
        <w:spacing w:after="0" w:before="0"/>
      </w:pPr>
      <w:r>
        <w:t xml:space="preserve">  8          1.65    1.29    0.88    0.86    0.83</w:t>
      </w:r>
    </w:p>
    <w:p>
      <w:pPr>
        <w:pStyle w:val="Code"/>
        <w:shd w:fill="F2F5F7" w:val="clear"/>
        <w:spacing w:after="0" w:before="0"/>
      </w:pPr>
      <w:r>
        <w:t xml:space="preserve"> 10          1.61    1.30    0.91    0.79    0.73</w:t>
      </w:r>
    </w:p>
    <w:p>
      <w:pPr>
        <w:pStyle w:val="Code"/>
        <w:shd w:fill="F2F5F7" w:val="clear"/>
        <w:spacing w:after="0" w:before="0"/>
      </w:pPr>
      <w:r>
        <w:t xml:space="preserve"> 20          1.29    0.93    0.84    0.80    0.77</w:t>
      </w:r>
    </w:p>
    <w:p>
      <w:pPr>
        <w:pStyle w:val="Code"/>
        <w:shd w:fill="F2F5F7" w:val="clear"/>
        <w:spacing w:after="0" w:before="0"/>
      </w:pPr>
      <w:r>
        <w:t xml:space="preserve"> </w:t>
      </w:r>
    </w:p>
    <w:p>
      <w:pPr>
        <w:pStyle w:val="Code"/>
        <w:shd w:fill="F2F5F7" w:val="clear"/>
        <w:spacing w:after="200" w:before="0"/>
      </w:pPr>
      <w:r>
        <w:t xml:space="preserve">best 1.74    worst 0.73    median 0.93    (* = current 5/150)</w:t>
      </w:r>
    </w:p>
    <w:p>
      <w:pPr>
        <w:pStyle w:val="Heading3"/>
      </w:pPr>
      <w:r>
        <w:t xml:space="preserve">The good news</w:t>
      </w:r>
    </w:p>
    <w:p>
      <w:r>
        <w:t xml:space="preserve">That is a smooth, monotonic gradient, not an isolated spike. Performance declines consistently as the long MA lengthens, across every single short-MA value. Consistency of that kind indicates real structure in the data rather than noise — the strategy is not a curve-fitting artefact.</w:t>
      </w:r>
    </w:p>
    <w:p>
      <w:pPr>
        <w:pStyle w:val="Heading3"/>
      </w:pPr>
      <w:r>
        <w:t xml:space="preserve">The bad news</w:t>
      </w:r>
    </w:p>
    <w:p>
      <w:r>
        <w:t xml:space="preserve">The current 5/150 scores 0.98 and is beaten by 10 of the 25 combinations. 5/100 scores 1.74 — nearly double. The chosen parameters sit on the wrong side of the gradient.</w:t>
      </w:r>
    </w:p>
    <w:tbl>
      <w:tblPr>
        <w:tblW w:type="dxa" w:w="10080"/>
        <w:tblBorders>
          <w:top w:val="none"/>
          <w:left w:val="single" w:color="A32C2C" w:sz="18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F9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A32C2C"/>
                <w:sz w:val="20"/>
                <w:szCs w:val="20"/>
              </w:rPr>
              <w:t xml:space="preserve">Do not simply switch to 5/100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Selecting the best-performing parameters from the same data used to evaluate them is overfitting, regardless of how convincing the gradient looks. The only honest way to change a parameter is walk-forward validation: fit on 2015–2018, test on 2019, roll forward a year, repeat. If shorter long-MAs win in most rolling windows, the finding is real. Until that test is run, 5/150 should stay.</w:t>
            </w:r>
          </w:p>
        </w:tc>
      </w:tr>
    </w:tbl>
    <w:p>
      <w:pPr>
        <w:pStyle w:val="Heading1"/>
      </w:pPr>
      <w:r>
        <w:t xml:space="preserve">5. The stop loss is not doing its job</w:t>
      </w:r>
    </w:p>
    <w:p>
      <w:r>
        <w:t xml:space="preserve">The 15% stop loss triggered once in 23 round trips over 10.6 years. In every other exit, the moving-average signal fired first. In practice the stop is close to decorative.</w:t>
      </w:r>
    </w:p>
    <w:p>
      <w:r>
        <w:t xml:space="preserve">It also does not do what its name implies. It measures from the entry price, not from the position’s high. A position up 30% can give back 20% from its peak and still sit comfortably above the stop. That is why the 2025–26 window reached a 19.4% drawdown with zero stop-loss exits.</w:t>
      </w:r>
    </w:p>
    <w:p>
      <w:pPr>
        <w:pStyle w:val="Heading3"/>
      </w:pPr>
      <w:r>
        <w:t xml:space="preserve">Trailing stop: tested and rejected</w:t>
      </w:r>
    </w:p>
    <w:p>
      <w:r>
        <w:t xml:space="preserve">The obvious fix is to measure the stop from the high-water mark instead. It was implemented and tested. It is worse:</w:t>
      </w:r>
    </w:p>
    <w:tbl>
      <w:tblPr>
        <w:tblW w:type="dxa" w:w="10080"/>
        <w:tblBorders>
          <w:top w:val="single" w:color="C8D2D9" w:sz="2"/>
          <w:left w:val="none"/>
          <w:bottom w:val="single" w:color="C8D2D9" w:sz="2"/>
          <w:right w:val="none"/>
          <w:insideH w:val="single" w:color="E2E8EC" w:sz="2"/>
          <w:insideV w:val="none"/>
        </w:tblBorders>
      </w:tblPr>
      <w:tblGrid>
        <w:gridCol w:w="2822"/>
        <w:gridCol w:w="1814"/>
        <w:gridCol w:w="1814"/>
        <w:gridCol w:w="1814"/>
        <w:gridCol w:w="1816"/>
      </w:tblGrid>
      <w:tr>
        <w:trPr>
          <w:tblHeader/>
        </w:trPr>
        <w:tc>
          <w:tcPr>
            <w:tcW w:type="dxa" w:w="2822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  <w:tc>
          <w:tcPr>
            <w:tcW w:type="dxa" w:w="1814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Entry stop</w:t>
            </w:r>
          </w:p>
        </w:tc>
        <w:tc>
          <w:tcPr>
            <w:tcW w:type="dxa" w:w="1814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Trailing stop</w:t>
            </w:r>
          </w:p>
        </w:tc>
        <w:tc>
          <w:tcPr>
            <w:tcW w:type="dxa" w:w="1814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Entry DD</w:t>
            </w:r>
          </w:p>
        </w:tc>
        <w:tc>
          <w:tcPr>
            <w:tcW w:type="dxa" w:w="1816"/>
            <w:shd w:fill="1F4E5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Trailing DD</w:t>
            </w:r>
          </w:p>
        </w:tc>
      </w:tr>
      <w:tr>
        <w:tc>
          <w:tcPr>
            <w:tcW w:type="dxa" w:w="282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2015–2017 early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3,473%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2,977%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−36.3%</w:t>
            </w:r>
          </w:p>
        </w:tc>
        <w:tc>
          <w:tcPr>
            <w:tcW w:type="dxa" w:w="181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−37.1%</w:t>
            </w:r>
          </w:p>
        </w:tc>
      </w:tr>
      <w:tr>
        <w:tc>
          <w:tcPr>
            <w:tcW w:type="dxa" w:w="2822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2018–2019 bear</w:t>
            </w:r>
          </w:p>
        </w:tc>
        <w:tc>
          <w:tcPr>
            <w:tcW w:type="dxa" w:w="181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71.1%</w:t>
            </w:r>
          </w:p>
        </w:tc>
        <w:tc>
          <w:tcPr>
            <w:tcW w:type="dxa" w:w="181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57.7%</w:t>
            </w:r>
          </w:p>
        </w:tc>
        <w:tc>
          <w:tcPr>
            <w:tcW w:type="dxa" w:w="181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−34.9%</w:t>
            </w:r>
          </w:p>
        </w:tc>
        <w:tc>
          <w:tcPr>
            <w:tcW w:type="dxa" w:w="1816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−40.0%</w:t>
            </w:r>
          </w:p>
        </w:tc>
      </w:tr>
      <w:tr>
        <w:tc>
          <w:tcPr>
            <w:tcW w:type="dxa" w:w="282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2020–2024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999.2%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589.3%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−50.0%</w:t>
            </w:r>
          </w:p>
        </w:tc>
        <w:tc>
          <w:tcPr>
            <w:tcW w:type="dxa" w:w="181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−51.7%</w:t>
            </w:r>
          </w:p>
        </w:tc>
      </w:tr>
      <w:tr>
        <w:tc>
          <w:tcPr>
            <w:tcW w:type="dxa" w:w="2822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color w:val="1A1A1A"/>
                <w:sz w:val="19"/>
                <w:szCs w:val="19"/>
              </w:rPr>
              <w:t xml:space="preserve">2025–today</w:t>
            </w:r>
          </w:p>
        </w:tc>
        <w:tc>
          <w:tcPr>
            <w:tcW w:type="dxa" w:w="181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−3.0%</w:t>
            </w:r>
          </w:p>
        </w:tc>
        <w:tc>
          <w:tcPr>
            <w:tcW w:type="dxa" w:w="181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−3.0%</w:t>
            </w:r>
          </w:p>
        </w:tc>
        <w:tc>
          <w:tcPr>
            <w:tcW w:type="dxa" w:w="1814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−19.4%</w:t>
            </w:r>
          </w:p>
        </w:tc>
        <w:tc>
          <w:tcPr>
            <w:tcW w:type="dxa" w:w="1816"/>
            <w:shd w:fill="F6F9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−19.4%</w:t>
            </w:r>
          </w:p>
        </w:tc>
      </w:tr>
      <w:tr>
        <w:tc>
          <w:tcPr>
            <w:tcW w:type="dxa" w:w="2822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Full history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26,332%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A32C2C"/>
                <w:sz w:val="19"/>
                <w:szCs w:val="19"/>
              </w:rPr>
              <w:t xml:space="preserve">13,760%</w:t>
            </w:r>
          </w:p>
        </w:tc>
        <w:tc>
          <w:tcPr>
            <w:tcW w:type="dxa" w:w="1814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1A1A1A"/>
                <w:sz w:val="19"/>
                <w:szCs w:val="19"/>
              </w:rPr>
              <w:t xml:space="preserve">−70.1%</w:t>
            </w:r>
          </w:p>
        </w:tc>
        <w:tc>
          <w:tcPr>
            <w:tcW w:type="dxa" w:w="1816"/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52"/>
              <w:jc w:val="right"/>
            </w:pPr>
            <w:r>
              <w:rPr>
                <w:color w:val="A32C2C"/>
                <w:sz w:val="19"/>
                <w:szCs w:val="19"/>
              </w:rPr>
              <w:t xml:space="preserve">−71.2%</w:t>
            </w:r>
          </w:p>
        </w:tc>
      </w:tr>
    </w:tbl>
    <w:p>
      <w:r>
        <w:t xml:space="preserve">Lower returns in every period and marginally worse drawdown. The mechanism is whipsaw: in an asset this volatile, a trailing stop ejects the position during ordinary pullbacks that would have recovered. The entry-based stop stays.</w:t>
      </w:r>
    </w:p>
    <w:p>
      <w:pPr>
        <w:pStyle w:val="Heading1"/>
      </w:pPr>
      <w:r>
        <w:t xml:space="preserve">6. Things worth knowing before trading this</w:t>
      </w:r>
    </w:p>
    <w:p>
      <w:pPr>
        <w:pStyle w:val="Heading3"/>
      </w:pPr>
      <w:r>
        <w:t xml:space="preserve">The win rate is 34.8%</w:t>
      </w:r>
    </w:p>
    <w:p>
      <w:r>
        <w:t xml:space="preserve">Roughly two in three trades lose money. That is normal and expected for trend-following — a small number of large winners pay for a long tail of small losers — but it means long stretches of being wrong. The common failure mode for systematic traders is not a bad strategy; it is overriding a good one during a losing streak.</w:t>
      </w:r>
    </w:p>
    <w:p>
      <w:pPr>
        <w:pStyle w:val="Heading3"/>
      </w:pPr>
      <w:r>
        <w:t xml:space="preserve">It trades about twice a year</w:t>
      </w:r>
    </w:p>
    <w:p>
      <w:r>
        <w:t xml:space="preserve">Twenty-three round trips across 10.6 years. This is not day trading and will never feel like it. Most days the bot will report “hold” and do nothing.</w:t>
      </w:r>
    </w:p>
    <w:p>
      <w:pPr>
        <w:pStyle w:val="Heading3"/>
      </w:pPr>
      <w:r>
        <w:t xml:space="preserve">Results are sensitive to the start date</w:t>
      </w:r>
    </w:p>
    <w:p>
      <w:r>
        <w:t xml:space="preserve">Running the same strategy from different 2025 start months produces returns between −3.0% and +9.5%. Buy-and-hold over the same starts ranges from −27.1% to −0.2%, so the strategy is in fact the more stable of the two — but any single window’s number should be treated as one sample, not a result.</w:t>
      </w:r>
    </w:p>
    <w:p>
      <w:pPr>
        <w:pStyle w:val="Heading3"/>
      </w:pPr>
      <w:r>
        <w:t xml:space="preserve">Fees scale with trading frequency</w:t>
      </w:r>
    </w:p>
    <w:p>
      <w:r>
        <w:t xml:space="preserve">$125,259 in fees on a final equity of $2.6M is about 5% — acceptable at 23 trades. If a future parameter change increases turnover, that figure grows quickly and quietly, which is exactly how a paper edge disappears in production.</w:t>
      </w:r>
    </w:p>
    <w:p>
      <w:pPr>
        <w:pStyle w:val="Heading1"/>
      </w:pPr>
      <w:r>
        <w:t xml:space="preserve">7. Recommendation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 not go live.</w:t>
      </w:r>
      <w:r>
        <w:t xml:space="preserve"> There is no demonstrated edge that justifies the risk. The out-of-sample period lost money.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Keep paper trading.</w:t>
      </w:r>
      <w:r>
        <w:t xml:space="preserve"> The bot is running daily and costs nothing. In six months there will be a real record rather than a simulation. A paper position is currently open: 0.115124 BTC at $86,637.10.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Run walk-forward validation before changing any parameter.</w:t>
      </w:r>
      <w:r>
        <w:t xml:space="preserve"> The sweep strongly suggests a shorter long-MA, but acting on it without walk-forward testing is overfitting.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Reframe what this is.</w:t>
      </w:r>
      <w:r>
        <w:t xml:space="preserve"> It is a risk overlay on a long-BTC position that produces roughly buy-and-hold returns with materially less drawdown. It is not an income source and will not replace a salary.</w:t>
      </w:r>
    </w:p>
    <w:tbl>
      <w:tblPr>
        <w:tblW w:type="dxa" w:w="10080"/>
        <w:tblBorders>
          <w:top w:val="none"/>
          <w:left w:val="single" w:color="1F4E5F" w:sz="18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7F9F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F4E5F"/>
                <w:sz w:val="20"/>
                <w:szCs w:val="20"/>
              </w:rPr>
              <w:t xml:space="preserve">If the goal is income rather than risk reduction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This strategy answers the question “how do I hold BTC with less pain?” It does not answer “how do I generate returns uncorrelated with BTC?” Those need different approaches — shorting, multiple assets, or a genuinely different signal — and each needs its own validation from scratch. The infrastructure built here (data layer, paper broker, backtest harness) supports testing any of them, which is arguably its greater value.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672"/>
        <w:sz w:val="16"/>
        <w:szCs w:val="16"/>
      </w:rPr>
      <w:t xml:space="preserve">BTC Trend Strategy — Validation Analysis   ·   </w:t>
    </w:r>
    <w:r>
      <w:rPr>
        <w:color w:val="5A66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31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Calibri" w:cs="Calibri" w:eastAsia="Calibri" w:hAnsi="Calibri"/>
      <w:b/>
      <w:bCs/>
      <w:color w:val="1F4E5F"/>
      <w:sz w:val="40"/>
      <w:szCs w:val="40"/>
    </w:rPr>
  </w:style>
  <w:style w:type="paragraph" w:styleId="Subtitle">
    <w:name w:val="Subtitle"/>
    <w:basedOn w:val="Normal"/>
    <w:next w:val="Normal"/>
    <w:pPr>
      <w:spacing w:after="320"/>
    </w:pPr>
    <w:rPr>
      <w:rFonts w:ascii="Calibri" w:cs="Calibri" w:eastAsia="Calibri" w:hAnsi="Calibri"/>
      <w:color w:val="5A6672"/>
      <w:sz w:val="22"/>
      <w:szCs w:val="22"/>
    </w:rPr>
  </w:style>
  <w:style w:type="paragraph" w:styleId="Heading1">
    <w:name w:val="Heading 1"/>
    <w:basedOn w:val="Normal"/>
    <w:next w:val="Normal"/>
    <w:qFormat/>
    <w:pPr>
      <w:pBdr>
        <w:bottom w:val="single" w:color="D4DCE2" w:sz="6" w:space="6"/>
      </w:pBdr>
      <w:spacing w:after="140" w:before="360"/>
    </w:pPr>
    <w:rPr>
      <w:rFonts w:ascii="Calibri" w:cs="Calibri" w:eastAsia="Calibri" w:hAnsi="Calibri"/>
      <w:b/>
      <w:bCs/>
      <w:color w:val="1F4E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Calibri" w:cs="Calibri" w:eastAsia="Calibri" w:hAnsi="Calibri"/>
      <w:b/>
      <w:bCs/>
      <w:color w:val="2E3B44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2E3B44"/>
      <w:sz w:val="21"/>
      <w:szCs w:val="21"/>
    </w:rPr>
  </w:style>
  <w:style w:type="paragraph" w:styleId="Code">
    <w:name w:val="Code"/>
    <w:basedOn w:val="Normal"/>
    <w:next w:val="Normal"/>
    <w:pPr>
      <w:spacing w:after="40" w:line="240"/>
      <w:ind w:left="288"/>
    </w:pPr>
    <w:rPr>
      <w:rFonts w:ascii="Consolas" w:cs="Consolas" w:eastAsia="Consolas" w:hAnsi="Consolas"/>
      <w:color w:val="24303A"/>
      <w:sz w:val="18"/>
      <w:szCs w:val="18"/>
    </w:rPr>
  </w:style>
  <w:style w:type="paragraph" w:styleId="Caption">
    <w:name w:val="Caption"/>
    <w:basedOn w:val="Normal"/>
    <w:next w:val="Normal"/>
    <w:pPr>
      <w:spacing w:after="200" w:before="40"/>
    </w:pPr>
    <w:rPr>
      <w:i/>
      <w:iCs/>
      <w:color w:val="5A6672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2026-09-22T12:57:11.781Z</dcterms:created>
  <dcterms:modified xsi:type="dcterms:W3CDTF">2026-09-22T12:57:11.781Z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