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0D1420"/>
          <w:sz w:val="56"/>
          <w:szCs w:val="56"/>
        </w:rPr>
        <w:t xml:space="preserve">SETU</w:t>
      </w:r>
      <w:r>
        <w:rPr>
          <w:rFonts w:ascii="Calibri" w:cs="Calibri" w:eastAsia="Calibri" w:hAnsi="Calibri"/>
          <w:color w:val="5B6672"/>
          <w:sz w:val="20"/>
          <w:szCs w:val="20"/>
        </w:rPr>
        <w:t xml:space="preserve">   सेतु · the bridge</w:t>
      </w:r>
    </w:p>
    <w:p>
      <w:pPr>
        <w:spacing w:after="60" w:line="276"/>
      </w:pPr>
      <w:r>
        <w:rPr>
          <w:rFonts w:ascii="Cambria" w:cs="Cambria" w:eastAsia="Cambria" w:hAnsi="Cambria"/>
          <w:color w:val="0F7B6C"/>
          <w:sz w:val="26"/>
          <w:szCs w:val="26"/>
        </w:rPr>
        <w:t xml:space="preserve">An offline comprehension engine for India's language gap</w:t>
      </w:r>
    </w:p>
    <w:p>
      <w:pPr>
        <w:spacing w:after="60" w:line="276"/>
      </w:pPr>
      <w:r>
        <w:rPr>
          <w:rFonts w:ascii="Calibri" w:cs="Calibri" w:eastAsia="Calibri" w:hAnsi="Calibri"/>
          <w:color w:val="5B6672"/>
          <w:sz w:val="19"/>
          <w:szCs w:val="19"/>
        </w:rPr>
        <w:t xml:space="preserve">Brief Project Description — Snapdragon® AI Lab Build &amp; Present Challenge</w:t>
      </w:r>
    </w:p>
    <w:p>
      <w:pPr>
        <w:pBdr>
          <w:bottom w:val="single" w:color="DFE4EA" w:sz="6"/>
        </w:pBdr>
        <w:spacing w:after="20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0F7B6C"/>
          <w:sz w:val="30"/>
          <w:szCs w:val="30"/>
        </w:rPr>
        <w:t xml:space="preserve">1. The problem</w:t>
      </w:r>
    </w:p>
    <w:p>
      <w:pPr>
        <w:spacing w:after="14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A patient at an Indian district hospital is told, in English, that they have hypertension. Take amlodipine 5 mg od. Get a fasting lipid profile. Come back immediately if you get chest pain.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0F7B6C"/>
          <w:sz w:val="21"/>
          <w:szCs w:val="21"/>
        </w:rPr>
        <w:t xml:space="preserve">They nod. They say “haan ji.” They go home.</w:t>
      </w:r>
    </w:p>
    <w:p>
      <w:pPr>
        <w:spacing w:after="14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They did not understand “od”. They did not understand “fasting”. And they do not know that chest pain means return now rather than at the follow-up.</w:t>
      </w:r>
    </w:p>
    <w:p>
      <w:pPr>
        <w:spacing w:after="14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This is not a translation problem — a phone can translate. It is a comprehension problem, and its defining feature is that nobody in the room ever finds out it happened. The WHO puts adherence to long-term therapy in developing countries at roughly 50%; “the patient never understood the instruction” is a large and unglamorous share of that.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0F7B6C"/>
          <w:sz w:val="30"/>
          <w:szCs w:val="30"/>
        </w:rPr>
        <w:t xml:space="preserve">2. What SETU does</w:t>
      </w:r>
    </w:p>
    <w:p>
      <w:pPr>
        <w:spacing w:after="14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A laptop sits on the clinician's desk and listens to the whole consultation with the network disabled. The patient never touches it and needs no phone — their interface is a printed card.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Transcribes each turn and shows it in the patient's own language.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Flags the jargon the patient almost certainly did not parse — “od”, “fasting”, “lipid profile” — with a plain-language gloss the clinician can read aloud.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Extracts the care plan as it is given: medicines, tests, follow-up, red flags, lifestyle.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Runs a teach-back check — the patient repeats the plan in their own words, and SETU verifies it against what was actually said.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Prints a take-home card in the patient's language, ordered by consequence.</w:t>
      </w:r>
    </w:p>
    <w:p>
      <w:pPr>
        <w:spacing w:after="10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The fourth step is the product. It is delivered while the patient is still in the room: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B3261E"/>
          <w:sz w:val="22"/>
          <w:szCs w:val="22"/>
        </w:rPr>
        <w:t xml:space="preserve">“2 of 5 understood. </w:t>
      </w:r>
      <w:r>
        <w:rPr>
          <w:rFonts w:ascii="Calibri" w:cs="Calibri" w:eastAsia="Calibri" w:hAnsi="Calibri"/>
          <w:color w:val="B3261E"/>
          <w:sz w:val="22"/>
          <w:szCs w:val="22"/>
        </w:rPr>
        <w:t xml:space="preserve">The patient did not repeat back: if you get chest pain or breathlessness, come immediately to the emergency.”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0D1420"/>
          <w:sz w:val="21"/>
          <w:szCs w:val="21"/>
        </w:rPr>
        <w:t xml:space="preserve">Anyone can build a translator. SETU is a comprehension check — closer to a clinical safety instrument than to a language tool.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0F7B6C"/>
          <w:sz w:val="30"/>
          <w:szCs w:val="30"/>
        </w:rPr>
        <w:t xml:space="preserve">3. One engine, three settings</w:t>
      </w:r>
    </w:p>
    <w:p>
      <w:pPr>
        <w:spacing w:after="14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Strip the vocabulary away and the clinic, the classroom and the government counter are the same problem: two people, a knowledge gap, one side issuing instructions, and nobody checking they landed. SETU ships one engine and three domain profiles.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c>
          <w:tcPr>
            <w:tcW w:type="dxa" w:w="3200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0D1420"/>
                <w:sz w:val="20"/>
                <w:szCs w:val="20"/>
              </w:rPr>
              <w:t xml:space="preserve">Clinic — doctor → patient</w:t>
            </w:r>
          </w:p>
        </w:tc>
        <w:tc>
          <w:tcPr>
            <w:tcW w:type="dxa" w:w="6100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B6672"/>
                <w:sz w:val="20"/>
                <w:szCs w:val="20"/>
              </w:rPr>
              <w:t xml:space="preserve">Catches od, fasting, lipid profile. Card ordered with red flags first.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0D1420"/>
                <w:sz w:val="20"/>
                <w:szCs w:val="20"/>
              </w:rPr>
              <w:t xml:space="preserve">Classroom — teacher → student</w:t>
            </w:r>
          </w:p>
        </w:tc>
        <w:tc>
          <w:tcPr>
            <w:tcW w:type="dxa" w:w="6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B6672"/>
                <w:sz w:val="20"/>
                <w:szCs w:val="20"/>
              </w:rPr>
              <w:t xml:space="preserve">Catches weightage, internal, plagiarism. Card ordered with exam dates first.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0D1420"/>
                <w:sz w:val="20"/>
                <w:szCs w:val="20"/>
              </w:rPr>
              <w:t xml:space="preserve">Counter — officer → citizen</w:t>
            </w:r>
          </w:p>
        </w:tc>
        <w:tc>
          <w:tcPr>
            <w:tcW w:type="dxa" w:w="6100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B6672"/>
                <w:sz w:val="20"/>
                <w:szCs w:val="20"/>
              </w:rPr>
              <w:t xml:space="preserve">Catches self attested, BPL, acknowledgement. Card ordered with the deadline first.</w:t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Each profile supplies a jargon lexicon, instruction categories ordered by consequence, teach-back questions and card headings. Adding a fourth setting — a courtroom, a bank, a panchayat — means writing one Domain object, not another application. The test suite fails if one domain's vocabulary leaks into another.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0F7B6C"/>
          <w:sz w:val="30"/>
          <w:szCs w:val="30"/>
        </w:rPr>
        <w:t xml:space="preserve">4. Why this requires Snapdragon</w:t>
      </w:r>
    </w:p>
    <w:p>
      <w:pPr>
        <w:spacing w:after="14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Three reasons, and only the third is a performance argument.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F7B6C"/>
          <w:sz w:val="21"/>
          <w:szCs w:val="21"/>
        </w:rPr>
        <w:t xml:space="preserve">It is un-cloudable. </w:t>
      </w:r>
      <w:r>
        <w:rPr>
          <w:rFonts w:ascii="Calibri" w:cs="Calibri" w:eastAsia="Calibri" w:hAnsi="Calibri"/>
          <w:color w:val="0D1420"/>
          <w:sz w:val="21"/>
          <w:szCs w:val="21"/>
        </w:rPr>
        <w:t xml:space="preserve">A consultation is protected health information. “Send the audio to a data centre” is not a design choice available to us. On-device is the requirement, not the optimisation.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F7B6C"/>
          <w:sz w:val="21"/>
          <w:szCs w:val="21"/>
        </w:rPr>
        <w:t xml:space="preserve">It must work where the link does not. </w:t>
      </w:r>
      <w:r>
        <w:rPr>
          <w:rFonts w:ascii="Calibri" w:cs="Calibri" w:eastAsia="Calibri" w:hAnsi="Calibri"/>
          <w:color w:val="0D1420"/>
          <w:sz w:val="21"/>
          <w:szCs w:val="21"/>
        </w:rPr>
        <w:t xml:space="preserve">A primary health centre with an intermittent connection is the normal case, not the edge case.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F7B6C"/>
          <w:sz w:val="21"/>
          <w:szCs w:val="21"/>
        </w:rPr>
        <w:t xml:space="preserve">The workload is sustained, not bursty. </w:t>
      </w:r>
      <w:r>
        <w:rPr>
          <w:rFonts w:ascii="Calibri" w:cs="Calibri" w:eastAsia="Calibri" w:hAnsi="Calibri"/>
          <w:color w:val="0D1420"/>
          <w:sz w:val="21"/>
          <w:szCs w:val="21"/>
        </w:rPr>
        <w:t xml:space="preserve">Continuous speech recognition across a six-hour clinic day is precisely what an NPU exists for and what a CPU cannot afford on battery.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D1420"/>
          <w:sz w:val="24"/>
          <w:szCs w:val="24"/>
        </w:rPr>
        <w:t xml:space="preserve">Hexa-Router</w:t>
      </w:r>
    </w:p>
    <w:p>
      <w:pPr>
        <w:spacing w:after="14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Most on-device demonstrations hard-code “put everything on the NPU”. That is wrong for a real workload: the NPU is shared and finite, some operators fall back regardless, and the right answer changes the moment the charger comes out.</w:t>
      </w:r>
    </w:p>
    <w:p>
      <w:pPr>
        <w:spacing w:after="14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Hexa-Router decides placement per model, per request, from four inputs: each model's deployment envelope; live power state (AC versus battery, charge level, thermal pressure); request priority (interactive, streaming or background); and a cost model learned on the specific machine from measured latency and marginal energy. It applies hysteresis, because rebuilding a QNN session costs hundreds of milliseconds and thrashing on noise would cost more than any placement gain. It selects the QNN HTP performance mode per placement — burst for interactive turns, sustained_high_performance for all-day streaming, power_saver under battery pressure.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0F7B6C"/>
          <w:sz w:val="30"/>
          <w:szCs w:val="30"/>
        </w:rPr>
        <w:t xml:space="preserve">5. Evidence</w:t>
      </w:r>
    </w:p>
    <w:p>
      <w:pPr>
        <w:spacing w:after="14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Most submissions state that they built something. This one measures whether the central claim is true, on a labelled corpus of sessions spanning all three settings.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c>
          <w:tcPr>
            <w:tcW w:type="dxa" w:w="3200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0D1420"/>
                <w:sz w:val="20"/>
                <w:szCs w:val="20"/>
              </w:rPr>
              <w:t xml:space="preserve">0 dangerous misses</w:t>
            </w:r>
          </w:p>
        </w:tc>
        <w:tc>
          <w:tcPr>
            <w:tcW w:type="dxa" w:w="6100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B6672"/>
                <w:sz w:val="20"/>
                <w:szCs w:val="20"/>
              </w:rPr>
              <w:t xml:space="preserve">Told the clinician the patient understood when they had not — the error that sends a patient home.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0D1420"/>
                <w:sz w:val="20"/>
                <w:szCs w:val="20"/>
              </w:rPr>
              <w:t xml:space="preserve">100% recall on missed items</w:t>
            </w:r>
          </w:p>
        </w:tc>
        <w:tc>
          <w:tcPr>
            <w:tcW w:type="dxa" w:w="6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B6672"/>
                <w:sz w:val="20"/>
                <w:szCs w:val="20"/>
              </w:rPr>
              <w:t xml:space="preserve">Of instructions the learner truly did not restate, the proportion SETU caught.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0D1420"/>
                <w:sz w:val="20"/>
                <w:szCs w:val="20"/>
              </w:rPr>
              <w:t xml:space="preserve">86.7% precision</w:t>
            </w:r>
          </w:p>
        </w:tc>
        <w:tc>
          <w:tcPr>
            <w:tcW w:type="dxa" w:w="6100"/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B6672"/>
                <w:sz w:val="20"/>
                <w:szCs w:val="20"/>
              </w:rPr>
              <w:t xml:space="preserve">Of the items flagged as missed, the proportion genuinely missed.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0D1420"/>
                <w:sz w:val="20"/>
                <w:szCs w:val="20"/>
              </w:rPr>
              <w:t xml:space="preserve">99 tests passing</w:t>
            </w:r>
          </w:p>
        </w:tc>
        <w:tc>
          <w:tcPr>
            <w:tcW w:type="dxa" w:w="6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B6672"/>
                <w:sz w:val="20"/>
                <w:szCs w:val="20"/>
              </w:rPr>
              <w:t xml:space="preserve">Green on a bare checkout with no model assets downloaded.</w:t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The two errors are not symmetric and are therefore not averaged together. A false alarm costs a clinician five seconds of repetition; a dangerous miss costs a patient. Thresholds were chosen at the operating point that keeps dangerous misses at zero — not the one that maximises F1.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D1420"/>
          <w:sz w:val="21"/>
          <w:szCs w:val="21"/>
        </w:rPr>
        <w:t xml:space="preserve">The evaluation overturned a design decision. </w:t>
      </w:r>
      <w:r>
        <w:rPr>
          <w:rFonts w:ascii="Calibri" w:cs="Calibri" w:eastAsia="Calibri" w:hAnsi="Calibri"/>
          <w:color w:val="0D1420"/>
          <w:sz w:val="21"/>
          <w:szCs w:val="21"/>
        </w:rPr>
        <w:t xml:space="preserve">Replacing keyword matching with sentence embeddings made the check worse (precision 81% → 76%): cosine similarity scores an imperative against a first-person promise lower than expected, and the covered and missed score ranges overlap. The two signals failed on different items, so the shipped scorer unions them, reaching 86.7% — better than either alone.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0F7B6C"/>
          <w:sz w:val="30"/>
          <w:szCs w:val="30"/>
        </w:rPr>
        <w:t xml:space="preserve">6. What runs today, and what does not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D1420"/>
          <w:sz w:val="24"/>
          <w:szCs w:val="24"/>
        </w:rPr>
        <w:t xml:space="preserve">Real inference, verified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Whisper speech recognition, verified end-to-end on real audio.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Live microphone capture → transcript → care plan.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Translation into eight Indian languages (Hindi, Telugu, Tamil, Kannada, Malayalam, Gujarati, Odia, Urdu).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Sentence embeddings and voice-activity detection.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Hexa-Router with battery draw measured from the Windows discharge counter.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D1420"/>
          <w:sz w:val="24"/>
          <w:szCs w:val="24"/>
        </w:rPr>
        <w:t xml:space="preserve">Honestly not finished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No Snapdragon device was available. The AI Hub profiling harness is written and is one command from producing verified on-device figures.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The reasoning path still uses a grounded extractive backend rather than the 3B LLM.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Marathi, Bengali and Punjabi have no working translation checkpoint; they are excluded and the interface labels them “(no translation)”.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Document capture (OCR) is stubbed.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0D1420"/>
          <w:sz w:val="21"/>
          <w:szCs w:val="21"/>
        </w:rPr>
        <w:t xml:space="preserve">Every fallback is labelled. The whole product runs on a reviewer's laptop with zero models downloaded, and anything on a fallback path is marked degraded in the API and on screen. SETU never passes a stub off as a real inference — in a clinical tool, that distinction is the difference between a demonstration and a lie.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0F7B6C"/>
          <w:sz w:val="30"/>
          <w:szCs w:val="30"/>
        </w:rPr>
        <w:t xml:space="preserve">7. Running it</w:t>
      </w:r>
    </w:p>
    <w:p>
      <w:pPr>
        <w:spacing w:after="140" w:line="276"/>
      </w:pPr>
      <w:r>
        <w:rPr>
          <w:rFonts w:ascii="Courier New" w:cs="Courier New" w:eastAsia="Courier New" w:hAnsi="Courier New"/>
          <w:color w:val="0D1420"/>
          <w:sz w:val="19"/>
          <w:szCs w:val="19"/>
        </w:rPr>
        <w:t xml:space="preserve">pip install -e .   →   python -m setu.server.app   →   open 127.0.0.1:8756</w:t>
      </w:r>
    </w:p>
    <w:p>
      <w:pPr>
        <w:spacing w:after="60" w:line="276"/>
      </w:pPr>
      <w:r>
        <w:rPr>
          <w:rFonts w:ascii="Calibri" w:cs="Calibri" w:eastAsia="Calibri" w:hAnsi="Calibri"/>
          <w:color w:val="0D1420"/>
          <w:sz w:val="21"/>
          <w:szCs w:val="21"/>
        </w:rPr>
        <w:t xml:space="preserve">Press “Replay sample visit”, then “Run teach-back”. Verify the machine with python -m setu.cli doctor; reproduce the evaluation with python scripts/run_eval.py --compare; benchmark with python scripts/run_bench.py.</w:t>
      </w:r>
    </w:p>
    <w:p>
      <w:pPr>
        <w:spacing w:after="140" w:line="276"/>
      </w:pPr>
      <w:r>
        <w:rPr>
          <w:rFonts w:ascii="Calibri" w:cs="Calibri" w:eastAsia="Calibri" w:hAnsi="Calibri"/>
          <w:color w:val="5B6672"/>
          <w:sz w:val="21"/>
          <w:szCs w:val="21"/>
        </w:rPr>
        <w:t xml:space="preserve">Architecture notes, model provenance and licences, benchmarks and the full evaluation are in the repository under docs/.</w:t>
      </w:r>
    </w:p>
    <w:sectPr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 — Brief Project Description</dc:title>
  <dc:creator>SETU</dc:creator>
  <cp:lastModifiedBy>Un-named</cp:lastModifiedBy>
  <cp:revision>1</cp:revision>
  <dcterms:created xsi:type="dcterms:W3CDTF">2026-09-12T12:52:50.185Z</dcterms:created>
  <dcterms:modified xsi:type="dcterms:W3CDTF">2026-09-12T12:52:50.187Z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