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mbria" w:cs="Cambria" w:eastAsia="Cambria" w:hAnsi="Cambria"/>
          <w:b/>
          <w:bCs/>
          <w:color w:val="0D1420"/>
          <w:sz w:val="56"/>
          <w:szCs w:val="56"/>
        </w:rPr>
        <w:t xml:space="preserve">SETU</w:t>
      </w:r>
      <w:r>
        <w:rPr>
          <w:rFonts w:ascii="Calibri" w:cs="Calibri" w:eastAsia="Calibri" w:hAnsi="Calibri"/>
          <w:color w:val="5B6672"/>
          <w:sz w:val="20"/>
          <w:szCs w:val="20"/>
        </w:rPr>
        <w:t xml:space="preserve">   सेतु · the bridge</w:t>
      </w:r>
    </w:p>
    <w:p>
      <w:pPr>
        <w:spacing w:after="60" w:line="276"/>
      </w:pPr>
      <w:r>
        <w:rPr>
          <w:rFonts w:ascii="Cambria" w:cs="Cambria" w:eastAsia="Cambria" w:hAnsi="Cambria"/>
          <w:color w:val="0F7B6C"/>
          <w:sz w:val="26"/>
          <w:szCs w:val="26"/>
        </w:rPr>
        <w:t xml:space="preserve">An offline comprehension engine for India's language gap</w:t>
      </w:r>
    </w:p>
    <w:p>
      <w:pPr>
        <w:spacing w:after="60" w:line="276"/>
      </w:pPr>
      <w:r>
        <w:rPr>
          <w:rFonts w:ascii="Calibri" w:cs="Calibri" w:eastAsia="Calibri" w:hAnsi="Calibri"/>
          <w:color w:val="5B6672"/>
          <w:sz w:val="19"/>
          <w:szCs w:val="19"/>
        </w:rPr>
        <w:t xml:space="preserve">Brief Project Description — Snapdragon® AI Lab Build &amp; Present Challenge</w:t>
      </w:r>
    </w:p>
    <w:p>
      <w:pPr>
        <w:pBdr>
          <w:bottom w:val="single" w:color="DFE4EA" w:sz="6"/>
        </w:pBdr>
        <w:spacing w:after="200" w:before="80"/>
      </w:pPr>
      <w:r>
        <w:t xml:space="preserve"/>
      </w:r>
    </w:p>
    <w:p>
      <w:pPr>
        <w:pStyle w:val="Heading1"/>
        <w:spacing w:after="160" w:before="320"/>
      </w:pPr>
      <w:r>
        <w:rPr>
          <w:rFonts w:ascii="Cambria" w:cs="Cambria" w:eastAsia="Cambria" w:hAnsi="Cambria"/>
          <w:b/>
          <w:bCs/>
          <w:color w:val="0F7B6C"/>
          <w:sz w:val="30"/>
          <w:szCs w:val="30"/>
        </w:rPr>
        <w:t xml:space="preserve">1. The problem</w:t>
      </w:r>
    </w:p>
    <w:p>
      <w:pPr>
        <w:spacing w:after="140" w:line="276"/>
      </w:pPr>
      <w:r>
        <w:rPr>
          <w:rFonts w:ascii="Calibri" w:cs="Calibri" w:eastAsia="Calibri" w:hAnsi="Calibri"/>
          <w:color w:val="0D1420"/>
          <w:sz w:val="21"/>
          <w:szCs w:val="21"/>
        </w:rPr>
        <w:t xml:space="preserve">A patient at an Indian district hospital is told, in English, that they have hypertension. Take amlodipine 5 mg od. Get a fasting lipid profile. Come back immediately if you get chest pain.</w:t>
      </w:r>
    </w:p>
    <w:p>
      <w:pPr>
        <w:spacing w:after="140" w:line="276"/>
      </w:pPr>
      <w:r>
        <w:rPr>
          <w:rFonts w:ascii="Calibri" w:cs="Calibri" w:eastAsia="Calibri" w:hAnsi="Calibri"/>
          <w:i/>
          <w:iCs/>
          <w:color w:val="0F7B6C"/>
          <w:sz w:val="21"/>
          <w:szCs w:val="21"/>
        </w:rPr>
        <w:t xml:space="preserve">They nod. They say “haan ji.” They go home.</w:t>
      </w:r>
    </w:p>
    <w:p>
      <w:pPr>
        <w:spacing w:after="140" w:line="276"/>
      </w:pPr>
      <w:r>
        <w:rPr>
          <w:rFonts w:ascii="Calibri" w:cs="Calibri" w:eastAsia="Calibri" w:hAnsi="Calibri"/>
          <w:color w:val="0D1420"/>
          <w:sz w:val="21"/>
          <w:szCs w:val="21"/>
        </w:rPr>
        <w:t xml:space="preserve">They did not understand “od”. They did not understand “fasting”. And they do not know that chest pain means return now rather than at the follow-up.</w:t>
      </w:r>
    </w:p>
    <w:p>
      <w:pPr>
        <w:spacing w:after="140" w:line="276"/>
      </w:pPr>
      <w:r>
        <w:rPr>
          <w:rFonts w:ascii="Calibri" w:cs="Calibri" w:eastAsia="Calibri" w:hAnsi="Calibri"/>
          <w:color w:val="0D1420"/>
          <w:sz w:val="21"/>
          <w:szCs w:val="21"/>
        </w:rPr>
        <w:t xml:space="preserve">This is not a translation problem — a phone can translate. It is a comprehension problem, and its defining feature is that nobody in the room ever finds out it happened. The WHO puts adherence to long-term therapy in developing countries at roughly 50%; “the patient never understood the instruction” is a large and unglamorous share of that.</w:t>
      </w:r>
    </w:p>
    <w:p>
      <w:pPr>
        <w:pStyle w:val="Heading1"/>
        <w:spacing w:after="160" w:before="320"/>
      </w:pPr>
      <w:r>
        <w:rPr>
          <w:rFonts w:ascii="Cambria" w:cs="Cambria" w:eastAsia="Cambria" w:hAnsi="Cambria"/>
          <w:b/>
          <w:bCs/>
          <w:color w:val="0F7B6C"/>
          <w:sz w:val="30"/>
          <w:szCs w:val="30"/>
        </w:rPr>
        <w:t xml:space="preserve">2. What SETU does</w:t>
      </w:r>
    </w:p>
    <w:p>
      <w:pPr>
        <w:spacing w:after="140" w:line="276"/>
      </w:pPr>
      <w:r>
        <w:rPr>
          <w:rFonts w:ascii="Calibri" w:cs="Calibri" w:eastAsia="Calibri" w:hAnsi="Calibri"/>
          <w:color w:val="0D1420"/>
          <w:sz w:val="21"/>
          <w:szCs w:val="21"/>
        </w:rPr>
        <w:t xml:space="preserve">A laptop sits on the clinician's desk and listens to the whole consultation with the network disabled. The patient never touches it and needs no phone — their interface is a printed card.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color w:val="0D1420"/>
          <w:sz w:val="21"/>
          <w:szCs w:val="21"/>
        </w:rPr>
        <w:t xml:space="preserve">Transcribes each turn and shows it in the patient's own language.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color w:val="0D1420"/>
          <w:sz w:val="21"/>
          <w:szCs w:val="21"/>
        </w:rPr>
        <w:t xml:space="preserve">Flags the jargon the patient almost certainly did not parse — “od”, “fasting”, “lipid profile” — with a plain-language gloss the clinician can read aloud.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color w:val="0D1420"/>
          <w:sz w:val="21"/>
          <w:szCs w:val="21"/>
        </w:rPr>
        <w:t xml:space="preserve">Extracts the care plan as it is given: medicines, tests, follow-up, red flags, lifestyle.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color w:val="0D1420"/>
          <w:sz w:val="21"/>
          <w:szCs w:val="21"/>
        </w:rPr>
        <w:t xml:space="preserve">Runs a teach-back check — the patient repeats the plan in their own words, and SETU verifies it against what was actually said.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color w:val="0D1420"/>
          <w:sz w:val="21"/>
          <w:szCs w:val="21"/>
        </w:rPr>
        <w:t xml:space="preserve">Prints a take-home card in the patient's language, ordered by consequence.</w:t>
      </w:r>
    </w:p>
    <w:p>
      <w:pPr>
        <w:spacing w:after="100" w:line="276"/>
      </w:pPr>
      <w:r>
        <w:rPr>
          <w:rFonts w:ascii="Calibri" w:cs="Calibri" w:eastAsia="Calibri" w:hAnsi="Calibri"/>
          <w:color w:val="0D1420"/>
          <w:sz w:val="21"/>
          <w:szCs w:val="21"/>
        </w:rPr>
        <w:t xml:space="preserve">The fourth step is the product. It is delivered while the patient is still in the room: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B3261E"/>
          <w:sz w:val="22"/>
          <w:szCs w:val="22"/>
        </w:rPr>
        <w:t xml:space="preserve">“2 of 5 understood. </w:t>
      </w:r>
      <w:r>
        <w:rPr>
          <w:rFonts w:ascii="Calibri" w:cs="Calibri" w:eastAsia="Calibri" w:hAnsi="Calibri"/>
          <w:color w:val="B3261E"/>
          <w:sz w:val="22"/>
          <w:szCs w:val="22"/>
        </w:rPr>
        <w:t xml:space="preserve">The patient did not repeat back: if you get chest pain or breathlessness, come immediately to the emergency.”</w:t>
      </w:r>
    </w:p>
    <w:p>
      <w:pPr>
        <w:spacing w:after="140" w:line="276"/>
      </w:pPr>
      <w:r>
        <w:rPr>
          <w:rFonts w:ascii="Calibri" w:cs="Calibri" w:eastAsia="Calibri" w:hAnsi="Calibri"/>
          <w:i/>
          <w:iCs/>
          <w:color w:val="0D1420"/>
          <w:sz w:val="21"/>
          <w:szCs w:val="21"/>
        </w:rPr>
        <w:t xml:space="preserve">Anyone can build a translator. SETU is a comprehension check — closer to a clinical safety instrument than to a language tool.</w:t>
      </w:r>
    </w:p>
    <w:p>
      <w:pPr>
        <w:pStyle w:val="Heading1"/>
        <w:spacing w:after="160" w:before="320"/>
      </w:pPr>
      <w:r>
        <w:rPr>
          <w:rFonts w:ascii="Cambria" w:cs="Cambria" w:eastAsia="Cambria" w:hAnsi="Cambria"/>
          <w:b/>
          <w:bCs/>
          <w:color w:val="0F7B6C"/>
          <w:sz w:val="30"/>
          <w:szCs w:val="30"/>
        </w:rPr>
        <w:t xml:space="preserve">3. One engine, three settings</w:t>
      </w:r>
    </w:p>
    <w:p>
      <w:pPr>
        <w:spacing w:after="140" w:line="276"/>
      </w:pPr>
      <w:r>
        <w:rPr>
          <w:rFonts w:ascii="Calibri" w:cs="Calibri" w:eastAsia="Calibri" w:hAnsi="Calibri"/>
          <w:color w:val="0D1420"/>
          <w:sz w:val="21"/>
          <w:szCs w:val="21"/>
        </w:rPr>
        <w:t xml:space="preserve">Strip the vocabulary away and the clinic, the classroom and the government counter are the same problem: two people, a knowledge gap, one side issuing instructions, and nobody checking they landed. SETU ships one engine and three domain profiles.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00"/>
      </w:tblGrid>
      <w:tr>
        <w:tc>
          <w:tcPr>
            <w:tcW w:type="dxa" w:w="3200"/>
            <w:shd w:fill="F4F6F8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0D1420"/>
                <w:sz w:val="20"/>
                <w:szCs w:val="20"/>
              </w:rPr>
              <w:t xml:space="preserve">Clinic — doctor → patient</w:t>
            </w:r>
          </w:p>
        </w:tc>
        <w:tc>
          <w:tcPr>
            <w:tcW w:type="dxa" w:w="6100"/>
            <w:shd w:fill="F4F6F8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color w:val="5B6672"/>
                <w:sz w:val="20"/>
                <w:szCs w:val="20"/>
              </w:rPr>
              <w:t xml:space="preserve">Catches od, fasting, lipid profile. Card ordered with red flags first.</w:t>
            </w:r>
          </w:p>
        </w:tc>
      </w:tr>
      <w:tr>
        <w:tc>
          <w:tcPr>
            <w:tcW w:type="dxa" w:w="3200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0D1420"/>
                <w:sz w:val="20"/>
                <w:szCs w:val="20"/>
              </w:rPr>
              <w:t xml:space="preserve">Classroom — teacher → student</w:t>
            </w:r>
          </w:p>
        </w:tc>
        <w:tc>
          <w:tcPr>
            <w:tcW w:type="dxa" w:w="6100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color w:val="5B6672"/>
                <w:sz w:val="20"/>
                <w:szCs w:val="20"/>
              </w:rPr>
              <w:t xml:space="preserve">Catches weightage, internal, plagiarism. Card ordered with exam dates first.</w:t>
            </w:r>
          </w:p>
        </w:tc>
      </w:tr>
      <w:tr>
        <w:tc>
          <w:tcPr>
            <w:tcW w:type="dxa" w:w="3200"/>
            <w:shd w:fill="F4F6F8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0D1420"/>
                <w:sz w:val="20"/>
                <w:szCs w:val="20"/>
              </w:rPr>
              <w:t xml:space="preserve">Counter — officer → citizen</w:t>
            </w:r>
          </w:p>
        </w:tc>
        <w:tc>
          <w:tcPr>
            <w:tcW w:type="dxa" w:w="6100"/>
            <w:shd w:fill="F4F6F8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color w:val="5B6672"/>
                <w:sz w:val="20"/>
                <w:szCs w:val="20"/>
              </w:rPr>
              <w:t xml:space="preserve">Catches self attested, BPL, acknowledgement. Card ordered with the deadline first.</w:t>
            </w:r>
          </w:p>
        </w:tc>
      </w:tr>
    </w:tbl>
    <w:p>
      <w:pPr>
        <w:spacing w:after="80" w:line="276"/>
      </w:pPr>
      <w:r>
        <w:rPr>
          <w:rFonts w:ascii="Calibri" w:cs="Calibri" w:eastAsia="Calibri" w:hAnsi="Calibri"/>
          <w:color w:val="0D1420"/>
          <w:sz w:val="21"/>
          <w:szCs w:val="21"/>
        </w:rPr>
        <w:t xml:space="preserve"/>
      </w:r>
    </w:p>
    <w:p>
      <w:pPr>
        <w:spacing w:after="140" w:line="276"/>
      </w:pPr>
      <w:r>
        <w:rPr>
          <w:rFonts w:ascii="Calibri" w:cs="Calibri" w:eastAsia="Calibri" w:hAnsi="Calibri"/>
          <w:color w:val="0D1420"/>
          <w:sz w:val="21"/>
          <w:szCs w:val="21"/>
        </w:rPr>
        <w:t xml:space="preserve">Each profile supplies a jargon lexicon, instruction categories ordered by consequence, teach-back questions and card headings. Adding a fourth setting — a courtroom, a bank, a panchayat — means writing one Domain object, not another application. The test suite fails if one domain's vocabulary leaks into another.</w:t>
      </w:r>
    </w:p>
    <w:p>
      <w:pPr>
        <w:pStyle w:val="Heading1"/>
        <w:spacing w:after="160" w:before="320"/>
      </w:pPr>
      <w:r>
        <w:rPr>
          <w:rFonts w:ascii="Cambria" w:cs="Cambria" w:eastAsia="Cambria" w:hAnsi="Cambria"/>
          <w:b/>
          <w:bCs/>
          <w:color w:val="0F7B6C"/>
          <w:sz w:val="30"/>
          <w:szCs w:val="30"/>
        </w:rPr>
        <w:t xml:space="preserve">4. Why this requires Snapdragon</w:t>
      </w:r>
    </w:p>
    <w:p>
      <w:pPr>
        <w:spacing w:after="140" w:line="276"/>
      </w:pPr>
      <w:r>
        <w:rPr>
          <w:rFonts w:ascii="Calibri" w:cs="Calibri" w:eastAsia="Calibri" w:hAnsi="Calibri"/>
          <w:color w:val="0D1420"/>
          <w:sz w:val="21"/>
          <w:szCs w:val="21"/>
        </w:rPr>
        <w:t xml:space="preserve">Three reasons, and only the third is a performance argument.</w:t>
      </w:r>
    </w:p>
    <w:p>
      <w:pPr>
        <w:spacing w:after="140" w:line="276"/>
      </w:pPr>
      <w:r>
        <w:rPr>
          <w:rFonts w:ascii="Calibri" w:cs="Calibri" w:eastAsia="Calibri" w:hAnsi="Calibri"/>
          <w:b/>
          <w:bCs/>
          <w:color w:val="0F7B6C"/>
          <w:sz w:val="21"/>
          <w:szCs w:val="21"/>
        </w:rPr>
        <w:t xml:space="preserve">It is un-cloudable. </w:t>
      </w:r>
      <w:r>
        <w:rPr>
          <w:rFonts w:ascii="Calibri" w:cs="Calibri" w:eastAsia="Calibri" w:hAnsi="Calibri"/>
          <w:color w:val="0D1420"/>
          <w:sz w:val="21"/>
          <w:szCs w:val="21"/>
        </w:rPr>
        <w:t xml:space="preserve">A consultation is protected health information. “Send the audio to a data centre” is not a design choice available to us. On-device is the requirement, not the optimisation.</w:t>
      </w:r>
    </w:p>
    <w:p>
      <w:pPr>
        <w:spacing w:after="140" w:line="276"/>
      </w:pPr>
      <w:r>
        <w:rPr>
          <w:rFonts w:ascii="Calibri" w:cs="Calibri" w:eastAsia="Calibri" w:hAnsi="Calibri"/>
          <w:b/>
          <w:bCs/>
          <w:color w:val="0F7B6C"/>
          <w:sz w:val="21"/>
          <w:szCs w:val="21"/>
        </w:rPr>
        <w:t xml:space="preserve">It must work where the link does not. </w:t>
      </w:r>
      <w:r>
        <w:rPr>
          <w:rFonts w:ascii="Calibri" w:cs="Calibri" w:eastAsia="Calibri" w:hAnsi="Calibri"/>
          <w:color w:val="0D1420"/>
          <w:sz w:val="21"/>
          <w:szCs w:val="21"/>
        </w:rPr>
        <w:t xml:space="preserve">A primary health centre with an intermittent connection is the normal case, not the edge case.</w:t>
      </w:r>
    </w:p>
    <w:p>
      <w:pPr>
        <w:spacing w:after="140" w:line="276"/>
      </w:pPr>
      <w:r>
        <w:rPr>
          <w:rFonts w:ascii="Calibri" w:cs="Calibri" w:eastAsia="Calibri" w:hAnsi="Calibri"/>
          <w:b/>
          <w:bCs/>
          <w:color w:val="0F7B6C"/>
          <w:sz w:val="21"/>
          <w:szCs w:val="21"/>
        </w:rPr>
        <w:t xml:space="preserve">The workload is sustained, not bursty. </w:t>
      </w:r>
      <w:r>
        <w:rPr>
          <w:rFonts w:ascii="Calibri" w:cs="Calibri" w:eastAsia="Calibri" w:hAnsi="Calibri"/>
          <w:color w:val="0D1420"/>
          <w:sz w:val="21"/>
          <w:szCs w:val="21"/>
        </w:rPr>
        <w:t xml:space="preserve">Continuous speech recognition across a six-hour clinic day is precisely what an NPU exists for and what a CPU cannot afford on battery.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D1420"/>
          <w:sz w:val="24"/>
          <w:szCs w:val="24"/>
        </w:rPr>
        <w:t xml:space="preserve">Hexa-Router</w:t>
      </w:r>
    </w:p>
    <w:p>
      <w:pPr>
        <w:spacing w:after="140" w:line="276"/>
      </w:pPr>
      <w:r>
        <w:rPr>
          <w:rFonts w:ascii="Calibri" w:cs="Calibri" w:eastAsia="Calibri" w:hAnsi="Calibri"/>
          <w:color w:val="0D1420"/>
          <w:sz w:val="21"/>
          <w:szCs w:val="21"/>
        </w:rPr>
        <w:t xml:space="preserve">Most on-device demonstrations hard-code “put everything on the NPU”. That is wrong for a real workload: the NPU is shared and finite, some operators fall back regardless, and the right answer changes the moment the charger comes out.</w:t>
      </w:r>
    </w:p>
    <w:p>
      <w:pPr>
        <w:spacing w:after="140" w:line="276"/>
      </w:pPr>
      <w:r>
        <w:rPr>
          <w:rFonts w:ascii="Calibri" w:cs="Calibri" w:eastAsia="Calibri" w:hAnsi="Calibri"/>
          <w:color w:val="0D1420"/>
          <w:sz w:val="21"/>
          <w:szCs w:val="21"/>
        </w:rPr>
        <w:t xml:space="preserve">Hexa-Router decides placement per model, per request, from four inputs: each model's deployment envelope; live power state (AC versus battery, charge level, thermal pressure); request priority (interactive, streaming or background); and a cost model learned on the specific machine from measured latency and marginal energy. It applies hysteresis, because rebuilding a QNN session costs hundreds of milliseconds and thrashing on noise would cost more than any placement gain. It selects the QNN HTP performance mode per placement — burst for interactive turns, sustained_high_performance for all-day streaming, power_saver under battery pressure.</w:t>
      </w:r>
    </w:p>
    <w:p>
      <w:pPr>
        <w:pStyle w:val="Heading1"/>
        <w:spacing w:after="160" w:before="320"/>
      </w:pPr>
      <w:r>
        <w:rPr>
          <w:rFonts w:ascii="Cambria" w:cs="Cambria" w:eastAsia="Cambria" w:hAnsi="Cambria"/>
          <w:b/>
          <w:bCs/>
          <w:color w:val="0F7B6C"/>
          <w:sz w:val="30"/>
          <w:szCs w:val="30"/>
        </w:rPr>
        <w:t xml:space="preserve">5. Evidence</w:t>
      </w:r>
    </w:p>
    <w:p>
      <w:pPr>
        <w:spacing w:after="140" w:line="276"/>
      </w:pPr>
      <w:r>
        <w:rPr>
          <w:rFonts w:ascii="Calibri" w:cs="Calibri" w:eastAsia="Calibri" w:hAnsi="Calibri"/>
          <w:color w:val="0D1420"/>
          <w:sz w:val="21"/>
          <w:szCs w:val="21"/>
        </w:rPr>
        <w:t xml:space="preserve">Most submissions state that they built something. This one measures whether the central claim is true, on a labelled corpus of sessions spanning all three settings.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00"/>
      </w:tblGrid>
      <w:tr>
        <w:tc>
          <w:tcPr>
            <w:tcW w:type="dxa" w:w="3200"/>
            <w:shd w:fill="F4F6F8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0D1420"/>
                <w:sz w:val="20"/>
                <w:szCs w:val="20"/>
              </w:rPr>
              <w:t xml:space="preserve">0 dangerous misses</w:t>
            </w:r>
          </w:p>
        </w:tc>
        <w:tc>
          <w:tcPr>
            <w:tcW w:type="dxa" w:w="6100"/>
            <w:shd w:fill="F4F6F8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color w:val="5B6672"/>
                <w:sz w:val="20"/>
                <w:szCs w:val="20"/>
              </w:rPr>
              <w:t xml:space="preserve">Told the clinician the patient understood when they had not — the error that sends a patient home.</w:t>
            </w:r>
          </w:p>
        </w:tc>
      </w:tr>
      <w:tr>
        <w:tc>
          <w:tcPr>
            <w:tcW w:type="dxa" w:w="3200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0D1420"/>
                <w:sz w:val="20"/>
                <w:szCs w:val="20"/>
              </w:rPr>
              <w:t xml:space="preserve">100% recall on missed items</w:t>
            </w:r>
          </w:p>
        </w:tc>
        <w:tc>
          <w:tcPr>
            <w:tcW w:type="dxa" w:w="6100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color w:val="5B6672"/>
                <w:sz w:val="20"/>
                <w:szCs w:val="20"/>
              </w:rPr>
              <w:t xml:space="preserve">Of instructions the learner truly did not restate, the proportion SETU caught.</w:t>
            </w:r>
          </w:p>
        </w:tc>
      </w:tr>
      <w:tr>
        <w:tc>
          <w:tcPr>
            <w:tcW w:type="dxa" w:w="3200"/>
            <w:shd w:fill="F4F6F8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0D1420"/>
                <w:sz w:val="20"/>
                <w:szCs w:val="20"/>
              </w:rPr>
              <w:t xml:space="preserve">86.7% precision</w:t>
            </w:r>
          </w:p>
        </w:tc>
        <w:tc>
          <w:tcPr>
            <w:tcW w:type="dxa" w:w="6100"/>
            <w:shd w:fill="F4F6F8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color w:val="5B6672"/>
                <w:sz w:val="20"/>
                <w:szCs w:val="20"/>
              </w:rPr>
              <w:t xml:space="preserve">Of the items flagged as missed, the proportion genuinely missed.</w:t>
            </w:r>
          </w:p>
        </w:tc>
      </w:tr>
      <w:tr>
        <w:tc>
          <w:tcPr>
            <w:tcW w:type="dxa" w:w="3200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0D1420"/>
                <w:sz w:val="20"/>
                <w:szCs w:val="20"/>
              </w:rPr>
              <w:t xml:space="preserve">99 tests passing</w:t>
            </w:r>
          </w:p>
        </w:tc>
        <w:tc>
          <w:tcPr>
            <w:tcW w:type="dxa" w:w="6100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color w:val="5B6672"/>
                <w:sz w:val="20"/>
                <w:szCs w:val="20"/>
              </w:rPr>
              <w:t xml:space="preserve">Green on a bare checkout with no model assets downloaded.</w:t>
            </w:r>
          </w:p>
        </w:tc>
      </w:tr>
    </w:tbl>
    <w:p>
      <w:pPr>
        <w:spacing w:after="80" w:line="276"/>
      </w:pPr>
      <w:r>
        <w:rPr>
          <w:rFonts w:ascii="Calibri" w:cs="Calibri" w:eastAsia="Calibri" w:hAnsi="Calibri"/>
          <w:color w:val="0D1420"/>
          <w:sz w:val="21"/>
          <w:szCs w:val="21"/>
        </w:rPr>
        <w:t xml:space="preserve"/>
      </w:r>
    </w:p>
    <w:p>
      <w:pPr>
        <w:spacing w:after="140" w:line="276"/>
      </w:pPr>
      <w:r>
        <w:rPr>
          <w:rFonts w:ascii="Calibri" w:cs="Calibri" w:eastAsia="Calibri" w:hAnsi="Calibri"/>
          <w:color w:val="0D1420"/>
          <w:sz w:val="21"/>
          <w:szCs w:val="21"/>
        </w:rPr>
        <w:t xml:space="preserve">The two errors are not symmetric and are therefore not averaged together. A false alarm costs a clinician five seconds of repetition; a dangerous miss costs a patient. Thresholds were chosen at the operating point that keeps dangerous misses at zero — not the one that maximises F1.</w:t>
      </w:r>
    </w:p>
    <w:p>
      <w:pPr>
        <w:spacing w:after="140" w:line="276"/>
      </w:pPr>
      <w:r>
        <w:rPr>
          <w:rFonts w:ascii="Calibri" w:cs="Calibri" w:eastAsia="Calibri" w:hAnsi="Calibri"/>
          <w:b/>
          <w:bCs/>
          <w:color w:val="0D1420"/>
          <w:sz w:val="21"/>
          <w:szCs w:val="21"/>
        </w:rPr>
        <w:t xml:space="preserve">The evaluation overturned a design decision. </w:t>
      </w:r>
      <w:r>
        <w:rPr>
          <w:rFonts w:ascii="Calibri" w:cs="Calibri" w:eastAsia="Calibri" w:hAnsi="Calibri"/>
          <w:color w:val="0D1420"/>
          <w:sz w:val="21"/>
          <w:szCs w:val="21"/>
        </w:rPr>
        <w:t xml:space="preserve">Replacing keyword matching with sentence embeddings made the check worse (precision 81% → 76%): cosine similarity scores an imperative against a first-person promise lower than expected, and the covered and missed score ranges overlap. The two signals failed on different items, so the shipped scorer unions them, reaching 86.7% — better than either alone.</w:t>
      </w:r>
    </w:p>
    <w:p>
      <w:pPr>
        <w:pStyle w:val="Heading1"/>
        <w:spacing w:after="160" w:before="320"/>
      </w:pPr>
      <w:r>
        <w:rPr>
          <w:rFonts w:ascii="Cambria" w:cs="Cambria" w:eastAsia="Cambria" w:hAnsi="Cambria"/>
          <w:b/>
          <w:bCs/>
          <w:color w:val="0F7B6C"/>
          <w:sz w:val="30"/>
          <w:szCs w:val="30"/>
        </w:rPr>
        <w:t xml:space="preserve">6. What runs today, and what does not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D1420"/>
          <w:sz w:val="24"/>
          <w:szCs w:val="24"/>
        </w:rPr>
        <w:t xml:space="preserve">Real inference, verified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color w:val="0D1420"/>
          <w:sz w:val="21"/>
          <w:szCs w:val="21"/>
        </w:rPr>
        <w:t xml:space="preserve">Whisper speech recognition, verified end-to-end on real audio.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color w:val="0D1420"/>
          <w:sz w:val="21"/>
          <w:szCs w:val="21"/>
        </w:rPr>
        <w:t xml:space="preserve">Live microphone capture → transcript → care plan.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color w:val="0D1420"/>
          <w:sz w:val="21"/>
          <w:szCs w:val="21"/>
        </w:rPr>
        <w:t xml:space="preserve">Translation into eight Indian languages (Hindi, Telugu, Tamil, Kannada, Malayalam, Gujarati, Odia, Urdu).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color w:val="0D1420"/>
          <w:sz w:val="21"/>
          <w:szCs w:val="21"/>
        </w:rPr>
        <w:t xml:space="preserve">Sentence embeddings and voice-activity detection.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color w:val="0D1420"/>
          <w:sz w:val="21"/>
          <w:szCs w:val="21"/>
        </w:rPr>
        <w:t xml:space="preserve">Hexa-Router with battery draw measured from the Windows discharge counter.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D1420"/>
          <w:sz w:val="24"/>
          <w:szCs w:val="24"/>
        </w:rPr>
        <w:t xml:space="preserve">Honestly not finished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color w:val="0D1420"/>
          <w:sz w:val="21"/>
          <w:szCs w:val="21"/>
        </w:rPr>
        <w:t xml:space="preserve">No Snapdragon device was available. The AI Hub profiling harness is written and is one command from producing verified on-device figures.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color w:val="0D1420"/>
          <w:sz w:val="21"/>
          <w:szCs w:val="21"/>
        </w:rPr>
        <w:t xml:space="preserve">The reasoning path still uses a grounded extractive backend rather than the 3B LLM.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color w:val="0D1420"/>
          <w:sz w:val="21"/>
          <w:szCs w:val="21"/>
        </w:rPr>
        <w:t xml:space="preserve">Marathi, Bengali and Punjabi have no working translation checkpoint; they are excluded and the interface labels them “(no translation)”.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color w:val="0D1420"/>
          <w:sz w:val="21"/>
          <w:szCs w:val="21"/>
        </w:rPr>
        <w:t xml:space="preserve">Document capture (OCR) is stubbed.</w:t>
      </w:r>
    </w:p>
    <w:p>
      <w:pPr>
        <w:spacing w:after="140" w:line="276"/>
      </w:pPr>
      <w:r>
        <w:rPr>
          <w:rFonts w:ascii="Calibri" w:cs="Calibri" w:eastAsia="Calibri" w:hAnsi="Calibri"/>
          <w:i/>
          <w:iCs/>
          <w:color w:val="0D1420"/>
          <w:sz w:val="21"/>
          <w:szCs w:val="21"/>
        </w:rPr>
        <w:t xml:space="preserve">Every fallback is labelled. The whole product runs on a reviewer's laptop with zero models downloaded, and anything on a fallback path is marked degraded in the API and on screen. SETU never passes a stub off as a real inference — in a clinical tool, that distinction is the difference between a demonstration and a lie.</w:t>
      </w:r>
    </w:p>
    <w:p>
      <w:pPr>
        <w:pStyle w:val="Heading1"/>
        <w:spacing w:after="160" w:before="320"/>
      </w:pPr>
      <w:r>
        <w:rPr>
          <w:rFonts w:ascii="Cambria" w:cs="Cambria" w:eastAsia="Cambria" w:hAnsi="Cambria"/>
          <w:b/>
          <w:bCs/>
          <w:color w:val="0F7B6C"/>
          <w:sz w:val="30"/>
          <w:szCs w:val="30"/>
        </w:rPr>
        <w:t xml:space="preserve">7. Running it</w:t>
      </w:r>
    </w:p>
    <w:p>
      <w:pPr>
        <w:spacing w:after="140" w:line="276"/>
      </w:pPr>
      <w:r>
        <w:rPr>
          <w:rFonts w:ascii="Courier New" w:cs="Courier New" w:eastAsia="Courier New" w:hAnsi="Courier New"/>
          <w:color w:val="0D1420"/>
          <w:sz w:val="19"/>
          <w:szCs w:val="19"/>
        </w:rPr>
        <w:t xml:space="preserve">pip install -e .   →   python -m setu.server.app   →   open 127.0.0.1:8756</w:t>
      </w:r>
    </w:p>
    <w:p>
      <w:pPr>
        <w:spacing w:after="60" w:line="276"/>
      </w:pPr>
      <w:r>
        <w:rPr>
          <w:rFonts w:ascii="Calibri" w:cs="Calibri" w:eastAsia="Calibri" w:hAnsi="Calibri"/>
          <w:color w:val="0D1420"/>
          <w:sz w:val="21"/>
          <w:szCs w:val="21"/>
        </w:rPr>
        <w:t xml:space="preserve">Press “Replay sample visit”, then “Run teach-back”. Verify the machine with python -m setu.cli doctor; reproduce the evaluation with python scripts/run_eval.py --compare; benchmark with python scripts/run_bench.py.</w:t>
      </w:r>
    </w:p>
    <w:p>
      <w:pPr>
        <w:spacing w:after="140" w:line="276"/>
      </w:pPr>
      <w:r>
        <w:rPr>
          <w:rFonts w:ascii="Calibri" w:cs="Calibri" w:eastAsia="Calibri" w:hAnsi="Calibri"/>
          <w:color w:val="5B6672"/>
          <w:sz w:val="21"/>
          <w:szCs w:val="21"/>
        </w:rPr>
        <w:t xml:space="preserve">Architecture notes, model provenance and licences, benchmarks and the full evaluation are in the repository under docs/.</w:t>
      </w:r>
    </w:p>
    <w:sectPr>
      <w:pgSz w:w="12240" w:h="15840" w:orient="portrait"/>
      <w:pgMar w:top="1180" w:right="1180" w:bottom="1180" w:left="11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SETU — Brief Project Description</dc:title>
  <dc:creator>SETU</dc:creator>
  <cp:lastModifiedBy>Un-named</cp:lastModifiedBy>
  <cp:revision>1</cp:revision>
  <dcterms:created xsi:type="dcterms:W3CDTF">2026-09-12T13:35:15.077Z</dcterms:created>
  <dcterms:modified xsi:type="dcterms:W3CDTF">2026-09-12T13:35:15.078Z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