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RAVINDRA UNIVERSITY LMS</w:t>
      </w:r>
    </w:p>
    <w:p>
      <w:pPr>
        <w:pStyle w:val="Subtitle"/>
      </w:pPr>
      <w:r>
        <w:t>DAY 1 | PROJECT DISCOVERY KICKOFF &amp; SCOPE BASELINE</w:t>
      </w:r>
    </w:p>
    <w:p>
      <w:r>
        <w:t>Document ID: RV-LMS-D1-BL-01   |   Version: 0.1 (working reconstruction)   |   Status: Draft / Not approved</w:t>
      </w:r>
    </w:p>
    <w:p>
      <w:r>
        <w:t>Source: Technical requirement-Ravindra.docx, sections 1–11. Programme schedule: 120 working days (user-directed revision to original roadmap).</w:t>
      </w:r>
    </w:p>
    <w:p>
      <w:r>
        <w:t>Document fidelity note: This is a source-aligned reconstruction of the earlier Day 1 baseline. The exact prior Day 1 wording is not available for verbatim reproduction; requirement and clarification labels below must be compared against the original Day 1 message before being treated as the approved baseline.</w:t>
      </w:r>
    </w:p>
    <w:p>
      <w:pPr>
        <w:pStyle w:val="Heading1"/>
      </w:pPr>
      <w:r>
        <w:t>1. Day 1 objectives</w:t>
      </w:r>
    </w:p>
    <w:p>
      <w:pPr>
        <w:pStyle w:val="ListBullet"/>
      </w:pPr>
      <w:r>
        <w:t>Identify the controlling source document and fix the Day 1 scope boundary.</w:t>
      </w:r>
    </w:p>
    <w:p>
      <w:pPr>
        <w:pStyle w:val="ListBullet"/>
      </w:pPr>
      <w:r>
        <w:t>Record the initial grouped requirements and link them to source sections.</w:t>
      </w:r>
    </w:p>
    <w:p>
      <w:pPr>
        <w:pStyle w:val="ListBullet"/>
      </w:pPr>
      <w:r>
        <w:t>Identify clarification questions without treating unanswered questions as approved scope.</w:t>
      </w:r>
    </w:p>
    <w:p>
      <w:pPr>
        <w:pStyle w:val="ListBullet"/>
      </w:pPr>
      <w:r>
        <w:t>Establish initial verification mapping and a controlled approval/change process.</w:t>
      </w:r>
    </w:p>
    <w:p>
      <w:pPr>
        <w:pStyle w:val="ListBullet"/>
      </w:pPr>
      <w:r>
        <w:t>Defer detailed solution design and architecture approval until later discovery/design gates.</w:t>
      </w:r>
    </w:p>
    <w:p>
      <w:pPr>
        <w:pStyle w:val="Heading1"/>
      </w:pPr>
      <w:r>
        <w:t>2. Scope and control baseline</w:t>
      </w:r>
    </w:p>
    <w:p>
      <w:r>
        <w:rPr>
          <w:b/>
        </w:rPr>
        <w:t xml:space="preserve">Delivery model: </w:t>
      </w:r>
      <w:r>
        <w:t>Fixed-price system-integrator scope; source cover refers to three workstreams but only the LMS workstream is detailed in the available document.</w:t>
      </w:r>
    </w:p>
    <w:p>
      <w:r>
        <w:rPr>
          <w:b/>
        </w:rPr>
        <w:t xml:space="preserve">Products: </w:t>
      </w:r>
      <w:r>
        <w:t>LMS web application and Android/iOS mobile applications with stated web/mobile parity and concurrent go-live.</w:t>
      </w:r>
    </w:p>
    <w:p>
      <w:r>
        <w:rPr>
          <w:b/>
        </w:rPr>
        <w:t xml:space="preserve">Delivery duration: </w:t>
      </w:r>
      <w:r>
        <w:t>120 working days is the planning baseline approved in discussion; it supersedes the source document’s 12-week/3-month indicative roadmap.</w:t>
      </w:r>
    </w:p>
    <w:p>
      <w:r>
        <w:rPr>
          <w:b/>
        </w:rPr>
        <w:t xml:space="preserve">Scope integrity: </w:t>
      </w:r>
      <w:r>
        <w:t>Only source-stated requirements are in baseline. Proposed enhancements, architectural choices, and unresolved interpretations remain outside approved scope until clarified.</w:t>
      </w:r>
    </w:p>
    <w:p>
      <w:r>
        <w:rPr>
          <w:b/>
        </w:rPr>
        <w:t xml:space="preserve">Source precedence: </w:t>
      </w:r>
      <w:r>
        <w:t>The technical requirement document is the source of requirement claims. Approval decisions and change requests must be recorded separately.</w:t>
      </w:r>
    </w:p>
    <w:p>
      <w:pPr>
        <w:pStyle w:val="Heading1"/>
      </w:pPr>
      <w:r>
        <w:t>3. BL-01 — Initial grouped requirements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</w:tcPr>
          <w:p>
            <w:r>
              <w:t>ID</w:t>
            </w:r>
          </w:p>
        </w:tc>
        <w:tc>
          <w:tcPr>
            <w:tcW w:type="dxa" w:w="2462"/>
          </w:tcPr>
          <w:p>
            <w:r>
              <w:t>Scope group</w:t>
            </w:r>
          </w:p>
        </w:tc>
        <w:tc>
          <w:tcPr>
            <w:tcW w:type="dxa" w:w="2462"/>
          </w:tcPr>
          <w:p>
            <w:r>
              <w:t>Source-aligned baseline summary</w:t>
            </w:r>
          </w:p>
        </w:tc>
        <w:tc>
          <w:tcPr>
            <w:tcW w:type="dxa" w:w="2462"/>
          </w:tcPr>
          <w:p>
            <w:r>
              <w:t>Source</w:t>
            </w:r>
          </w:p>
        </w:tc>
      </w:tr>
      <w:tr>
        <w:tc>
          <w:tcPr>
            <w:tcW w:type="dxa" w:w="2462"/>
          </w:tcPr>
          <w:p>
            <w:r>
              <w:t>REQ-01</w:t>
            </w:r>
          </w:p>
        </w:tc>
        <w:tc>
          <w:tcPr>
            <w:tcW w:type="dxa" w:w="2462"/>
          </w:tcPr>
          <w:p>
            <w:r>
              <w:t>Platform scale and resilience</w:t>
            </w:r>
          </w:p>
        </w:tc>
        <w:tc>
          <w:tcPr>
            <w:tcW w:type="dxa" w:w="2462"/>
          </w:tcPr>
          <w:p>
            <w:r>
              <w:t>At least 500,000 concurrent users; O&amp;M uptime ≥99.5%; CDN-backed AV delivery across India; geo-redundant DR with RTO ≤4h and RPO ≤24h.</w:t>
            </w:r>
          </w:p>
        </w:tc>
        <w:tc>
          <w:tcPr>
            <w:tcW w:type="dxa" w:w="2462"/>
          </w:tcPr>
          <w:p>
            <w:r>
              <w:t>§2</w:t>
            </w:r>
          </w:p>
        </w:tc>
      </w:tr>
      <w:tr>
        <w:tc>
          <w:tcPr>
            <w:tcW w:type="dxa" w:w="2462"/>
          </w:tcPr>
          <w:p>
            <w:r>
              <w:t>REQ-02</w:t>
            </w:r>
          </w:p>
        </w:tc>
        <w:tc>
          <w:tcPr>
            <w:tcW w:type="dxa" w:w="2462"/>
          </w:tcPr>
          <w:p>
            <w:r>
              <w:t>User roles</w:t>
            </w:r>
          </w:p>
        </w:tc>
        <w:tc>
          <w:tcPr>
            <w:tcW w:type="dxa" w:w="2462"/>
          </w:tcPr>
          <w:p>
            <w:r>
              <w:t>Exactly six source-listed personas: University Super Admin, SPC Admin, Institution Admin, Faculty/Educator, Student/Learner and Registered Pharmacist.</w:t>
            </w:r>
          </w:p>
        </w:tc>
        <w:tc>
          <w:tcPr>
            <w:tcW w:type="dxa" w:w="2462"/>
          </w:tcPr>
          <w:p>
            <w:r>
              <w:t>§3.1</w:t>
            </w:r>
          </w:p>
        </w:tc>
      </w:tr>
      <w:tr>
        <w:tc>
          <w:tcPr>
            <w:tcW w:type="dxa" w:w="2462"/>
          </w:tcPr>
          <w:p>
            <w:r>
              <w:t>REQ-03</w:t>
            </w:r>
          </w:p>
        </w:tc>
        <w:tc>
          <w:tcPr>
            <w:tcW w:type="dxa" w:w="2462"/>
          </w:tcPr>
          <w:p>
            <w:r>
              <w:t>Access control and identity</w:t>
            </w:r>
          </w:p>
        </w:tc>
        <w:tc>
          <w:tcPr>
            <w:tcW w:type="dxa" w:w="2462"/>
          </w:tcPr>
          <w:p>
            <w:r>
              <w:t>Role-specific interfaces, RBAC, mandatory 2FA for all roles, stronger admin MFA, OTP login and source-listed authentication/SSO options.</w:t>
            </w:r>
          </w:p>
        </w:tc>
        <w:tc>
          <w:tcPr>
            <w:tcW w:type="dxa" w:w="2462"/>
          </w:tcPr>
          <w:p>
            <w:r>
              <w:t>§3.2–3.3</w:t>
            </w:r>
          </w:p>
        </w:tc>
      </w:tr>
      <w:tr>
        <w:tc>
          <w:tcPr>
            <w:tcW w:type="dxa" w:w="2462"/>
          </w:tcPr>
          <w:p>
            <w:r>
              <w:t>REQ-04</w:t>
            </w:r>
          </w:p>
        </w:tc>
        <w:tc>
          <w:tcPr>
            <w:tcW w:type="dxa" w:w="2462"/>
          </w:tcPr>
          <w:p>
            <w:r>
              <w:t>Academic structure</w:t>
            </w:r>
          </w:p>
        </w:tc>
        <w:tc>
          <w:tcPr>
            <w:tcW w:type="dxa" w:w="2462"/>
          </w:tcPr>
          <w:p>
            <w:r>
              <w:t>Programme → Year/Semester → Subject → Topic hierarchy, course builder and prerequisite gating.</w:t>
            </w:r>
          </w:p>
        </w:tc>
        <w:tc>
          <w:tcPr>
            <w:tcW w:type="dxa" w:w="2462"/>
          </w:tcPr>
          <w:p>
            <w:r>
              <w:t>§4</w:t>
            </w:r>
          </w:p>
        </w:tc>
      </w:tr>
      <w:tr>
        <w:tc>
          <w:tcPr>
            <w:tcW w:type="dxa" w:w="2462"/>
          </w:tcPr>
          <w:p>
            <w:r>
              <w:t>REQ-05</w:t>
            </w:r>
          </w:p>
        </w:tc>
        <w:tc>
          <w:tcPr>
            <w:tcW w:type="dxa" w:w="2462"/>
          </w:tcPr>
          <w:p>
            <w:r>
              <w:t>Academic authoring and publishing</w:t>
            </w:r>
          </w:p>
        </w:tc>
        <w:tc>
          <w:tcPr>
            <w:tcW w:type="dxa" w:w="2462"/>
          </w:tcPr>
          <w:p>
            <w:r>
              <w:t>Collaborative authoring; versioned Draft → Review → Approved → Published workflow.</w:t>
            </w:r>
          </w:p>
        </w:tc>
        <w:tc>
          <w:tcPr>
            <w:tcW w:type="dxa" w:w="2462"/>
          </w:tcPr>
          <w:p>
            <w:r>
              <w:t>§4</w:t>
            </w:r>
          </w:p>
        </w:tc>
      </w:tr>
      <w:tr>
        <w:tc>
          <w:tcPr>
            <w:tcW w:type="dxa" w:w="2462"/>
          </w:tcPr>
          <w:p>
            <w:r>
              <w:t>REQ-06</w:t>
            </w:r>
          </w:p>
        </w:tc>
        <w:tc>
          <w:tcPr>
            <w:tcW w:type="dxa" w:w="2462"/>
          </w:tcPr>
          <w:p>
            <w:r>
              <w:t>Live learning</w:t>
            </w:r>
          </w:p>
        </w:tc>
        <w:tc>
          <w:tcPr>
            <w:tcW w:type="dxa" w:w="2462"/>
          </w:tcPr>
          <w:p>
            <w:r>
              <w:t>Third-party-enabled live classes, scheduling, whiteboard, breakout rooms, polls and recording/transcript capabilities.</w:t>
            </w:r>
          </w:p>
        </w:tc>
        <w:tc>
          <w:tcPr>
            <w:tcW w:type="dxa" w:w="2462"/>
          </w:tcPr>
          <w:p>
            <w:r>
              <w:t>§4</w:t>
            </w:r>
          </w:p>
        </w:tc>
      </w:tr>
      <w:tr>
        <w:tc>
          <w:tcPr>
            <w:tcW w:type="dxa" w:w="2462"/>
          </w:tcPr>
          <w:p>
            <w:r>
              <w:t>REQ-07</w:t>
            </w:r>
          </w:p>
        </w:tc>
        <w:tc>
          <w:tcPr>
            <w:tcW w:type="dxa" w:w="2462"/>
          </w:tcPr>
          <w:p>
            <w:r>
              <w:t>Learning resource discovery</w:t>
            </w:r>
          </w:p>
        </w:tc>
        <w:tc>
          <w:tcPr>
            <w:tcW w:type="dxa" w:w="2462"/>
          </w:tcPr>
          <w:p>
            <w:r>
              <w:t>E-library and full-text search across titles, documents and transcripts.</w:t>
            </w:r>
          </w:p>
        </w:tc>
        <w:tc>
          <w:tcPr>
            <w:tcW w:type="dxa" w:w="2462"/>
          </w:tcPr>
          <w:p>
            <w:r>
              <w:t>§4</w:t>
            </w:r>
          </w:p>
        </w:tc>
      </w:tr>
      <w:tr>
        <w:tc>
          <w:tcPr>
            <w:tcW w:type="dxa" w:w="2462"/>
          </w:tcPr>
          <w:p>
            <w:r>
              <w:t>REQ-08</w:t>
            </w:r>
          </w:p>
        </w:tc>
        <w:tc>
          <w:tcPr>
            <w:tcW w:type="dxa" w:w="2462"/>
          </w:tcPr>
          <w:p>
            <w:r>
              <w:t>Attendance</w:t>
            </w:r>
          </w:p>
        </w:tc>
        <w:tc>
          <w:tcPr>
            <w:tcW w:type="dxa" w:w="2462"/>
          </w:tcPr>
          <w:p>
            <w:r>
              <w:t>Attendance capture, monitoring and absence alerts.</w:t>
            </w:r>
          </w:p>
        </w:tc>
        <w:tc>
          <w:tcPr>
            <w:tcW w:type="dxa" w:w="2462"/>
          </w:tcPr>
          <w:p>
            <w:r>
              <w:t>§5</w:t>
            </w:r>
          </w:p>
        </w:tc>
      </w:tr>
      <w:tr>
        <w:tc>
          <w:tcPr>
            <w:tcW w:type="dxa" w:w="2462"/>
          </w:tcPr>
          <w:p>
            <w:r>
              <w:t>REQ-09</w:t>
            </w:r>
          </w:p>
        </w:tc>
        <w:tc>
          <w:tcPr>
            <w:tcW w:type="dxa" w:w="2462"/>
          </w:tcPr>
          <w:p>
            <w:r>
              <w:t>Assessments and question bank</w:t>
            </w:r>
          </w:p>
        </w:tc>
        <w:tc>
          <w:tcPr>
            <w:tcW w:type="dxa" w:w="2462"/>
          </w:tcPr>
          <w:p>
            <w:r>
              <w:t>Formative assessments and AI-assisted question generation with mandatory human subject-matter-expert review.</w:t>
            </w:r>
          </w:p>
        </w:tc>
        <w:tc>
          <w:tcPr>
            <w:tcW w:type="dxa" w:w="2462"/>
          </w:tcPr>
          <w:p>
            <w:r>
              <w:t>§5</w:t>
            </w:r>
          </w:p>
        </w:tc>
      </w:tr>
      <w:tr>
        <w:tc>
          <w:tcPr>
            <w:tcW w:type="dxa" w:w="2462"/>
          </w:tcPr>
          <w:p>
            <w:r>
              <w:t>REQ-10</w:t>
            </w:r>
          </w:p>
        </w:tc>
        <w:tc>
          <w:tcPr>
            <w:tcW w:type="dxa" w:w="2462"/>
          </w:tcPr>
          <w:p>
            <w:r>
              <w:t>Assignments and grading</w:t>
            </w:r>
          </w:p>
        </w:tc>
        <w:tc>
          <w:tcPr>
            <w:tcW w:type="dxa" w:w="2462"/>
          </w:tcPr>
          <w:p>
            <w:r>
              <w:t>Assignment submission, grading and evaluation workflows.</w:t>
            </w:r>
          </w:p>
        </w:tc>
        <w:tc>
          <w:tcPr>
            <w:tcW w:type="dxa" w:w="2462"/>
          </w:tcPr>
          <w:p>
            <w:r>
              <w:t>§5</w:t>
            </w:r>
          </w:p>
        </w:tc>
      </w:tr>
      <w:tr>
        <w:tc>
          <w:tcPr>
            <w:tcW w:type="dxa" w:w="2462"/>
          </w:tcPr>
          <w:p>
            <w:r>
              <w:t>REQ-11</w:t>
            </w:r>
          </w:p>
        </w:tc>
        <w:tc>
          <w:tcPr>
            <w:tcW w:type="dxa" w:w="2462"/>
          </w:tcPr>
          <w:p>
            <w:r>
              <w:t>Practical learning</w:t>
            </w:r>
          </w:p>
        </w:tc>
        <w:tc>
          <w:tcPr>
            <w:tcW w:type="dxa" w:w="2462"/>
          </w:tcPr>
          <w:p>
            <w:r>
              <w:t>Digital practical logbook and associated academic evidence.</w:t>
            </w:r>
          </w:p>
        </w:tc>
        <w:tc>
          <w:tcPr>
            <w:tcW w:type="dxa" w:w="2462"/>
          </w:tcPr>
          <w:p>
            <w:r>
              <w:t>§5</w:t>
            </w:r>
          </w:p>
        </w:tc>
      </w:tr>
      <w:tr>
        <w:tc>
          <w:tcPr>
            <w:tcW w:type="dxa" w:w="2462"/>
          </w:tcPr>
          <w:p>
            <w:r>
              <w:t>REQ-12</w:t>
            </w:r>
          </w:p>
        </w:tc>
        <w:tc>
          <w:tcPr>
            <w:tcW w:type="dxa" w:w="2462"/>
          </w:tcPr>
          <w:p>
            <w:r>
              <w:t>Academic records</w:t>
            </w:r>
          </w:p>
        </w:tc>
        <w:tc>
          <w:tcPr>
            <w:tcW w:type="dxa" w:w="2462"/>
          </w:tcPr>
          <w:p>
            <w:r>
              <w:t>Digitally signed marksheets and lifetime academic records.</w:t>
            </w:r>
          </w:p>
        </w:tc>
        <w:tc>
          <w:tcPr>
            <w:tcW w:type="dxa" w:w="2462"/>
          </w:tcPr>
          <w:p>
            <w:r>
              <w:t>§5</w:t>
            </w:r>
          </w:p>
        </w:tc>
      </w:tr>
      <w:tr>
        <w:tc>
          <w:tcPr>
            <w:tcW w:type="dxa" w:w="2462"/>
          </w:tcPr>
          <w:p>
            <w:r>
              <w:t>REQ-13</w:t>
            </w:r>
          </w:p>
        </w:tc>
        <w:tc>
          <w:tcPr>
            <w:tcW w:type="dxa" w:w="2462"/>
          </w:tcPr>
          <w:p>
            <w:r>
              <w:t>Certificates</w:t>
            </w:r>
          </w:p>
        </w:tc>
        <w:tc>
          <w:tcPr>
            <w:tcW w:type="dxa" w:w="2462"/>
          </w:tcPr>
          <w:p>
            <w:r>
              <w:t>Numbered, Registrar-signed, QR-verifiable certificates with DigiLocker integration.</w:t>
            </w:r>
          </w:p>
        </w:tc>
        <w:tc>
          <w:tcPr>
            <w:tcW w:type="dxa" w:w="2462"/>
          </w:tcPr>
          <w:p>
            <w:r>
              <w:t>§5</w:t>
            </w:r>
          </w:p>
        </w:tc>
      </w:tr>
      <w:tr>
        <w:tc>
          <w:tcPr>
            <w:tcW w:type="dxa" w:w="2462"/>
          </w:tcPr>
          <w:p>
            <w:r>
              <w:t>REQ-14</w:t>
            </w:r>
          </w:p>
        </w:tc>
        <w:tc>
          <w:tcPr>
            <w:tcW w:type="dxa" w:w="2462"/>
          </w:tcPr>
          <w:p>
            <w:r>
              <w:t>Reporting and analytics</w:t>
            </w:r>
          </w:p>
        </w:tc>
        <w:tc>
          <w:tcPr>
            <w:tcW w:type="dxa" w:w="2462"/>
          </w:tcPr>
          <w:p>
            <w:r>
              <w:t>Role-based dashboards, monthly progress reports (MPR), SLA visibility and configurable report builder.</w:t>
            </w:r>
          </w:p>
        </w:tc>
        <w:tc>
          <w:tcPr>
            <w:tcW w:type="dxa" w:w="2462"/>
          </w:tcPr>
          <w:p>
            <w:r>
              <w:t>§6</w:t>
            </w:r>
          </w:p>
        </w:tc>
      </w:tr>
      <w:tr>
        <w:tc>
          <w:tcPr>
            <w:tcW w:type="dxa" w:w="2462"/>
          </w:tcPr>
          <w:p>
            <w:r>
              <w:t>REQ-15</w:t>
            </w:r>
          </w:p>
        </w:tc>
        <w:tc>
          <w:tcPr>
            <w:tcW w:type="dxa" w:w="2462"/>
          </w:tcPr>
          <w:p>
            <w:r>
              <w:t>Collaboration</w:t>
            </w:r>
          </w:p>
        </w:tc>
        <w:tc>
          <w:tcPr>
            <w:tcW w:type="dxa" w:w="2462"/>
          </w:tcPr>
          <w:p>
            <w:r>
              <w:t>Forums, announcements, messaging and academic calendar.</w:t>
            </w:r>
          </w:p>
        </w:tc>
        <w:tc>
          <w:tcPr>
            <w:tcW w:type="dxa" w:w="2462"/>
          </w:tcPr>
          <w:p>
            <w:r>
              <w:t>§6</w:t>
            </w:r>
          </w:p>
        </w:tc>
      </w:tr>
      <w:tr>
        <w:tc>
          <w:tcPr>
            <w:tcW w:type="dxa" w:w="2462"/>
          </w:tcPr>
          <w:p>
            <w:r>
              <w:t>REQ-16</w:t>
            </w:r>
          </w:p>
        </w:tc>
        <w:tc>
          <w:tcPr>
            <w:tcW w:type="dxa" w:w="2462"/>
          </w:tcPr>
          <w:p>
            <w:r>
              <w:t>Notifications</w:t>
            </w:r>
          </w:p>
        </w:tc>
        <w:tc>
          <w:tcPr>
            <w:tcW w:type="dxa" w:w="2462"/>
          </w:tcPr>
          <w:p>
            <w:r>
              <w:t>Independent notification service: in-app, email, SMS, WhatsApp Business and push; templates and delivery analytics.</w:t>
            </w:r>
          </w:p>
        </w:tc>
        <w:tc>
          <w:tcPr>
            <w:tcW w:type="dxa" w:w="2462"/>
          </w:tcPr>
          <w:p>
            <w:r>
              <w:t>§6</w:t>
            </w:r>
          </w:p>
        </w:tc>
      </w:tr>
      <w:tr>
        <w:tc>
          <w:tcPr>
            <w:tcW w:type="dxa" w:w="2462"/>
          </w:tcPr>
          <w:p>
            <w:r>
              <w:t>REQ-17</w:t>
            </w:r>
          </w:p>
        </w:tc>
        <w:tc>
          <w:tcPr>
            <w:tcW w:type="dxa" w:w="2462"/>
          </w:tcPr>
          <w:p>
            <w:r>
              <w:t>Payments boundary</w:t>
            </w:r>
          </w:p>
        </w:tc>
        <w:tc>
          <w:tcPr>
            <w:tcW w:type="dxa" w:w="2462"/>
          </w:tcPr>
          <w:p>
            <w:r>
              <w:t>Payments appears in section heading/service architecture; detailed payment workflows are not specified and must not be assumed.</w:t>
            </w:r>
          </w:p>
        </w:tc>
        <w:tc>
          <w:tcPr>
            <w:tcW w:type="dxa" w:w="2462"/>
          </w:tcPr>
          <w:p>
            <w:r>
              <w:t>§6, §8</w:t>
            </w:r>
          </w:p>
        </w:tc>
      </w:tr>
      <w:tr>
        <w:tc>
          <w:tcPr>
            <w:tcW w:type="dxa" w:w="2462"/>
          </w:tcPr>
          <w:p>
            <w:r>
              <w:t>REQ-18</w:t>
            </w:r>
          </w:p>
        </w:tc>
        <w:tc>
          <w:tcPr>
            <w:tcW w:type="dxa" w:w="2462"/>
          </w:tcPr>
          <w:p>
            <w:r>
              <w:t>Application security</w:t>
            </w:r>
          </w:p>
        </w:tc>
        <w:tc>
          <w:tcPr>
            <w:tcW w:type="dxa" w:w="2462"/>
          </w:tcPr>
          <w:p>
            <w:r>
              <w:t>OWASP Top 10 controls, WAF/DDoS protection, auditability and applicable security governance.</w:t>
            </w:r>
          </w:p>
        </w:tc>
        <w:tc>
          <w:tcPr>
            <w:tcW w:type="dxa" w:w="2462"/>
          </w:tcPr>
          <w:p>
            <w:r>
              <w:t>§7, §9</w:t>
            </w:r>
          </w:p>
        </w:tc>
      </w:tr>
      <w:tr>
        <w:tc>
          <w:tcPr>
            <w:tcW w:type="dxa" w:w="2462"/>
          </w:tcPr>
          <w:p>
            <w:r>
              <w:t>REQ-19</w:t>
            </w:r>
          </w:p>
        </w:tc>
        <w:tc>
          <w:tcPr>
            <w:tcW w:type="dxa" w:w="2462"/>
          </w:tcPr>
          <w:p>
            <w:r>
              <w:t>Web application</w:t>
            </w:r>
          </w:p>
        </w:tc>
        <w:tc>
          <w:tcPr>
            <w:tcW w:type="dxa" w:w="2462"/>
          </w:tcPr>
          <w:p>
            <w:r>
              <w:t>Six-role, multi-tenant web application; suggested technology stack is illustrative, not a mandated selection.</w:t>
            </w:r>
          </w:p>
        </w:tc>
        <w:tc>
          <w:tcPr>
            <w:tcW w:type="dxa" w:w="2462"/>
          </w:tcPr>
          <w:p>
            <w:r>
              <w:t>§8</w:t>
            </w:r>
          </w:p>
        </w:tc>
      </w:tr>
      <w:tr>
        <w:tc>
          <w:tcPr>
            <w:tcW w:type="dxa" w:w="2462"/>
          </w:tcPr>
          <w:p>
            <w:r>
              <w:t>REQ-20</w:t>
            </w:r>
          </w:p>
        </w:tc>
        <w:tc>
          <w:tcPr>
            <w:tcW w:type="dxa" w:w="2462"/>
          </w:tcPr>
          <w:p>
            <w:r>
              <w:t>Mobile applications</w:t>
            </w:r>
          </w:p>
        </w:tc>
        <w:tc>
          <w:tcPr>
            <w:tcW w:type="dxa" w:w="2462"/>
          </w:tcPr>
          <w:p>
            <w:r>
              <w:t>Android 8+/iOS 14+; hybrid single codebase, parity, offline cache, DRM, mobile security, biometric option and PWA fallback.</w:t>
            </w:r>
          </w:p>
        </w:tc>
        <w:tc>
          <w:tcPr>
            <w:tcW w:type="dxa" w:w="2462"/>
          </w:tcPr>
          <w:p>
            <w:r>
              <w:t>§9</w:t>
            </w:r>
          </w:p>
        </w:tc>
      </w:tr>
      <w:tr>
        <w:tc>
          <w:tcPr>
            <w:tcW w:type="dxa" w:w="2462"/>
          </w:tcPr>
          <w:p>
            <w:r>
              <w:t>REQ-21</w:t>
            </w:r>
          </w:p>
        </w:tc>
        <w:tc>
          <w:tcPr>
            <w:tcW w:type="dxa" w:w="2462"/>
          </w:tcPr>
          <w:p>
            <w:r>
              <w:t>Compliance, operations and acceptance</w:t>
            </w:r>
          </w:p>
        </w:tc>
        <w:tc>
          <w:tcPr>
            <w:tcW w:type="dxa" w:w="2462"/>
          </w:tcPr>
          <w:p>
            <w:r>
              <w:t>India data residency, tamper-evident audit retention ≥5 years, CERT-In empanelled VAPT before go-live and annually, and operations requirements.</w:t>
            </w:r>
          </w:p>
        </w:tc>
        <w:tc>
          <w:tcPr>
            <w:tcW w:type="dxa" w:w="2462"/>
          </w:tcPr>
          <w:p>
            <w:r>
              <w:t>§9</w:t>
            </w:r>
          </w:p>
        </w:tc>
      </w:tr>
    </w:tbl>
    <w:p>
      <w:r>
        <w:t>Control: The 21 rows are grouped Day 1 traceability categories, not the Day 2 atomic RTM. They are reconstructed descriptions, not certified verbatim text of the previous Day 1 register.</w:t>
      </w:r>
    </w:p>
    <w:p>
      <w:pPr>
        <w:pStyle w:val="Heading1"/>
      </w:pPr>
      <w:r>
        <w:t>4. CL-01 — Initial clarification register</w:t>
      </w:r>
    </w:p>
    <w:p>
      <w:r>
        <w:rPr>
          <w:b/>
        </w:rPr>
        <w:t xml:space="preserve">CL-01 — </w:t>
      </w:r>
      <w:r>
        <w:t>Confirm the scope and availability of the other two workstreams referenced on the cover, but not detailed. [Open; question reconstructed from source gaps]</w:t>
      </w:r>
    </w:p>
    <w:p>
      <w:r>
        <w:rPr>
          <w:b/>
        </w:rPr>
        <w:t xml:space="preserve">CL-02 — </w:t>
      </w:r>
      <w:r>
        <w:t>Confirm 500,000-concurrent-user workload profile, measurement criteria and acceptance test conditions. [Open; question reconstructed from source gaps]</w:t>
      </w:r>
    </w:p>
    <w:p>
      <w:r>
        <w:rPr>
          <w:b/>
        </w:rPr>
        <w:t xml:space="preserve">CL-03 — </w:t>
      </w:r>
      <w:r>
        <w:t>Confirm uptime measurement window, exclusions, DR exercise requirements and evidence expectations. [Open; question reconstructed from source gaps]</w:t>
      </w:r>
    </w:p>
    <w:p>
      <w:r>
        <w:rPr>
          <w:b/>
        </w:rPr>
        <w:t xml:space="preserve">CL-04 — </w:t>
      </w:r>
      <w:r>
        <w:t>Confirm University/SPC/Institution hierarchy, tenancy cardinality and cross-institution permissions. [Open; question reconstructed from source gaps]</w:t>
      </w:r>
    </w:p>
    <w:p>
      <w:r>
        <w:rPr>
          <w:b/>
        </w:rPr>
        <w:t xml:space="preserve">CL-05 — </w:t>
      </w:r>
      <w:r>
        <w:t>Confirm whether a person can hold multiple roles and how role-switching and MFA policies apply. [Open; question reconstructed from source gaps]</w:t>
      </w:r>
    </w:p>
    <w:p>
      <w:r>
        <w:rPr>
          <w:b/>
        </w:rPr>
        <w:t xml:space="preserve">CL-06 — </w:t>
      </w:r>
      <w:r>
        <w:t>Confirm authoritative identity provider, Digi-Pharmed/PRTS SSO contract, OTP channels and biometric scope. [Open; question reconstructed from source gaps]</w:t>
      </w:r>
    </w:p>
    <w:p>
      <w:r>
        <w:rPr>
          <w:b/>
        </w:rPr>
        <w:t xml:space="preserve">CL-07 — </w:t>
      </w:r>
      <w:r>
        <w:t>Confirm external live-class provider, licensing, recordings/transcripts, DRM and storage ownership. [Open; question reconstructed from source gaps]</w:t>
      </w:r>
    </w:p>
    <w:p>
      <w:r>
        <w:rPr>
          <w:b/>
        </w:rPr>
        <w:t xml:space="preserve">CL-08 — </w:t>
      </w:r>
      <w:r>
        <w:t>Confirm examination/marksheet/certificate signing authority, DigiLocker integration and verification workflow. [Open; question reconstructed from source gaps]</w:t>
      </w:r>
    </w:p>
    <w:p>
      <w:r>
        <w:rPr>
          <w:b/>
        </w:rPr>
        <w:t xml:space="preserve">CL-09 — </w:t>
      </w:r>
      <w:r>
        <w:t>Confirm whether payment processing is in scope and provide functional rules if required. [Open; question reconstructed from source gaps]</w:t>
      </w:r>
    </w:p>
    <w:p>
      <w:r>
        <w:rPr>
          <w:b/>
        </w:rPr>
        <w:t xml:space="preserve">CL-10 — </w:t>
      </w:r>
      <w:r>
        <w:t>Confirm 120-working-day milestones, mobile parity, VAPT, performance sign-off and approval owners. [Open; question reconstructed from source gaps]</w:t>
      </w:r>
    </w:p>
    <w:p>
      <w:pPr>
        <w:pStyle w:val="Heading1"/>
      </w:pPr>
      <w:r>
        <w:t>5. Initial verification and traceability strategy</w:t>
      </w:r>
    </w:p>
    <w:p>
      <w:pPr>
        <w:pStyle w:val="ListBullet"/>
      </w:pPr>
      <w:r>
        <w:t>Each requirement must map to its source section, an owner, acceptance criterion and at least one test/evidence item.</w:t>
      </w:r>
    </w:p>
    <w:p>
      <w:pPr>
        <w:pStyle w:val="ListBullet"/>
      </w:pPr>
      <w:r>
        <w:t>Scale/availability/DR require measurable non-functional test evidence rather than design assertions.</w:t>
      </w:r>
    </w:p>
    <w:p>
      <w:pPr>
        <w:pStyle w:val="ListBullet"/>
      </w:pPr>
      <w:r>
        <w:t>Role/access requirements require role-by-role authorization and authentication test coverage.</w:t>
      </w:r>
    </w:p>
    <w:p>
      <w:pPr>
        <w:pStyle w:val="ListBullet"/>
      </w:pPr>
      <w:r>
        <w:t>Academic lifecycle, assessments, certification, notifications, web/mobile parity and security require functional and integration tests.</w:t>
      </w:r>
    </w:p>
    <w:p>
      <w:pPr>
        <w:pStyle w:val="ListBullet"/>
      </w:pPr>
      <w:r>
        <w:t>Unresolved CL items must not be silently converted into requirements or architectural decisions.</w:t>
      </w:r>
    </w:p>
    <w:p>
      <w:pPr>
        <w:pStyle w:val="Heading1"/>
      </w:pPr>
      <w:r>
        <w:t>6. Day 1 deliverables and gate</w:t>
      </w:r>
    </w:p>
    <w:p>
      <w:pPr>
        <w:pStyle w:val="ListBullet"/>
      </w:pPr>
      <w:r>
        <w:t>Controlled source baseline — established, subject to source version confirmation.</w:t>
      </w:r>
    </w:p>
    <w:p>
      <w:pPr>
        <w:pStyle w:val="ListBullet"/>
      </w:pPr>
      <w:r>
        <w:t>BL-01 grouped requirements register — working baseline (REQ-01–REQ-21).</w:t>
      </w:r>
    </w:p>
    <w:p>
      <w:pPr>
        <w:pStyle w:val="ListBullet"/>
      </w:pPr>
      <w:r>
        <w:t>Functional boundary catalogue — source-backed scope groups and explicit exclusions/unknowns.</w:t>
      </w:r>
    </w:p>
    <w:p>
      <w:pPr>
        <w:pStyle w:val="ListBullet"/>
      </w:pPr>
      <w:r>
        <w:t>Initial NFR register — 500k concurrent, uptime, CDN, DR, security, mobile and compliance.</w:t>
      </w:r>
    </w:p>
    <w:p>
      <w:pPr>
        <w:pStyle w:val="ListBullet"/>
      </w:pPr>
      <w:r>
        <w:t>CL-01 clarification log — ten open questions for stakeholder confirmation.</w:t>
      </w:r>
    </w:p>
    <w:p>
      <w:pPr>
        <w:pStyle w:val="ListBullet"/>
      </w:pPr>
      <w:r>
        <w:t>Initial acceptance and test traceability — strategy only; detailed test cases pending.</w:t>
      </w:r>
    </w:p>
    <w:p>
      <w:r>
        <w:t>Day 1 decision: Discovery baseline prepared for review; NOT an approval of architecture, implementation, effort estimates or unresolved clarifications.</w:t>
      </w:r>
    </w:p>
    <w:p>
      <w:pPr>
        <w:pStyle w:val="Heading1"/>
      </w:pPr>
      <w:r>
        <w:t>7. Change control and Day 2 handoff</w:t>
      </w:r>
    </w:p>
    <w:p>
      <w:r>
        <w:t>Any new scope must identify source evidence or an approved change request, impact on cost/time/testing, decision owner and approval date. Maintain revisions through GitHub pull requests; do not overwrite an approved baseline without review.</w:t>
      </w:r>
    </w:p>
    <w:p>
      <w:r>
        <w:t>Day 2 handoff: Decompose grouped requirements into atomic, testable RTM entries, preserve source-section references, assign clarification dependencies and prepare detailed acceptance mapping.</w:t>
      </w:r>
    </w:p>
    <w:p>
      <w:pPr>
        <w:pStyle w:val="Heading1"/>
      </w:pPr>
      <w:r>
        <w:t>8. Approval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</w:tcPr>
          <w:p>
            <w:r>
              <w:t>Role</w:t>
            </w:r>
          </w:p>
        </w:tc>
        <w:tc>
          <w:tcPr>
            <w:tcW w:type="dxa" w:w="2462"/>
          </w:tcPr>
          <w:p>
            <w:r>
              <w:t>Name</w:t>
            </w:r>
          </w:p>
        </w:tc>
        <w:tc>
          <w:tcPr>
            <w:tcW w:type="dxa" w:w="2462"/>
          </w:tcPr>
          <w:p>
            <w:r>
              <w:t>Decision</w:t>
            </w:r>
          </w:p>
        </w:tc>
        <w:tc>
          <w:tcPr>
            <w:tcW w:type="dxa" w:w="2462"/>
          </w:tcPr>
          <w:p>
            <w:r>
              <w:t>Date</w:t>
            </w:r>
          </w:p>
        </w:tc>
      </w:tr>
      <w:tr>
        <w:tc>
          <w:tcPr>
            <w:tcW w:type="dxa" w:w="2462"/>
          </w:tcPr>
          <w:p>
            <w:r>
              <w:t>Product Owner / University Representative</w:t>
            </w:r>
          </w:p>
        </w:tc>
        <w:tc>
          <w:tcPr>
            <w:tcW w:type="dxa" w:w="2462"/>
          </w:tcPr>
          <w:p>
            <w:r>
              <w:t>Pending</w:t>
            </w:r>
          </w:p>
        </w:tc>
        <w:tc>
          <w:tcPr>
            <w:tcW w:type="dxa" w:w="2462"/>
          </w:tcPr>
          <w:p>
            <w:r>
              <w:t>Not approved</w:t>
            </w:r>
          </w:p>
        </w:tc>
        <w:tc>
          <w:tcPr>
            <w:tcW w:type="dxa" w:w="2462"/>
          </w:tcPr>
          <w:p>
            <w:r>
              <w:t>—</w:t>
            </w:r>
          </w:p>
        </w:tc>
      </w:tr>
      <w:tr>
        <w:tc>
          <w:tcPr>
            <w:tcW w:type="dxa" w:w="2462"/>
          </w:tcPr>
          <w:p>
            <w:r>
              <w:t>Project Manager</w:t>
            </w:r>
          </w:p>
        </w:tc>
        <w:tc>
          <w:tcPr>
            <w:tcW w:type="dxa" w:w="2462"/>
          </w:tcPr>
          <w:p>
            <w:r>
              <w:t>Pending</w:t>
            </w:r>
          </w:p>
        </w:tc>
        <w:tc>
          <w:tcPr>
            <w:tcW w:type="dxa" w:w="2462"/>
          </w:tcPr>
          <w:p>
            <w:r>
              <w:t>Not approved</w:t>
            </w:r>
          </w:p>
        </w:tc>
        <w:tc>
          <w:tcPr>
            <w:tcW w:type="dxa" w:w="2462"/>
          </w:tcPr>
          <w:p>
            <w:r>
              <w:t>—</w:t>
            </w:r>
          </w:p>
        </w:tc>
      </w:tr>
      <w:tr>
        <w:tc>
          <w:tcPr>
            <w:tcW w:type="dxa" w:w="2462"/>
          </w:tcPr>
          <w:p>
            <w:r>
              <w:t>Solution Architect</w:t>
            </w:r>
          </w:p>
        </w:tc>
        <w:tc>
          <w:tcPr>
            <w:tcW w:type="dxa" w:w="2462"/>
          </w:tcPr>
          <w:p>
            <w:r>
              <w:t>Pending</w:t>
            </w:r>
          </w:p>
        </w:tc>
        <w:tc>
          <w:tcPr>
            <w:tcW w:type="dxa" w:w="2462"/>
          </w:tcPr>
          <w:p>
            <w:r>
              <w:t>Not approved</w:t>
            </w:r>
          </w:p>
        </w:tc>
        <w:tc>
          <w:tcPr>
            <w:tcW w:type="dxa" w:w="2462"/>
          </w:tcPr>
          <w:p>
            <w:r>
              <w:t>—</w:t>
            </w:r>
          </w:p>
        </w:tc>
      </w:tr>
      <w:tr>
        <w:tc>
          <w:tcPr>
            <w:tcW w:type="dxa" w:w="2462"/>
          </w:tcPr>
          <w:p>
            <w:r>
              <w:t>QA / Test Lead</w:t>
            </w:r>
          </w:p>
        </w:tc>
        <w:tc>
          <w:tcPr>
            <w:tcW w:type="dxa" w:w="2462"/>
          </w:tcPr>
          <w:p>
            <w:r>
              <w:t>Pending</w:t>
            </w:r>
          </w:p>
        </w:tc>
        <w:tc>
          <w:tcPr>
            <w:tcW w:type="dxa" w:w="2462"/>
          </w:tcPr>
          <w:p>
            <w:r>
              <w:t>Not approved</w:t>
            </w:r>
          </w:p>
        </w:tc>
        <w:tc>
          <w:tcPr>
            <w:tcW w:type="dxa" w:w="2462"/>
          </w:tcPr>
          <w:p>
            <w: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95" w:bottom="1008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Ravindra LMS | Day 1 | Working reconstruction — not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A5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