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02 | Requirements Traceability &amp; Control</w:t>
      </w:r>
    </w:p>
    <w:p>
      <w:pPr>
        <w:pStyle w:val="Subtitle"/>
      </w:pPr>
      <w:r>
        <w:t>Atomic requirements register • clarification management • verification planning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Ravindra University LMS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Working draft — pending stakeholder validation</w:t>
            </w:r>
          </w:p>
        </w:tc>
      </w:tr>
      <w:tr>
        <w:tc>
          <w:tcPr>
            <w:tcW w:type="dxa" w:w="4320"/>
          </w:tcPr>
          <w:p>
            <w:r>
              <w:t>Planning horizon</w:t>
            </w:r>
          </w:p>
        </w:tc>
        <w:tc>
          <w:tcPr>
            <w:tcW w:type="dxa" w:w="4320"/>
          </w:tcPr>
          <w:p>
            <w:r>
              <w:t>120 working days (revised project assumption)</w:t>
            </w:r>
          </w:p>
        </w:tc>
      </w:tr>
      <w:tr>
        <w:tc>
          <w:tcPr>
            <w:tcW w:type="dxa" w:w="4320"/>
          </w:tcPr>
          <w:p>
            <w:r>
              <w:t>Source basis</w:t>
            </w:r>
          </w:p>
        </w:tc>
        <w:tc>
          <w:tcPr>
            <w:tcW w:type="dxa" w:w="4320"/>
          </w:tcPr>
          <w:p>
            <w:r>
              <w:t>Technical requirement-Ravindra.docx, sections 1–11; prior Day 1/Day 2 analysis</w:t>
            </w:r>
          </w:p>
        </w:tc>
      </w:tr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No scope additions without source reference and approval</w:t>
            </w:r>
          </w:p>
        </w:tc>
      </w:tr>
    </w:tbl>
    <w:p>
      <w:pPr>
        <w:pStyle w:val="Caption"/>
      </w:pPr>
      <w:r>
        <w:t>Document-control note: This is a reconstructed working document, not a signed or formally approved baseline. Confirm wording against the original source before approval.</w:t>
      </w:r>
    </w:p>
    <w:p>
      <w:pPr>
        <w:pStyle w:val="Heading1"/>
      </w:pPr>
      <w:r>
        <w:t>1. Purpose</w:t>
      </w:r>
    </w:p>
    <w:p>
      <w:r>
        <w:t>Translate the source technical requirement into verifiable atomic requirements and preserve source-to-design-to-test traceability. This document records the known Day 2 category inventory and a working control framework; it does not claim that unprovided verbatim atomic requirement rows have been independently revalidated.</w:t>
      </w:r>
    </w:p>
    <w:p>
      <w:pPr>
        <w:pStyle w:val="Heading1"/>
      </w:pPr>
      <w:r>
        <w:t>2. Atomic requirement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Prefix</w:t>
            </w:r>
          </w:p>
        </w:tc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Entries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NFR</w:t>
            </w:r>
          </w:p>
        </w:tc>
        <w:tc>
          <w:tcPr>
            <w:tcW w:type="dxa" w:w="2160"/>
          </w:tcPr>
          <w:p>
            <w:r>
              <w:t>Non-functional requirements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§2, §7–9</w:t>
            </w:r>
          </w:p>
        </w:tc>
      </w:tr>
      <w:tr>
        <w:tc>
          <w:tcPr>
            <w:tcW w:type="dxa" w:w="2160"/>
          </w:tcPr>
          <w:p>
            <w:r>
              <w:t>IAM</w:t>
            </w:r>
          </w:p>
        </w:tc>
        <w:tc>
          <w:tcPr>
            <w:tcW w:type="dxa" w:w="2160"/>
          </w:tcPr>
          <w:p>
            <w:r>
              <w:t>Identity and access management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§3</w:t>
            </w:r>
          </w:p>
        </w:tc>
      </w:tr>
      <w:tr>
        <w:tc>
          <w:tcPr>
            <w:tcW w:type="dxa" w:w="2160"/>
          </w:tcPr>
          <w:p>
            <w:r>
              <w:t>ACD</w:t>
            </w:r>
          </w:p>
        </w:tc>
        <w:tc>
          <w:tcPr>
            <w:tcW w:type="dxa" w:w="2160"/>
          </w:tcPr>
          <w:p>
            <w:r>
              <w:t>Academic content and delivery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§4</w:t>
            </w:r>
          </w:p>
        </w:tc>
      </w:tr>
      <w:tr>
        <w:tc>
          <w:tcPr>
            <w:tcW w:type="dxa" w:w="2160"/>
          </w:tcPr>
          <w:p>
            <w:r>
              <w:t>ASM</w:t>
            </w:r>
          </w:p>
        </w:tc>
        <w:tc>
          <w:tcPr>
            <w:tcW w:type="dxa" w:w="2160"/>
          </w:tcPr>
          <w:p>
            <w:r>
              <w:t>Assessment and academic records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§5</w:t>
            </w:r>
          </w:p>
        </w:tc>
      </w:tr>
      <w:tr>
        <w:tc>
          <w:tcPr>
            <w:tcW w:type="dxa" w:w="2160"/>
          </w:tcPr>
          <w:p>
            <w:r>
              <w:t>COM</w:t>
            </w:r>
          </w:p>
        </w:tc>
        <w:tc>
          <w:tcPr>
            <w:tcW w:type="dxa" w:w="2160"/>
          </w:tcPr>
          <w:p>
            <w:r>
              <w:t>Communications and reporting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MOB</w:t>
            </w:r>
          </w:p>
        </w:tc>
        <w:tc>
          <w:tcPr>
            <w:tcW w:type="dxa" w:w="2160"/>
          </w:tcPr>
          <w:p>
            <w:r>
              <w:t>Mobile platform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§9</w:t>
            </w:r>
          </w:p>
        </w:tc>
      </w:tr>
      <w:tr>
        <w:tc>
          <w:tcPr>
            <w:tcW w:type="dxa" w:w="2160"/>
          </w:tcPr>
          <w:p>
            <w:r>
              <w:t>SEC</w:t>
            </w:r>
          </w:p>
        </w:tc>
        <w:tc>
          <w:tcPr>
            <w:tcW w:type="dxa" w:w="2160"/>
          </w:tcPr>
          <w:p>
            <w:r>
              <w:t>Security and compliance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§7, §9</w:t>
            </w:r>
          </w:p>
        </w:tc>
      </w:tr>
      <w:tr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Operations and delivery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§2, §9–10</w:t>
            </w:r>
          </w:p>
        </w:tc>
      </w:tr>
    </w:tbl>
    <w:p>
      <w:r>
        <w:t>Reconciled count: 152 entries across the eight listed categories (10+20+23+23+22+28+16+10). Earlier working notes referenced 158; that number does not reconcile to these category totals. Resolve the discrepancy against the authoritative RTM before sign-off.</w:t>
      </w:r>
    </w:p>
    <w:p>
      <w:pPr>
        <w:pStyle w:val="Heading1"/>
      </w:pPr>
      <w:r>
        <w:t>3. Traceability data contract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Stable unique ID; do not recycle</w:t>
            </w:r>
          </w:p>
        </w:tc>
      </w:tr>
      <w:tr>
        <w:tc>
          <w:tcPr>
            <w:tcW w:type="dxa" w:w="4320"/>
          </w:tcPr>
          <w:p>
            <w:r>
              <w:t>Source reference</w:t>
            </w:r>
          </w:p>
        </w:tc>
        <w:tc>
          <w:tcPr>
            <w:tcW w:type="dxa" w:w="4320"/>
          </w:tcPr>
          <w:p>
            <w:r>
              <w:t>Exact section and supporting wording</w:t>
            </w:r>
          </w:p>
        </w:tc>
      </w:tr>
      <w:tr>
        <w:tc>
          <w:tcPr>
            <w:tcW w:type="dxa" w:w="4320"/>
          </w:tcPr>
          <w:p>
            <w:r>
              <w:t>Requirement statement</w:t>
            </w:r>
          </w:p>
        </w:tc>
        <w:tc>
          <w:tcPr>
            <w:tcW w:type="dxa" w:w="4320"/>
          </w:tcPr>
          <w:p>
            <w:r>
              <w:t>Atomic, independently testable statement</w:t>
            </w:r>
          </w:p>
        </w:tc>
      </w:tr>
      <w:tr>
        <w:tc>
          <w:tcPr>
            <w:tcW w:type="dxa" w:w="4320"/>
          </w:tcPr>
          <w:p>
            <w:r>
              <w:t>Priority / classification</w:t>
            </w:r>
          </w:p>
        </w:tc>
        <w:tc>
          <w:tcPr>
            <w:tcW w:type="dxa" w:w="4320"/>
          </w:tcPr>
          <w:p>
            <w:r>
              <w:t>Mandatory vs suggested vs pending clarification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Observable pass/fail condition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Accountable University/product representative</w:t>
            </w:r>
          </w:p>
        </w:tc>
      </w:tr>
      <w:tr>
        <w:tc>
          <w:tcPr>
            <w:tcW w:type="dxa" w:w="4320"/>
          </w:tcPr>
          <w:p>
            <w:r>
              <w:t>Design mapping</w:t>
            </w:r>
          </w:p>
        </w:tc>
        <w:tc>
          <w:tcPr>
            <w:tcW w:type="dxa" w:w="4320"/>
          </w:tcPr>
          <w:p>
            <w:r>
              <w:t>Architecture component / ADR / interface</w:t>
            </w:r>
          </w:p>
        </w:tc>
      </w:tr>
      <w:tr>
        <w:tc>
          <w:tcPr>
            <w:tcW w:type="dxa" w:w="4320"/>
          </w:tcPr>
          <w:p>
            <w:r>
              <w:t>Verification mapping</w:t>
            </w:r>
          </w:p>
        </w:tc>
        <w:tc>
          <w:tcPr>
            <w:tcW w:type="dxa" w:w="4320"/>
          </w:tcPr>
          <w:p>
            <w:r>
              <w:t>Test case and evidence link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/ Clarification / Baselined / Implemented / Verified</w:t>
            </w:r>
          </w:p>
        </w:tc>
      </w:tr>
      <w:tr>
        <w:tc>
          <w:tcPr>
            <w:tcW w:type="dxa" w:w="4320"/>
          </w:tcPr>
          <w:p>
            <w:r>
              <w:t>Change record</w:t>
            </w:r>
          </w:p>
        </w:tc>
        <w:tc>
          <w:tcPr>
            <w:tcW w:type="dxa" w:w="4320"/>
          </w:tcPr>
          <w:p>
            <w:r>
              <w:t>Decision and impact analysis</w:t>
            </w:r>
          </w:p>
        </w:tc>
      </w:tr>
    </w:tbl>
    <w:p>
      <w:pPr>
        <w:pStyle w:val="Heading1"/>
      </w:pPr>
      <w:r>
        <w:t>4. Representative source-traced examples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Requirement / constraint</w:t>
            </w:r>
          </w:p>
        </w:tc>
        <w:tc>
          <w:tcPr>
            <w:tcW w:type="dxa" w:w="2880"/>
          </w:tcPr>
          <w:p>
            <w:r>
              <w:t>Verification concept</w:t>
            </w:r>
          </w:p>
        </w:tc>
      </w:tr>
      <w:tr>
        <w:tc>
          <w:tcPr>
            <w:tcW w:type="dxa" w:w="2880"/>
          </w:tcPr>
          <w:p>
            <w:r>
              <w:t>§2</w:t>
            </w:r>
          </w:p>
        </w:tc>
        <w:tc>
          <w:tcPr>
            <w:tcW w:type="dxa" w:w="2880"/>
          </w:tcPr>
          <w:p>
            <w:r>
              <w:t>Support ≥500,000 concurrent users</w:t>
            </w:r>
          </w:p>
        </w:tc>
        <w:tc>
          <w:tcPr>
            <w:tcW w:type="dxa" w:w="2880"/>
          </w:tcPr>
          <w:p>
            <w:r>
              <w:t>Approved load model and witnessed performance evidence</w:t>
            </w:r>
          </w:p>
        </w:tc>
      </w:tr>
      <w:tr>
        <w:tc>
          <w:tcPr>
            <w:tcW w:type="dxa" w:w="2880"/>
          </w:tcPr>
          <w:p>
            <w:r>
              <w:t>§2</w:t>
            </w:r>
          </w:p>
        </w:tc>
        <w:tc>
          <w:tcPr>
            <w:tcW w:type="dxa" w:w="2880"/>
          </w:tcPr>
          <w:p>
            <w:r>
              <w:t>Geo-DR RTO ≤4 hours; RPO ≤24 hours</w:t>
            </w:r>
          </w:p>
        </w:tc>
        <w:tc>
          <w:tcPr>
            <w:tcW w:type="dxa" w:w="2880"/>
          </w:tcPr>
          <w:p>
            <w:r>
              <w:t>Documented failover exercise</w:t>
            </w:r>
          </w:p>
        </w:tc>
      </w:tr>
      <w:tr>
        <w:tc>
          <w:tcPr>
            <w:tcW w:type="dxa" w:w="2880"/>
          </w:tcPr>
          <w:p>
            <w:r>
              <w:t>§3</w:t>
            </w:r>
          </w:p>
        </w:tc>
        <w:tc>
          <w:tcPr>
            <w:tcW w:type="dxa" w:w="2880"/>
          </w:tcPr>
          <w:p>
            <w:r>
              <w:t>Six named roles with RBAC and required authentication controls</w:t>
            </w:r>
          </w:p>
        </w:tc>
        <w:tc>
          <w:tcPr>
            <w:tcW w:type="dxa" w:w="2880"/>
          </w:tcPr>
          <w:p>
            <w:r>
              <w:t>Role-permission matrix and security tests</w:t>
            </w:r>
          </w:p>
        </w:tc>
      </w:tr>
      <w:tr>
        <w:tc>
          <w:tcPr>
            <w:tcW w:type="dxa" w:w="2880"/>
          </w:tcPr>
          <w:p>
            <w:r>
              <w:t>§4</w:t>
            </w:r>
          </w:p>
        </w:tc>
        <w:tc>
          <w:tcPr>
            <w:tcW w:type="dxa" w:w="2880"/>
          </w:tcPr>
          <w:p>
            <w:r>
              <w:t>Content Draft → Review → Approved → Published</w:t>
            </w:r>
          </w:p>
        </w:tc>
        <w:tc>
          <w:tcPr>
            <w:tcW w:type="dxa" w:w="2880"/>
          </w:tcPr>
          <w:p>
            <w:r>
              <w:t>Workflow state transition tests</w:t>
            </w:r>
          </w:p>
        </w:tc>
      </w:tr>
      <w:tr>
        <w:tc>
          <w:tcPr>
            <w:tcW w:type="dxa" w:w="2880"/>
          </w:tcPr>
          <w:p>
            <w:r>
              <w:t>§5</w:t>
            </w:r>
          </w:p>
        </w:tc>
        <w:tc>
          <w:tcPr>
            <w:tcW w:type="dxa" w:w="2880"/>
          </w:tcPr>
          <w:p>
            <w:r>
              <w:t>AI-assisted question generation subject to human SME review</w:t>
            </w:r>
          </w:p>
        </w:tc>
        <w:tc>
          <w:tcPr>
            <w:tcW w:type="dxa" w:w="2880"/>
          </w:tcPr>
          <w:p>
            <w:r>
              <w:t>Approval gate and audit evidence</w:t>
            </w:r>
          </w:p>
        </w:tc>
      </w:tr>
      <w:tr>
        <w:tc>
          <w:tcPr>
            <w:tcW w:type="dxa" w:w="2880"/>
          </w:tcPr>
          <w:p>
            <w:r>
              <w:t>§9</w:t>
            </w:r>
          </w:p>
        </w:tc>
        <w:tc>
          <w:tcPr>
            <w:tcW w:type="dxa" w:w="2880"/>
          </w:tcPr>
          <w:p>
            <w:r>
              <w:t>Android 8+ and iOS 14+ support</w:t>
            </w:r>
          </w:p>
        </w:tc>
        <w:tc>
          <w:tcPr>
            <w:tcW w:type="dxa" w:w="2880"/>
          </w:tcPr>
          <w:p>
            <w:r>
              <w:t>Device compatibility test matrix</w:t>
            </w:r>
          </w:p>
        </w:tc>
      </w:tr>
      <w:tr>
        <w:tc>
          <w:tcPr>
            <w:tcW w:type="dxa" w:w="2880"/>
          </w:tcPr>
          <w:p>
            <w:r>
              <w:t>§9</w:t>
            </w:r>
          </w:p>
        </w:tc>
        <w:tc>
          <w:tcPr>
            <w:tcW w:type="dxa" w:w="2880"/>
          </w:tcPr>
          <w:p>
            <w:r>
              <w:t>CERT-In empanelled VAPT before go-live and annually</w:t>
            </w:r>
          </w:p>
        </w:tc>
        <w:tc>
          <w:tcPr>
            <w:tcW w:type="dxa" w:w="2880"/>
          </w:tcPr>
          <w:p>
            <w:r>
              <w:t>Independent assessment evidence</w:t>
            </w:r>
          </w:p>
        </w:tc>
      </w:tr>
      <w:tr>
        <w:tc>
          <w:tcPr>
            <w:tcW w:type="dxa" w:w="2880"/>
          </w:tcPr>
          <w:p>
            <w:r>
              <w:t>§9</w:t>
            </w:r>
          </w:p>
        </w:tc>
        <w:tc>
          <w:tcPr>
            <w:tcW w:type="dxa" w:w="2880"/>
          </w:tcPr>
          <w:p>
            <w:r>
              <w:t>India data residency; tamper-evident audit ≥5 years</w:t>
            </w:r>
          </w:p>
        </w:tc>
        <w:tc>
          <w:tcPr>
            <w:tcW w:type="dxa" w:w="2880"/>
          </w:tcPr>
          <w:p>
            <w:r>
              <w:t>Infrastructure controls and retention verification</w:t>
            </w:r>
          </w:p>
        </w:tc>
      </w:tr>
    </w:tbl>
    <w:p>
      <w:r>
        <w:t>These are representative summaries, not substitutes for the original IAM-001 etc. atomic statements.</w:t>
      </w:r>
    </w:p>
    <w:p>
      <w:pPr>
        <w:pStyle w:val="Heading1"/>
      </w:pPr>
      <w:r>
        <w:t>5. Open clarification control</w:t>
      </w:r>
    </w:p>
    <w:p>
      <w:r>
        <w:t>Day 2 working analysis identified 16 open clarification IDs (CL-001–CL-016). Their exact question text and owners require reconciliation with the original register. The following areas should be verified without assuming a decision:</w:t>
      </w:r>
    </w:p>
    <w:p>
      <w:pPr>
        <w:pStyle w:val="ListBullet"/>
      </w:pPr>
      <w:r>
        <w:t>University / SPC / Institution hierarchy and cardinality, multi-role users and delegation.</w:t>
      </w:r>
    </w:p>
    <w:p>
      <w:pPr>
        <w:pStyle w:val="ListBullet"/>
      </w:pPr>
      <w:r>
        <w:t>Scope of payment workflows, if any, and external system ownership.</w:t>
      </w:r>
    </w:p>
    <w:p>
      <w:pPr>
        <w:pStyle w:val="ListBullet"/>
      </w:pPr>
      <w:r>
        <w:t>Concurrent-user workload mix, content bandwidth and test acceptance model.</w:t>
      </w:r>
    </w:p>
    <w:p>
      <w:pPr>
        <w:pStyle w:val="ListBullet"/>
      </w:pPr>
      <w:r>
        <w:t>SSO interfaces, mobile offline policy, DRM provider and notification-channel credentials.</w:t>
      </w:r>
    </w:p>
    <w:p>
      <w:pPr>
        <w:pStyle w:val="ListBullet"/>
      </w:pPr>
      <w:r>
        <w:t>Legal signatories, certificate numbering, DigiLocker integration and audit evidence.</w:t>
      </w:r>
    </w:p>
    <w:p>
      <w:pPr>
        <w:pStyle w:val="Heading1"/>
      </w:pPr>
      <w:r>
        <w:t>6. Requirements-to-test workflow</w:t>
      </w:r>
    </w:p>
    <w:p>
      <w:pPr>
        <w:pStyle w:val="ListBullet"/>
      </w:pPr>
      <w:r>
        <w:t>For each requirement, attach an exact source reference and classification.</w:t>
      </w:r>
    </w:p>
    <w:p>
      <w:pPr>
        <w:pStyle w:val="ListBullet"/>
      </w:pPr>
      <w:r>
        <w:t>Link to one or more design elements and test cases.</w:t>
      </w:r>
    </w:p>
    <w:p>
      <w:pPr>
        <w:pStyle w:val="ListBullet"/>
      </w:pPr>
      <w:r>
        <w:t>Do not mark Verified until test evidence and reviewer are recorded.</w:t>
      </w:r>
    </w:p>
    <w:p>
      <w:pPr>
        <w:pStyle w:val="ListBullet"/>
      </w:pPr>
      <w:r>
        <w:t>Raise a change request for anything absent from the approved baseline.</w:t>
      </w:r>
    </w:p>
    <w:p>
      <w:pPr>
        <w:pStyle w:val="ListBullet"/>
      </w:pPr>
      <w:r>
        <w:t>Treat open clarifications as unresolved; do not silently convert them into implementation scope.</w:t>
      </w:r>
    </w:p>
    <w:p>
      <w:pPr>
        <w:pStyle w:val="Heading1"/>
      </w:pPr>
      <w:r>
        <w:t>7. Day 2 exit criteria</w:t>
      </w:r>
    </w:p>
    <w:p>
      <w:r>
        <w:t>☐ Atomic count discrepancy resolved</w:t>
      </w:r>
    </w:p>
    <w:p>
      <w:r>
        <w:t>☐ Original 152-or-158-row inventory reconciled with authoritative source</w:t>
      </w:r>
    </w:p>
    <w:p>
      <w:r>
        <w:t>☐ All 16 clarifications assigned and dispositioned</w:t>
      </w:r>
    </w:p>
    <w:p>
      <w:r>
        <w:t>☐ Acceptance criteria and owners assigned</w:t>
      </w:r>
    </w:p>
    <w:p>
      <w:r>
        <w:t>☐ RTM baseline approved before implementation commitment</w:t>
      </w:r>
    </w:p>
    <w:sectPr w:rsidR="00FC693F" w:rsidRPr="0006063C" w:rsidSect="00034616">
      <w:pgSz w:w="12240" w:h="15840"/>
      <w:pgMar w:top="1080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B6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B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B6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