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UNIVERSITY LMS</w:t>
      </w:r>
    </w:p>
    <w:p>
      <w:pPr>
        <w:pStyle w:val="Heading1"/>
      </w:pPr>
      <w:r>
        <w:t>Day 3 — Enterprise Data Object Catalogue, Logical Relationships &amp; Design Decision Register</w:t>
      </w:r>
    </w:p>
    <w:p>
      <w:r>
        <w:t>Baseline v0.1 | Status: DRAFT — REVIEW REQUIRED | Delivery planning horizon: 120 working days</w:t>
      </w:r>
    </w:p>
    <w:p>
      <w:r>
        <w:t>Source hierarchy: University LMS master requirements v1.0 (Sections 1–11); original Day 2 Atomic Requirements Traceability Matrix v0.1; 120-working-day execution strategy as planning context. No new University product requirements are introduced.</w:t>
      </w:r>
    </w:p>
    <w:p>
      <w:pPr>
        <w:pStyle w:val="Heading1"/>
      </w:pPr>
      <w:r>
        <w:t>1. Purpose, boundary and non-negotiable controls</w:t>
      </w:r>
    </w:p>
    <w:p>
      <w:r>
        <w:t>Day 3 establishes a traceable logical information model BEFORE physical database schemas, service decomposition or implementation are approved. Logical objects and attributes are candidate engineering design—not additional University requirements. No cardinality, retention duration (except the explicit audit minimum), workflow permission or integration contract is treated as approved without source evidence.</w:t>
      </w:r>
    </w:p>
    <w:tbl>
      <w:tblPr>
        <w:tblStyle w:val="LightShading-Accent1"/>
        <w:tblW w:type="auto" w:w="0"/>
        <w:jc w:val="center"/>
        <w:tblLook w:firstColumn="1" w:firstRow="1" w:lastColumn="0" w:lastRow="0" w:noHBand="0" w:noVBand="1" w:val="04A0"/>
      </w:tblPr>
      <w:tblGrid>
        <w:gridCol w:w="5040"/>
        <w:gridCol w:w="5040"/>
      </w:tblGrid>
      <w:tr>
        <w:tc>
          <w:tcPr>
            <w:tcW w:type="dxa" w:w="5040"/>
          </w:tcPr>
          <w:p>
            <w:pPr>
              <w:spacing w:after="20"/>
            </w:pPr>
            <w:r>
              <w:rPr>
                <w:sz w:val="14"/>
              </w:rPr>
              <w:t>Control</w:t>
            </w:r>
          </w:p>
        </w:tc>
        <w:tc>
          <w:tcPr>
            <w:tcW w:type="dxa" w:w="5040"/>
          </w:tcPr>
          <w:p>
            <w:pPr>
              <w:spacing w:after="20"/>
            </w:pPr>
            <w:r>
              <w:rPr>
                <w:sz w:val="14"/>
              </w:rPr>
              <w:t>Day 3 rule</w:t>
            </w:r>
          </w:p>
        </w:tc>
      </w:tr>
      <w:tr>
        <w:tc>
          <w:tcPr>
            <w:tcW w:type="dxa" w:w="5040"/>
          </w:tcPr>
          <w:p>
            <w:pPr>
              <w:spacing w:after="20"/>
            </w:pPr>
            <w:r>
              <w:rPr>
                <w:sz w:val="14"/>
              </w:rPr>
              <w:t>Naming</w:t>
            </w:r>
          </w:p>
        </w:tc>
        <w:tc>
          <w:tcPr>
            <w:tcW w:type="dxa" w:w="5040"/>
          </w:tcPr>
          <w:p>
            <w:pPr>
              <w:spacing w:after="20"/>
            </w:pPr>
            <w:r>
              <w:rPr>
                <w:sz w:val="14"/>
              </w:rPr>
              <w:t>Use UNIVERSITY LMS in all newly authored headings, filenames, artefacts and diagrams.</w:t>
            </w:r>
          </w:p>
        </w:tc>
      </w:tr>
      <w:tr>
        <w:tc>
          <w:tcPr>
            <w:tcW w:type="dxa" w:w="5040"/>
          </w:tcPr>
          <w:p>
            <w:pPr>
              <w:spacing w:after="20"/>
            </w:pPr>
            <w:r>
              <w:rPr>
                <w:sz w:val="14"/>
              </w:rPr>
              <w:t>Scope</w:t>
            </w:r>
          </w:p>
        </w:tc>
        <w:tc>
          <w:tcPr>
            <w:tcW w:type="dxa" w:w="5040"/>
          </w:tcPr>
          <w:p>
            <w:pPr>
              <w:spacing w:after="20"/>
            </w:pPr>
            <w:r>
              <w:rPr>
                <w:sz w:val="14"/>
              </w:rPr>
              <w:t>Every proposed object must trace to Day 2 RTM ID(s) and University source section.</w:t>
            </w:r>
          </w:p>
        </w:tc>
      </w:tr>
      <w:tr>
        <w:tc>
          <w:tcPr>
            <w:tcW w:type="dxa" w:w="5040"/>
          </w:tcPr>
          <w:p>
            <w:pPr>
              <w:spacing w:after="20"/>
            </w:pPr>
            <w:r>
              <w:rPr>
                <w:sz w:val="14"/>
              </w:rPr>
              <w:t>Status</w:t>
            </w:r>
          </w:p>
        </w:tc>
        <w:tc>
          <w:tcPr>
            <w:tcW w:type="dxa" w:w="5040"/>
          </w:tcPr>
          <w:p>
            <w:pPr>
              <w:spacing w:after="20"/>
            </w:pPr>
            <w:r>
              <w:rPr>
                <w:sz w:val="14"/>
              </w:rPr>
              <w:t>Source requirement (M) ≠ candidate logical object (D) ≠ clarification (C) ≠ technology recommendation (R).</w:t>
            </w:r>
          </w:p>
        </w:tc>
      </w:tr>
      <w:tr>
        <w:tc>
          <w:tcPr>
            <w:tcW w:type="dxa" w:w="5040"/>
          </w:tcPr>
          <w:p>
            <w:pPr>
              <w:spacing w:after="20"/>
            </w:pPr>
            <w:r>
              <w:rPr>
                <w:sz w:val="14"/>
              </w:rPr>
              <w:t>Data protection</w:t>
            </w:r>
          </w:p>
        </w:tc>
        <w:tc>
          <w:tcPr>
            <w:tcW w:type="dxa" w:w="5040"/>
          </w:tcPr>
          <w:p>
            <w:pPr>
              <w:spacing w:after="20"/>
            </w:pPr>
            <w:r>
              <w:rPr>
                <w:sz w:val="14"/>
              </w:rPr>
              <w:t>Data residency in India; sensitive data classification and role/tenant access designed before build.</w:t>
            </w:r>
          </w:p>
        </w:tc>
      </w:tr>
      <w:tr>
        <w:tc>
          <w:tcPr>
            <w:tcW w:type="dxa" w:w="5040"/>
          </w:tcPr>
          <w:p>
            <w:pPr>
              <w:spacing w:after="20"/>
            </w:pPr>
            <w:r>
              <w:rPr>
                <w:sz w:val="14"/>
              </w:rPr>
              <w:t>Change governance</w:t>
            </w:r>
          </w:p>
        </w:tc>
        <w:tc>
          <w:tcPr>
            <w:tcW w:type="dxa" w:w="5040"/>
          </w:tcPr>
          <w:p>
            <w:pPr>
              <w:spacing w:after="20"/>
            </w:pPr>
            <w:r>
              <w:rPr>
                <w:sz w:val="14"/>
              </w:rPr>
              <w:t>No silent additions; unresolved questions go to clarification register; decisions require named approver.</w:t>
            </w:r>
          </w:p>
        </w:tc>
      </w:tr>
      <w:tr>
        <w:tc>
          <w:tcPr>
            <w:tcW w:type="dxa" w:w="5040"/>
          </w:tcPr>
          <w:p>
            <w:pPr>
              <w:spacing w:after="20"/>
            </w:pPr>
            <w:r>
              <w:rPr>
                <w:sz w:val="14"/>
              </w:rPr>
              <w:t>Delivery</w:t>
            </w:r>
          </w:p>
        </w:tc>
        <w:tc>
          <w:tcPr>
            <w:tcW w:type="dxa" w:w="5040"/>
          </w:tcPr>
          <w:p>
            <w:pPr>
              <w:spacing w:after="20"/>
            </w:pPr>
            <w:r>
              <w:rPr>
                <w:sz w:val="14"/>
              </w:rPr>
              <w:t>120 working days is a planning baseline; original source roadmap is 12 weeks and must be formally reconciled.</w:t>
            </w:r>
          </w:p>
        </w:tc>
      </w:tr>
    </w:tbl>
    <w:p>
      <w:pPr>
        <w:pStyle w:val="Heading1"/>
      </w:pPr>
      <w:r>
        <w:t>2. Day 2 traceability baseline and completeness check</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pPr>
              <w:spacing w:after="20"/>
            </w:pPr>
            <w:r>
              <w:rPr>
                <w:sz w:val="14"/>
              </w:rPr>
              <w:t>RTM family</w:t>
            </w:r>
          </w:p>
        </w:tc>
        <w:tc>
          <w:tcPr>
            <w:tcW w:type="dxa" w:w="2520"/>
          </w:tcPr>
          <w:p>
            <w:pPr>
              <w:spacing w:after="20"/>
            </w:pPr>
            <w:r>
              <w:rPr>
                <w:sz w:val="14"/>
              </w:rPr>
              <w:t>IDs covered</w:t>
            </w:r>
          </w:p>
        </w:tc>
        <w:tc>
          <w:tcPr>
            <w:tcW w:type="dxa" w:w="2520"/>
          </w:tcPr>
          <w:p>
            <w:pPr>
              <w:spacing w:after="20"/>
            </w:pPr>
            <w:r>
              <w:rPr>
                <w:sz w:val="14"/>
              </w:rPr>
              <w:t>Count</w:t>
            </w:r>
          </w:p>
        </w:tc>
        <w:tc>
          <w:tcPr>
            <w:tcW w:type="dxa" w:w="2520"/>
          </w:tcPr>
          <w:p>
            <w:pPr>
              <w:spacing w:after="20"/>
            </w:pPr>
            <w:r>
              <w:rPr>
                <w:sz w:val="14"/>
              </w:rPr>
              <w:t>Data modelling implication</w:t>
            </w:r>
          </w:p>
        </w:tc>
      </w:tr>
      <w:tr>
        <w:tc>
          <w:tcPr>
            <w:tcW w:type="dxa" w:w="2520"/>
          </w:tcPr>
          <w:p>
            <w:pPr>
              <w:spacing w:after="20"/>
            </w:pPr>
            <w:r>
              <w:rPr>
                <w:sz w:val="14"/>
              </w:rPr>
              <w:t>NFR</w:t>
            </w:r>
          </w:p>
        </w:tc>
        <w:tc>
          <w:tcPr>
            <w:tcW w:type="dxa" w:w="2520"/>
          </w:tcPr>
          <w:p>
            <w:pPr>
              <w:spacing w:after="20"/>
            </w:pPr>
            <w:r>
              <w:rPr>
                <w:sz w:val="14"/>
              </w:rPr>
              <w:t>NFR-001..010</w:t>
            </w:r>
          </w:p>
        </w:tc>
        <w:tc>
          <w:tcPr>
            <w:tcW w:type="dxa" w:w="2520"/>
          </w:tcPr>
          <w:p>
            <w:pPr>
              <w:spacing w:after="20"/>
            </w:pPr>
            <w:r>
              <w:rPr>
                <w:sz w:val="14"/>
              </w:rPr>
              <w:t>10</w:t>
            </w:r>
          </w:p>
        </w:tc>
        <w:tc>
          <w:tcPr>
            <w:tcW w:type="dxa" w:w="2520"/>
          </w:tcPr>
          <w:p>
            <w:pPr>
              <w:spacing w:after="20"/>
            </w:pPr>
            <w:r>
              <w:rPr>
                <w:sz w:val="14"/>
              </w:rPr>
              <w:t>Capacity, DR, observability constraints</w:t>
            </w:r>
          </w:p>
        </w:tc>
      </w:tr>
      <w:tr>
        <w:tc>
          <w:tcPr>
            <w:tcW w:type="dxa" w:w="2520"/>
          </w:tcPr>
          <w:p>
            <w:pPr>
              <w:spacing w:after="20"/>
            </w:pPr>
            <w:r>
              <w:rPr>
                <w:sz w:val="14"/>
              </w:rPr>
              <w:t>IAM</w:t>
            </w:r>
          </w:p>
        </w:tc>
        <w:tc>
          <w:tcPr>
            <w:tcW w:type="dxa" w:w="2520"/>
          </w:tcPr>
          <w:p>
            <w:pPr>
              <w:spacing w:after="20"/>
            </w:pPr>
            <w:r>
              <w:rPr>
                <w:sz w:val="14"/>
              </w:rPr>
              <w:t>IAM-001..020</w:t>
            </w:r>
          </w:p>
        </w:tc>
        <w:tc>
          <w:tcPr>
            <w:tcW w:type="dxa" w:w="2520"/>
          </w:tcPr>
          <w:p>
            <w:pPr>
              <w:spacing w:after="20"/>
            </w:pPr>
            <w:r>
              <w:rPr>
                <w:sz w:val="14"/>
              </w:rPr>
              <w:t>20</w:t>
            </w:r>
          </w:p>
        </w:tc>
        <w:tc>
          <w:tcPr>
            <w:tcW w:type="dxa" w:w="2520"/>
          </w:tcPr>
          <w:p>
            <w:pPr>
              <w:spacing w:after="20"/>
            </w:pPr>
            <w:r>
              <w:rPr>
                <w:sz w:val="14"/>
              </w:rPr>
              <w:t>Organizations, identities, RBAC, audit</w:t>
            </w:r>
          </w:p>
        </w:tc>
      </w:tr>
      <w:tr>
        <w:tc>
          <w:tcPr>
            <w:tcW w:type="dxa" w:w="2520"/>
          </w:tcPr>
          <w:p>
            <w:pPr>
              <w:spacing w:after="20"/>
            </w:pPr>
            <w:r>
              <w:rPr>
                <w:sz w:val="14"/>
              </w:rPr>
              <w:t>ACD</w:t>
            </w:r>
          </w:p>
        </w:tc>
        <w:tc>
          <w:tcPr>
            <w:tcW w:type="dxa" w:w="2520"/>
          </w:tcPr>
          <w:p>
            <w:pPr>
              <w:spacing w:after="20"/>
            </w:pPr>
            <w:r>
              <w:rPr>
                <w:sz w:val="14"/>
              </w:rPr>
              <w:t>ACD-001..023</w:t>
            </w:r>
          </w:p>
        </w:tc>
        <w:tc>
          <w:tcPr>
            <w:tcW w:type="dxa" w:w="2520"/>
          </w:tcPr>
          <w:p>
            <w:pPr>
              <w:spacing w:after="20"/>
            </w:pPr>
            <w:r>
              <w:rPr>
                <w:sz w:val="14"/>
              </w:rPr>
              <w:t>23</w:t>
            </w:r>
          </w:p>
        </w:tc>
        <w:tc>
          <w:tcPr>
            <w:tcW w:type="dxa" w:w="2520"/>
          </w:tcPr>
          <w:p>
            <w:pPr>
              <w:spacing w:after="20"/>
            </w:pPr>
            <w:r>
              <w:rPr>
                <w:sz w:val="14"/>
              </w:rPr>
              <w:t>Academic hierarchy, course, content, live class, library</w:t>
            </w:r>
          </w:p>
        </w:tc>
      </w:tr>
      <w:tr>
        <w:tc>
          <w:tcPr>
            <w:tcW w:type="dxa" w:w="2520"/>
          </w:tcPr>
          <w:p>
            <w:pPr>
              <w:spacing w:after="20"/>
            </w:pPr>
            <w:r>
              <w:rPr>
                <w:sz w:val="14"/>
              </w:rPr>
              <w:t>ASM</w:t>
            </w:r>
          </w:p>
        </w:tc>
        <w:tc>
          <w:tcPr>
            <w:tcW w:type="dxa" w:w="2520"/>
          </w:tcPr>
          <w:p>
            <w:pPr>
              <w:spacing w:after="20"/>
            </w:pPr>
            <w:r>
              <w:rPr>
                <w:sz w:val="14"/>
              </w:rPr>
              <w:t>ASM-001..023</w:t>
            </w:r>
          </w:p>
        </w:tc>
        <w:tc>
          <w:tcPr>
            <w:tcW w:type="dxa" w:w="2520"/>
          </w:tcPr>
          <w:p>
            <w:pPr>
              <w:spacing w:after="20"/>
            </w:pPr>
            <w:r>
              <w:rPr>
                <w:sz w:val="14"/>
              </w:rPr>
              <w:t>23</w:t>
            </w:r>
          </w:p>
        </w:tc>
        <w:tc>
          <w:tcPr>
            <w:tcW w:type="dxa" w:w="2520"/>
          </w:tcPr>
          <w:p>
            <w:pPr>
              <w:spacing w:after="20"/>
            </w:pPr>
            <w:r>
              <w:rPr>
                <w:sz w:val="14"/>
              </w:rPr>
              <w:t>Attendance, questions, assessment, marksheets, records, certificates</w:t>
            </w:r>
          </w:p>
        </w:tc>
      </w:tr>
      <w:tr>
        <w:tc>
          <w:tcPr>
            <w:tcW w:type="dxa" w:w="2520"/>
          </w:tcPr>
          <w:p>
            <w:pPr>
              <w:spacing w:after="20"/>
            </w:pPr>
            <w:r>
              <w:rPr>
                <w:sz w:val="14"/>
              </w:rPr>
              <w:t>COM</w:t>
            </w:r>
          </w:p>
        </w:tc>
        <w:tc>
          <w:tcPr>
            <w:tcW w:type="dxa" w:w="2520"/>
          </w:tcPr>
          <w:p>
            <w:pPr>
              <w:spacing w:after="20"/>
            </w:pPr>
            <w:r>
              <w:rPr>
                <w:sz w:val="14"/>
              </w:rPr>
              <w:t>COM-001..022</w:t>
            </w:r>
          </w:p>
        </w:tc>
        <w:tc>
          <w:tcPr>
            <w:tcW w:type="dxa" w:w="2520"/>
          </w:tcPr>
          <w:p>
            <w:pPr>
              <w:spacing w:after="20"/>
            </w:pPr>
            <w:r>
              <w:rPr>
                <w:sz w:val="14"/>
              </w:rPr>
              <w:t>22</w:t>
            </w:r>
          </w:p>
        </w:tc>
        <w:tc>
          <w:tcPr>
            <w:tcW w:type="dxa" w:w="2520"/>
          </w:tcPr>
          <w:p>
            <w:pPr>
              <w:spacing w:after="20"/>
            </w:pPr>
            <w:r>
              <w:rPr>
                <w:sz w:val="14"/>
              </w:rPr>
              <w:t>Reporting, communication, notification delivery</w:t>
            </w:r>
          </w:p>
        </w:tc>
      </w:tr>
      <w:tr>
        <w:tc>
          <w:tcPr>
            <w:tcW w:type="dxa" w:w="2520"/>
          </w:tcPr>
          <w:p>
            <w:pPr>
              <w:spacing w:after="20"/>
            </w:pPr>
            <w:r>
              <w:rPr>
                <w:sz w:val="14"/>
              </w:rPr>
              <w:t>MOB</w:t>
            </w:r>
          </w:p>
        </w:tc>
        <w:tc>
          <w:tcPr>
            <w:tcW w:type="dxa" w:w="2520"/>
          </w:tcPr>
          <w:p>
            <w:pPr>
              <w:spacing w:after="20"/>
            </w:pPr>
            <w:r>
              <w:rPr>
                <w:sz w:val="14"/>
              </w:rPr>
              <w:t>MOB-001..028</w:t>
            </w:r>
          </w:p>
        </w:tc>
        <w:tc>
          <w:tcPr>
            <w:tcW w:type="dxa" w:w="2520"/>
          </w:tcPr>
          <w:p>
            <w:pPr>
              <w:spacing w:after="20"/>
            </w:pPr>
            <w:r>
              <w:rPr>
                <w:sz w:val="14"/>
              </w:rPr>
              <w:t>28</w:t>
            </w:r>
          </w:p>
        </w:tc>
        <w:tc>
          <w:tcPr>
            <w:tcW w:type="dxa" w:w="2520"/>
          </w:tcPr>
          <w:p>
            <w:pPr>
              <w:spacing w:after="20"/>
            </w:pPr>
            <w:r>
              <w:rPr>
                <w:sz w:val="14"/>
              </w:rPr>
              <w:t>Mobile cache, token security, playback state</w:t>
            </w:r>
          </w:p>
        </w:tc>
      </w:tr>
      <w:tr>
        <w:tc>
          <w:tcPr>
            <w:tcW w:type="dxa" w:w="2520"/>
          </w:tcPr>
          <w:p>
            <w:pPr>
              <w:spacing w:after="20"/>
            </w:pPr>
            <w:r>
              <w:rPr>
                <w:sz w:val="14"/>
              </w:rPr>
              <w:t>SEC</w:t>
            </w:r>
          </w:p>
        </w:tc>
        <w:tc>
          <w:tcPr>
            <w:tcW w:type="dxa" w:w="2520"/>
          </w:tcPr>
          <w:p>
            <w:pPr>
              <w:spacing w:after="20"/>
            </w:pPr>
            <w:r>
              <w:rPr>
                <w:sz w:val="14"/>
              </w:rPr>
              <w:t>SEC-001..016</w:t>
            </w:r>
          </w:p>
        </w:tc>
        <w:tc>
          <w:tcPr>
            <w:tcW w:type="dxa" w:w="2520"/>
          </w:tcPr>
          <w:p>
            <w:pPr>
              <w:spacing w:after="20"/>
            </w:pPr>
            <w:r>
              <w:rPr>
                <w:sz w:val="14"/>
              </w:rPr>
              <w:t>16</w:t>
            </w:r>
          </w:p>
        </w:tc>
        <w:tc>
          <w:tcPr>
            <w:tcW w:type="dxa" w:w="2520"/>
          </w:tcPr>
          <w:p>
            <w:pPr>
              <w:spacing w:after="20"/>
            </w:pPr>
            <w:r>
              <w:rPr>
                <w:sz w:val="14"/>
              </w:rPr>
              <w:t>Security evidence, audit retention, India residency</w:t>
            </w:r>
          </w:p>
        </w:tc>
      </w:tr>
      <w:tr>
        <w:tc>
          <w:tcPr>
            <w:tcW w:type="dxa" w:w="2520"/>
          </w:tcPr>
          <w:p>
            <w:pPr>
              <w:spacing w:after="20"/>
            </w:pPr>
            <w:r>
              <w:rPr>
                <w:sz w:val="14"/>
              </w:rPr>
              <w:t>OPS</w:t>
            </w:r>
          </w:p>
        </w:tc>
        <w:tc>
          <w:tcPr>
            <w:tcW w:type="dxa" w:w="2520"/>
          </w:tcPr>
          <w:p>
            <w:pPr>
              <w:spacing w:after="20"/>
            </w:pPr>
            <w:r>
              <w:rPr>
                <w:sz w:val="14"/>
              </w:rPr>
              <w:t>OPS-001..010</w:t>
            </w:r>
          </w:p>
        </w:tc>
        <w:tc>
          <w:tcPr>
            <w:tcW w:type="dxa" w:w="2520"/>
          </w:tcPr>
          <w:p>
            <w:pPr>
              <w:spacing w:after="20"/>
            </w:pPr>
            <w:r>
              <w:rPr>
                <w:sz w:val="14"/>
              </w:rPr>
              <w:t>10</w:t>
            </w:r>
          </w:p>
        </w:tc>
        <w:tc>
          <w:tcPr>
            <w:tcW w:type="dxa" w:w="2520"/>
          </w:tcPr>
          <w:p>
            <w:pPr>
              <w:spacing w:after="20"/>
            </w:pPr>
            <w:r>
              <w:rPr>
                <w:sz w:val="14"/>
              </w:rPr>
              <w:t>Environments, test evidence, UAT, releases</w:t>
            </w:r>
          </w:p>
        </w:tc>
      </w:tr>
    </w:tbl>
    <w:p>
      <w:r>
        <w:t>Count check: 10 + 20 + 23 + 23 + 22 + 28 + 16 + 10 = 152 atomic entries. Day 3 is not a replacement for any Day 2 row. All 152 remain in scope for downstream traceability.</w:t>
      </w:r>
    </w:p>
    <w:p>
      <w:pPr>
        <w:pStyle w:val="Heading1"/>
      </w:pPr>
      <w:r>
        <w:t>3. Logical modelling principles (proposed, not yet approved)</w:t>
      </w:r>
    </w:p>
    <w:p>
      <w:r>
        <w:t>• Keep canonical identity distinct from organizational memberships and roles; do not presume one person has only one role.</w:t>
      </w:r>
    </w:p>
    <w:p>
      <w:r>
        <w:t>• Model University / SPC / Institution as organizational concepts while withholding unapproved parent-child cardinalities.</w:t>
      </w:r>
    </w:p>
    <w:p>
      <w:r>
        <w:t>• Keep academic content versions and approval transitions explicit, with immutable published-version references where required by agreed workflows.</w:t>
      </w:r>
    </w:p>
    <w:p>
      <w:r>
        <w:t>• Separate transactional records from large AV binaries, indexed search representations and derived reporting projections.</w:t>
      </w:r>
    </w:p>
    <w:p>
      <w:r>
        <w:t>• Record external provider references without assuming provider contracts or availability.</w:t>
      </w:r>
    </w:p>
    <w:p>
      <w:r>
        <w:t>• Design identifiers, uniqueness, tenant boundaries and audit events to support authorization and traceability.</w:t>
      </w:r>
    </w:p>
    <w:p>
      <w:r>
        <w:t>• Distinguish the lifetime student academic record obligation from unspecified retention periods for other business data.</w:t>
      </w:r>
    </w:p>
    <w:p>
      <w:r>
        <w:t>• Document mobile offline data synchronization as an open design decision; do not invent unrestricted offline exam or grading workflows.</w:t>
      </w:r>
    </w:p>
    <w:p>
      <w:pPr>
        <w:pStyle w:val="Heading1"/>
      </w:pPr>
      <w:r>
        <w:t>4. Enterprise logical data object catalogue</w:t>
      </w:r>
    </w:p>
    <w:p>
      <w:r>
        <w:t>The entries below are candidate logical entities. Attributes are conceptual examples, not approved physical columns. The “RTM” column links each candidate to existing Day 2 requirements; scope status D means design proposal.</w:t>
      </w:r>
    </w:p>
    <w:p>
      <w:pPr>
        <w:pStyle w:val="Heading2"/>
      </w:pPr>
      <w:r>
        <w:t>A. Organization, identity and access</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tcPr>
          <w:p>
            <w:pPr>
              <w:spacing w:after="20"/>
            </w:pPr>
            <w:r>
              <w:rPr>
                <w:sz w:val="14"/>
              </w:rPr>
              <w:t>Object ID</w:t>
            </w:r>
          </w:p>
        </w:tc>
        <w:tc>
          <w:tcPr>
            <w:tcW w:type="dxa" w:w="2016"/>
          </w:tcPr>
          <w:p>
            <w:pPr>
              <w:spacing w:after="20"/>
            </w:pPr>
            <w:r>
              <w:rPr>
                <w:sz w:val="14"/>
              </w:rPr>
              <w:t>Candidate logical object</w:t>
            </w:r>
          </w:p>
        </w:tc>
        <w:tc>
          <w:tcPr>
            <w:tcW w:type="dxa" w:w="2016"/>
          </w:tcPr>
          <w:p>
            <w:pPr>
              <w:spacing w:after="20"/>
            </w:pPr>
            <w:r>
              <w:rPr>
                <w:sz w:val="14"/>
              </w:rPr>
              <w:t>Illustrative attributes</w:t>
            </w:r>
          </w:p>
        </w:tc>
        <w:tc>
          <w:tcPr>
            <w:tcW w:type="dxa" w:w="2016"/>
          </w:tcPr>
          <w:p>
            <w:pPr>
              <w:spacing w:after="20"/>
            </w:pPr>
            <w:r>
              <w:rPr>
                <w:sz w:val="14"/>
              </w:rPr>
              <w:t>Trace to Day 2</w:t>
            </w:r>
          </w:p>
        </w:tc>
        <w:tc>
          <w:tcPr>
            <w:tcW w:type="dxa" w:w="2016"/>
          </w:tcPr>
          <w:p>
            <w:pPr>
              <w:spacing w:after="20"/>
            </w:pPr>
            <w:r>
              <w:rPr>
                <w:sz w:val="14"/>
              </w:rPr>
              <w:t>Purpose / boundary</w:t>
            </w:r>
          </w:p>
        </w:tc>
      </w:tr>
      <w:tr>
        <w:tc>
          <w:tcPr>
            <w:tcW w:type="dxa" w:w="2016"/>
          </w:tcPr>
          <w:p>
            <w:pPr>
              <w:spacing w:after="20"/>
            </w:pPr>
            <w:r>
              <w:rPr>
                <w:sz w:val="14"/>
              </w:rPr>
              <w:t>ORG-01</w:t>
            </w:r>
          </w:p>
        </w:tc>
        <w:tc>
          <w:tcPr>
            <w:tcW w:type="dxa" w:w="2016"/>
          </w:tcPr>
          <w:p>
            <w:pPr>
              <w:spacing w:after="20"/>
            </w:pPr>
            <w:r>
              <w:rPr>
                <w:sz w:val="14"/>
              </w:rPr>
              <w:t>University</w:t>
            </w:r>
          </w:p>
        </w:tc>
        <w:tc>
          <w:tcPr>
            <w:tcW w:type="dxa" w:w="2016"/>
          </w:tcPr>
          <w:p>
            <w:pPr>
              <w:spacing w:after="20"/>
            </w:pPr>
            <w:r>
              <w:rPr>
                <w:sz w:val="14"/>
              </w:rPr>
              <w:t>university_id, display_name, status</w:t>
            </w:r>
          </w:p>
        </w:tc>
        <w:tc>
          <w:tcPr>
            <w:tcW w:type="dxa" w:w="2016"/>
          </w:tcPr>
          <w:p>
            <w:pPr>
              <w:spacing w:after="20"/>
            </w:pPr>
            <w:r>
              <w:rPr>
                <w:sz w:val="14"/>
              </w:rPr>
              <w:t>IAM-001, IAM-016</w:t>
            </w:r>
          </w:p>
        </w:tc>
        <w:tc>
          <w:tcPr>
            <w:tcW w:type="dxa" w:w="2016"/>
          </w:tcPr>
          <w:p>
            <w:pPr>
              <w:spacing w:after="20"/>
            </w:pPr>
            <w:r>
              <w:rPr>
                <w:sz w:val="14"/>
              </w:rPr>
              <w:t>University root and platform governance</w:t>
            </w:r>
          </w:p>
        </w:tc>
      </w:tr>
      <w:tr>
        <w:tc>
          <w:tcPr>
            <w:tcW w:type="dxa" w:w="2016"/>
          </w:tcPr>
          <w:p>
            <w:pPr>
              <w:spacing w:after="20"/>
            </w:pPr>
            <w:r>
              <w:rPr>
                <w:sz w:val="14"/>
              </w:rPr>
              <w:t>ORG-02</w:t>
            </w:r>
          </w:p>
        </w:tc>
        <w:tc>
          <w:tcPr>
            <w:tcW w:type="dxa" w:w="2016"/>
          </w:tcPr>
          <w:p>
            <w:pPr>
              <w:spacing w:after="20"/>
            </w:pPr>
            <w:r>
              <w:rPr>
                <w:sz w:val="14"/>
              </w:rPr>
              <w:t>SPC jurisdiction</w:t>
            </w:r>
          </w:p>
        </w:tc>
        <w:tc>
          <w:tcPr>
            <w:tcW w:type="dxa" w:w="2016"/>
          </w:tcPr>
          <w:p>
            <w:pPr>
              <w:spacing w:after="20"/>
            </w:pPr>
            <w:r>
              <w:rPr>
                <w:sz w:val="14"/>
              </w:rPr>
              <w:t>spc_id, name, parent_reference</w:t>
            </w:r>
          </w:p>
        </w:tc>
        <w:tc>
          <w:tcPr>
            <w:tcW w:type="dxa" w:w="2016"/>
          </w:tcPr>
          <w:p>
            <w:pPr>
              <w:spacing w:after="20"/>
            </w:pPr>
            <w:r>
              <w:rPr>
                <w:sz w:val="14"/>
              </w:rPr>
              <w:t>IAM-002, IAM-016</w:t>
            </w:r>
          </w:p>
        </w:tc>
        <w:tc>
          <w:tcPr>
            <w:tcW w:type="dxa" w:w="2016"/>
          </w:tcPr>
          <w:p>
            <w:pPr>
              <w:spacing w:after="20"/>
            </w:pPr>
            <w:r>
              <w:rPr>
                <w:sz w:val="14"/>
              </w:rPr>
              <w:t>Exact organizational meaning and cardinality open</w:t>
            </w:r>
          </w:p>
        </w:tc>
      </w:tr>
      <w:tr>
        <w:tc>
          <w:tcPr>
            <w:tcW w:type="dxa" w:w="2016"/>
          </w:tcPr>
          <w:p>
            <w:pPr>
              <w:spacing w:after="20"/>
            </w:pPr>
            <w:r>
              <w:rPr>
                <w:sz w:val="14"/>
              </w:rPr>
              <w:t>ORG-03</w:t>
            </w:r>
          </w:p>
        </w:tc>
        <w:tc>
          <w:tcPr>
            <w:tcW w:type="dxa" w:w="2016"/>
          </w:tcPr>
          <w:p>
            <w:pPr>
              <w:spacing w:after="20"/>
            </w:pPr>
            <w:r>
              <w:rPr>
                <w:sz w:val="14"/>
              </w:rPr>
              <w:t>Institution</w:t>
            </w:r>
          </w:p>
        </w:tc>
        <w:tc>
          <w:tcPr>
            <w:tcW w:type="dxa" w:w="2016"/>
          </w:tcPr>
          <w:p>
            <w:pPr>
              <w:spacing w:after="20"/>
            </w:pPr>
            <w:r>
              <w:rPr>
                <w:sz w:val="14"/>
              </w:rPr>
              <w:t>institution_id, name, organization_reference</w:t>
            </w:r>
          </w:p>
        </w:tc>
        <w:tc>
          <w:tcPr>
            <w:tcW w:type="dxa" w:w="2016"/>
          </w:tcPr>
          <w:p>
            <w:pPr>
              <w:spacing w:after="20"/>
            </w:pPr>
            <w:r>
              <w:rPr>
                <w:sz w:val="14"/>
              </w:rPr>
              <w:t>IAM-003, IAM-016</w:t>
            </w:r>
          </w:p>
        </w:tc>
        <w:tc>
          <w:tcPr>
            <w:tcW w:type="dxa" w:w="2016"/>
          </w:tcPr>
          <w:p>
            <w:pPr>
              <w:spacing w:after="20"/>
            </w:pPr>
            <w:r>
              <w:rPr>
                <w:sz w:val="14"/>
              </w:rPr>
              <w:t>Tenant or institution boundary to confirm</w:t>
            </w:r>
          </w:p>
        </w:tc>
      </w:tr>
      <w:tr>
        <w:tc>
          <w:tcPr>
            <w:tcW w:type="dxa" w:w="2016"/>
          </w:tcPr>
          <w:p>
            <w:pPr>
              <w:spacing w:after="20"/>
            </w:pPr>
            <w:r>
              <w:rPr>
                <w:sz w:val="14"/>
              </w:rPr>
              <w:t>IAM-OBJ-01</w:t>
            </w:r>
          </w:p>
        </w:tc>
        <w:tc>
          <w:tcPr>
            <w:tcW w:type="dxa" w:w="2016"/>
          </w:tcPr>
          <w:p>
            <w:pPr>
              <w:spacing w:after="20"/>
            </w:pPr>
            <w:r>
              <w:rPr>
                <w:sz w:val="14"/>
              </w:rPr>
              <w:t>User identity</w:t>
            </w:r>
          </w:p>
        </w:tc>
        <w:tc>
          <w:tcPr>
            <w:tcW w:type="dxa" w:w="2016"/>
          </w:tcPr>
          <w:p>
            <w:pPr>
              <w:spacing w:after="20"/>
            </w:pPr>
            <w:r>
              <w:rPr>
                <w:sz w:val="14"/>
              </w:rPr>
              <w:t>user_id, identity_provider_ref, status</w:t>
            </w:r>
          </w:p>
        </w:tc>
        <w:tc>
          <w:tcPr>
            <w:tcW w:type="dxa" w:w="2016"/>
          </w:tcPr>
          <w:p>
            <w:pPr>
              <w:spacing w:after="20"/>
            </w:pPr>
            <w:r>
              <w:rPr>
                <w:sz w:val="14"/>
              </w:rPr>
              <w:t>IAM-007..015</w:t>
            </w:r>
          </w:p>
        </w:tc>
        <w:tc>
          <w:tcPr>
            <w:tcW w:type="dxa" w:w="2016"/>
          </w:tcPr>
          <w:p>
            <w:pPr>
              <w:spacing w:after="20"/>
            </w:pPr>
            <w:r>
              <w:rPr>
                <w:sz w:val="14"/>
              </w:rPr>
              <w:t>Avoid storing passwords in LMS domain store</w:t>
            </w:r>
          </w:p>
        </w:tc>
      </w:tr>
      <w:tr>
        <w:tc>
          <w:tcPr>
            <w:tcW w:type="dxa" w:w="2016"/>
          </w:tcPr>
          <w:p>
            <w:pPr>
              <w:spacing w:after="20"/>
            </w:pPr>
            <w:r>
              <w:rPr>
                <w:sz w:val="14"/>
              </w:rPr>
              <w:t>IAM-OBJ-02</w:t>
            </w:r>
          </w:p>
        </w:tc>
        <w:tc>
          <w:tcPr>
            <w:tcW w:type="dxa" w:w="2016"/>
          </w:tcPr>
          <w:p>
            <w:pPr>
              <w:spacing w:after="20"/>
            </w:pPr>
            <w:r>
              <w:rPr>
                <w:sz w:val="14"/>
              </w:rPr>
              <w:t>Role definition</w:t>
            </w:r>
          </w:p>
        </w:tc>
        <w:tc>
          <w:tcPr>
            <w:tcW w:type="dxa" w:w="2016"/>
          </w:tcPr>
          <w:p>
            <w:pPr>
              <w:spacing w:after="20"/>
            </w:pPr>
            <w:r>
              <w:rPr>
                <w:sz w:val="14"/>
              </w:rPr>
              <w:t>role_id, role_code, role_name</w:t>
            </w:r>
          </w:p>
        </w:tc>
        <w:tc>
          <w:tcPr>
            <w:tcW w:type="dxa" w:w="2016"/>
          </w:tcPr>
          <w:p>
            <w:pPr>
              <w:spacing w:after="20"/>
            </w:pPr>
            <w:r>
              <w:rPr>
                <w:sz w:val="14"/>
              </w:rPr>
              <w:t>IAM-001..008</w:t>
            </w:r>
          </w:p>
        </w:tc>
        <w:tc>
          <w:tcPr>
            <w:tcW w:type="dxa" w:w="2016"/>
          </w:tcPr>
          <w:p>
            <w:pPr>
              <w:spacing w:after="20"/>
            </w:pPr>
            <w:r>
              <w:rPr>
                <w:sz w:val="14"/>
              </w:rPr>
              <w:t>Exactly six source roles; no seventh role assumed</w:t>
            </w:r>
          </w:p>
        </w:tc>
      </w:tr>
      <w:tr>
        <w:tc>
          <w:tcPr>
            <w:tcW w:type="dxa" w:w="2016"/>
          </w:tcPr>
          <w:p>
            <w:pPr>
              <w:spacing w:after="20"/>
            </w:pPr>
            <w:r>
              <w:rPr>
                <w:sz w:val="14"/>
              </w:rPr>
              <w:t>IAM-OBJ-03</w:t>
            </w:r>
          </w:p>
        </w:tc>
        <w:tc>
          <w:tcPr>
            <w:tcW w:type="dxa" w:w="2016"/>
          </w:tcPr>
          <w:p>
            <w:pPr>
              <w:spacing w:after="20"/>
            </w:pPr>
            <w:r>
              <w:rPr>
                <w:sz w:val="14"/>
              </w:rPr>
              <w:t>Permission</w:t>
            </w:r>
          </w:p>
        </w:tc>
        <w:tc>
          <w:tcPr>
            <w:tcW w:type="dxa" w:w="2016"/>
          </w:tcPr>
          <w:p>
            <w:pPr>
              <w:spacing w:after="20"/>
            </w:pPr>
            <w:r>
              <w:rPr>
                <w:sz w:val="14"/>
              </w:rPr>
              <w:t>permission_id, resource, action</w:t>
            </w:r>
          </w:p>
        </w:tc>
        <w:tc>
          <w:tcPr>
            <w:tcW w:type="dxa" w:w="2016"/>
          </w:tcPr>
          <w:p>
            <w:pPr>
              <w:spacing w:after="20"/>
            </w:pPr>
            <w:r>
              <w:rPr>
                <w:sz w:val="14"/>
              </w:rPr>
              <w:t>IAM-008, IAM-017</w:t>
            </w:r>
          </w:p>
        </w:tc>
        <w:tc>
          <w:tcPr>
            <w:tcW w:type="dxa" w:w="2016"/>
          </w:tcPr>
          <w:p>
            <w:pPr>
              <w:spacing w:after="20"/>
            </w:pPr>
            <w:r>
              <w:rPr>
                <w:sz w:val="14"/>
              </w:rPr>
              <w:t>Actual permission catalogue pending approval</w:t>
            </w:r>
          </w:p>
        </w:tc>
      </w:tr>
      <w:tr>
        <w:tc>
          <w:tcPr>
            <w:tcW w:type="dxa" w:w="2016"/>
          </w:tcPr>
          <w:p>
            <w:pPr>
              <w:spacing w:after="20"/>
            </w:pPr>
            <w:r>
              <w:rPr>
                <w:sz w:val="14"/>
              </w:rPr>
              <w:t>IAM-OBJ-04</w:t>
            </w:r>
          </w:p>
        </w:tc>
        <w:tc>
          <w:tcPr>
            <w:tcW w:type="dxa" w:w="2016"/>
          </w:tcPr>
          <w:p>
            <w:pPr>
              <w:spacing w:after="20"/>
            </w:pPr>
            <w:r>
              <w:rPr>
                <w:sz w:val="14"/>
              </w:rPr>
              <w:t>Role–permission grant</w:t>
            </w:r>
          </w:p>
        </w:tc>
        <w:tc>
          <w:tcPr>
            <w:tcW w:type="dxa" w:w="2016"/>
          </w:tcPr>
          <w:p>
            <w:pPr>
              <w:spacing w:after="20"/>
            </w:pPr>
            <w:r>
              <w:rPr>
                <w:sz w:val="14"/>
              </w:rPr>
              <w:t>role_id, permission_id, scope</w:t>
            </w:r>
          </w:p>
        </w:tc>
        <w:tc>
          <w:tcPr>
            <w:tcW w:type="dxa" w:w="2016"/>
          </w:tcPr>
          <w:p>
            <w:pPr>
              <w:spacing w:after="20"/>
            </w:pPr>
            <w:r>
              <w:rPr>
                <w:sz w:val="14"/>
              </w:rPr>
              <w:t>IAM-008, IAM-017</w:t>
            </w:r>
          </w:p>
        </w:tc>
        <w:tc>
          <w:tcPr>
            <w:tcW w:type="dxa" w:w="2016"/>
          </w:tcPr>
          <w:p>
            <w:pPr>
              <w:spacing w:after="20"/>
            </w:pPr>
            <w:r>
              <w:rPr>
                <w:sz w:val="14"/>
              </w:rPr>
              <w:t>Gateway and service authorization</w:t>
            </w:r>
          </w:p>
        </w:tc>
      </w:tr>
      <w:tr>
        <w:tc>
          <w:tcPr>
            <w:tcW w:type="dxa" w:w="2016"/>
          </w:tcPr>
          <w:p>
            <w:pPr>
              <w:spacing w:after="20"/>
            </w:pPr>
            <w:r>
              <w:rPr>
                <w:sz w:val="14"/>
              </w:rPr>
              <w:t>IAM-OBJ-05</w:t>
            </w:r>
          </w:p>
        </w:tc>
        <w:tc>
          <w:tcPr>
            <w:tcW w:type="dxa" w:w="2016"/>
          </w:tcPr>
          <w:p>
            <w:pPr>
              <w:spacing w:after="20"/>
            </w:pPr>
            <w:r>
              <w:rPr>
                <w:sz w:val="14"/>
              </w:rPr>
              <w:t>User membership/role assignment</w:t>
            </w:r>
          </w:p>
        </w:tc>
        <w:tc>
          <w:tcPr>
            <w:tcW w:type="dxa" w:w="2016"/>
          </w:tcPr>
          <w:p>
            <w:pPr>
              <w:spacing w:after="20"/>
            </w:pPr>
            <w:r>
              <w:rPr>
                <w:sz w:val="14"/>
              </w:rPr>
              <w:t>user_id, organization_id, role_id, validity</w:t>
            </w:r>
          </w:p>
        </w:tc>
        <w:tc>
          <w:tcPr>
            <w:tcW w:type="dxa" w:w="2016"/>
          </w:tcPr>
          <w:p>
            <w:pPr>
              <w:spacing w:after="20"/>
            </w:pPr>
            <w:r>
              <w:rPr>
                <w:sz w:val="14"/>
              </w:rPr>
              <w:t>IAM-007..008, IAM-016</w:t>
            </w:r>
          </w:p>
        </w:tc>
        <w:tc>
          <w:tcPr>
            <w:tcW w:type="dxa" w:w="2016"/>
          </w:tcPr>
          <w:p>
            <w:pPr>
              <w:spacing w:after="20"/>
            </w:pPr>
            <w:r>
              <w:rPr>
                <w:sz w:val="14"/>
              </w:rPr>
              <w:t>Multiple-role and cross-tenant rules unresolved</w:t>
            </w:r>
          </w:p>
        </w:tc>
      </w:tr>
      <w:tr>
        <w:tc>
          <w:tcPr>
            <w:tcW w:type="dxa" w:w="2016"/>
          </w:tcPr>
          <w:p>
            <w:pPr>
              <w:spacing w:after="20"/>
            </w:pPr>
            <w:r>
              <w:rPr>
                <w:sz w:val="14"/>
              </w:rPr>
              <w:t>IAM-OBJ-06</w:t>
            </w:r>
          </w:p>
        </w:tc>
        <w:tc>
          <w:tcPr>
            <w:tcW w:type="dxa" w:w="2016"/>
          </w:tcPr>
          <w:p>
            <w:pPr>
              <w:spacing w:after="20"/>
            </w:pPr>
            <w:r>
              <w:rPr>
                <w:sz w:val="14"/>
              </w:rPr>
              <w:t>Provisioning/import batch</w:t>
            </w:r>
          </w:p>
        </w:tc>
        <w:tc>
          <w:tcPr>
            <w:tcW w:type="dxa" w:w="2016"/>
          </w:tcPr>
          <w:p>
            <w:pPr>
              <w:spacing w:after="20"/>
            </w:pPr>
            <w:r>
              <w:rPr>
                <w:sz w:val="14"/>
              </w:rPr>
              <w:t>batch_id, initiator, outcome</w:t>
            </w:r>
          </w:p>
        </w:tc>
        <w:tc>
          <w:tcPr>
            <w:tcW w:type="dxa" w:w="2016"/>
          </w:tcPr>
          <w:p>
            <w:pPr>
              <w:spacing w:after="20"/>
            </w:pPr>
            <w:r>
              <w:rPr>
                <w:sz w:val="14"/>
              </w:rPr>
              <w:t>IAM-018..020</w:t>
            </w:r>
          </w:p>
        </w:tc>
        <w:tc>
          <w:tcPr>
            <w:tcW w:type="dxa" w:w="2016"/>
          </w:tcPr>
          <w:p>
            <w:pPr>
              <w:spacing w:after="20"/>
            </w:pPr>
            <w:r>
              <w:rPr>
                <w:sz w:val="14"/>
              </w:rPr>
              <w:t>Bulk import and administrative evidence</w:t>
            </w:r>
          </w:p>
        </w:tc>
      </w:tr>
      <w:tr>
        <w:tc>
          <w:tcPr>
            <w:tcW w:type="dxa" w:w="2016"/>
          </w:tcPr>
          <w:p>
            <w:pPr>
              <w:spacing w:after="20"/>
            </w:pPr>
            <w:r>
              <w:rPr>
                <w:sz w:val="14"/>
              </w:rPr>
              <w:t>IAM-OBJ-07</w:t>
            </w:r>
          </w:p>
        </w:tc>
        <w:tc>
          <w:tcPr>
            <w:tcW w:type="dxa" w:w="2016"/>
          </w:tcPr>
          <w:p>
            <w:pPr>
              <w:spacing w:after="20"/>
            </w:pPr>
            <w:r>
              <w:rPr>
                <w:sz w:val="14"/>
              </w:rPr>
              <w:t>External SSO link</w:t>
            </w:r>
          </w:p>
        </w:tc>
        <w:tc>
          <w:tcPr>
            <w:tcW w:type="dxa" w:w="2016"/>
          </w:tcPr>
          <w:p>
            <w:pPr>
              <w:spacing w:after="20"/>
            </w:pPr>
            <w:r>
              <w:rPr>
                <w:sz w:val="14"/>
              </w:rPr>
              <w:t>user_id, provider, subject_ref</w:t>
            </w:r>
          </w:p>
        </w:tc>
        <w:tc>
          <w:tcPr>
            <w:tcW w:type="dxa" w:w="2016"/>
          </w:tcPr>
          <w:p>
            <w:pPr>
              <w:spacing w:after="20"/>
            </w:pPr>
            <w:r>
              <w:rPr>
                <w:sz w:val="14"/>
              </w:rPr>
              <w:t>IAM-015</w:t>
            </w:r>
          </w:p>
        </w:tc>
        <w:tc>
          <w:tcPr>
            <w:tcW w:type="dxa" w:w="2016"/>
          </w:tcPr>
          <w:p>
            <w:pPr>
              <w:spacing w:after="20"/>
            </w:pPr>
            <w:r>
              <w:rPr>
                <w:sz w:val="14"/>
              </w:rPr>
              <w:t>Digi-Pharmed/PRTS OAuth 2.0 mapping</w:t>
            </w:r>
          </w:p>
        </w:tc>
      </w:tr>
    </w:tbl>
    <w:p>
      <w:pPr>
        <w:pStyle w:val="Heading2"/>
      </w:pPr>
      <w:r>
        <w:t>B. Academic taxonomy and learning content</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tcPr>
          <w:p>
            <w:pPr>
              <w:spacing w:after="20"/>
            </w:pPr>
            <w:r>
              <w:rPr>
                <w:sz w:val="14"/>
              </w:rPr>
              <w:t>Object ID</w:t>
            </w:r>
          </w:p>
        </w:tc>
        <w:tc>
          <w:tcPr>
            <w:tcW w:type="dxa" w:w="2016"/>
          </w:tcPr>
          <w:p>
            <w:pPr>
              <w:spacing w:after="20"/>
            </w:pPr>
            <w:r>
              <w:rPr>
                <w:sz w:val="14"/>
              </w:rPr>
              <w:t>Candidate logical object</w:t>
            </w:r>
          </w:p>
        </w:tc>
        <w:tc>
          <w:tcPr>
            <w:tcW w:type="dxa" w:w="2016"/>
          </w:tcPr>
          <w:p>
            <w:pPr>
              <w:spacing w:after="20"/>
            </w:pPr>
            <w:r>
              <w:rPr>
                <w:sz w:val="14"/>
              </w:rPr>
              <w:t>Illustrative attributes</w:t>
            </w:r>
          </w:p>
        </w:tc>
        <w:tc>
          <w:tcPr>
            <w:tcW w:type="dxa" w:w="2016"/>
          </w:tcPr>
          <w:p>
            <w:pPr>
              <w:spacing w:after="20"/>
            </w:pPr>
            <w:r>
              <w:rPr>
                <w:sz w:val="14"/>
              </w:rPr>
              <w:t>Trace to Day 2</w:t>
            </w:r>
          </w:p>
        </w:tc>
        <w:tc>
          <w:tcPr>
            <w:tcW w:type="dxa" w:w="2016"/>
          </w:tcPr>
          <w:p>
            <w:pPr>
              <w:spacing w:after="20"/>
            </w:pPr>
            <w:r>
              <w:rPr>
                <w:sz w:val="14"/>
              </w:rPr>
              <w:t>Purpose / boundary</w:t>
            </w:r>
          </w:p>
        </w:tc>
      </w:tr>
      <w:tr>
        <w:tc>
          <w:tcPr>
            <w:tcW w:type="dxa" w:w="2016"/>
          </w:tcPr>
          <w:p>
            <w:pPr>
              <w:spacing w:after="20"/>
            </w:pPr>
            <w:r>
              <w:rPr>
                <w:sz w:val="14"/>
              </w:rPr>
              <w:t>ACD-OBJ-01</w:t>
            </w:r>
          </w:p>
        </w:tc>
        <w:tc>
          <w:tcPr>
            <w:tcW w:type="dxa" w:w="2016"/>
          </w:tcPr>
          <w:p>
            <w:pPr>
              <w:spacing w:after="20"/>
            </w:pPr>
            <w:r>
              <w:rPr>
                <w:sz w:val="14"/>
              </w:rPr>
              <w:t>Programme</w:t>
            </w:r>
          </w:p>
        </w:tc>
        <w:tc>
          <w:tcPr>
            <w:tcW w:type="dxa" w:w="2016"/>
          </w:tcPr>
          <w:p>
            <w:pPr>
              <w:spacing w:after="20"/>
            </w:pPr>
            <w:r>
              <w:rPr>
                <w:sz w:val="14"/>
              </w:rPr>
              <w:t>programme_id, name, status</w:t>
            </w:r>
          </w:p>
        </w:tc>
        <w:tc>
          <w:tcPr>
            <w:tcW w:type="dxa" w:w="2016"/>
          </w:tcPr>
          <w:p>
            <w:pPr>
              <w:spacing w:after="20"/>
            </w:pPr>
            <w:r>
              <w:rPr>
                <w:sz w:val="14"/>
              </w:rPr>
              <w:t>ACD-001</w:t>
            </w:r>
          </w:p>
        </w:tc>
        <w:tc>
          <w:tcPr>
            <w:tcW w:type="dxa" w:w="2016"/>
          </w:tcPr>
          <w:p>
            <w:pPr>
              <w:spacing w:after="20"/>
            </w:pPr>
            <w:r>
              <w:rPr>
                <w:sz w:val="14"/>
              </w:rPr>
              <w:t>Academic hierarchy level 1</w:t>
            </w:r>
          </w:p>
        </w:tc>
      </w:tr>
      <w:tr>
        <w:tc>
          <w:tcPr>
            <w:tcW w:type="dxa" w:w="2016"/>
          </w:tcPr>
          <w:p>
            <w:pPr>
              <w:spacing w:after="20"/>
            </w:pPr>
            <w:r>
              <w:rPr>
                <w:sz w:val="14"/>
              </w:rPr>
              <w:t>ACD-OBJ-02</w:t>
            </w:r>
          </w:p>
        </w:tc>
        <w:tc>
          <w:tcPr>
            <w:tcW w:type="dxa" w:w="2016"/>
          </w:tcPr>
          <w:p>
            <w:pPr>
              <w:spacing w:after="20"/>
            </w:pPr>
            <w:r>
              <w:rPr>
                <w:sz w:val="14"/>
              </w:rPr>
              <w:t>Year/Semester</w:t>
            </w:r>
          </w:p>
        </w:tc>
        <w:tc>
          <w:tcPr>
            <w:tcW w:type="dxa" w:w="2016"/>
          </w:tcPr>
          <w:p>
            <w:pPr>
              <w:spacing w:after="20"/>
            </w:pPr>
            <w:r>
              <w:rPr>
                <w:sz w:val="14"/>
              </w:rPr>
              <w:t>period_id, programme_id, label</w:t>
            </w:r>
          </w:p>
        </w:tc>
        <w:tc>
          <w:tcPr>
            <w:tcW w:type="dxa" w:w="2016"/>
          </w:tcPr>
          <w:p>
            <w:pPr>
              <w:spacing w:after="20"/>
            </w:pPr>
            <w:r>
              <w:rPr>
                <w:sz w:val="14"/>
              </w:rPr>
              <w:t>ACD-002</w:t>
            </w:r>
          </w:p>
        </w:tc>
        <w:tc>
          <w:tcPr>
            <w:tcW w:type="dxa" w:w="2016"/>
          </w:tcPr>
          <w:p>
            <w:pPr>
              <w:spacing w:after="20"/>
            </w:pPr>
            <w:r>
              <w:rPr>
                <w:sz w:val="14"/>
              </w:rPr>
              <w:t>Level 2; exact representation open</w:t>
            </w:r>
          </w:p>
        </w:tc>
      </w:tr>
      <w:tr>
        <w:tc>
          <w:tcPr>
            <w:tcW w:type="dxa" w:w="2016"/>
          </w:tcPr>
          <w:p>
            <w:pPr>
              <w:spacing w:after="20"/>
            </w:pPr>
            <w:r>
              <w:rPr>
                <w:sz w:val="14"/>
              </w:rPr>
              <w:t>ACD-OBJ-03</w:t>
            </w:r>
          </w:p>
        </w:tc>
        <w:tc>
          <w:tcPr>
            <w:tcW w:type="dxa" w:w="2016"/>
          </w:tcPr>
          <w:p>
            <w:pPr>
              <w:spacing w:after="20"/>
            </w:pPr>
            <w:r>
              <w:rPr>
                <w:sz w:val="14"/>
              </w:rPr>
              <w:t>Subject</w:t>
            </w:r>
          </w:p>
        </w:tc>
        <w:tc>
          <w:tcPr>
            <w:tcW w:type="dxa" w:w="2016"/>
          </w:tcPr>
          <w:p>
            <w:pPr>
              <w:spacing w:after="20"/>
            </w:pPr>
            <w:r>
              <w:rPr>
                <w:sz w:val="14"/>
              </w:rPr>
              <w:t>subject_id, period_id, title</w:t>
            </w:r>
          </w:p>
        </w:tc>
        <w:tc>
          <w:tcPr>
            <w:tcW w:type="dxa" w:w="2016"/>
          </w:tcPr>
          <w:p>
            <w:pPr>
              <w:spacing w:after="20"/>
            </w:pPr>
            <w:r>
              <w:rPr>
                <w:sz w:val="14"/>
              </w:rPr>
              <w:t>ACD-003</w:t>
            </w:r>
          </w:p>
        </w:tc>
        <w:tc>
          <w:tcPr>
            <w:tcW w:type="dxa" w:w="2016"/>
          </w:tcPr>
          <w:p>
            <w:pPr>
              <w:spacing w:after="20"/>
            </w:pPr>
            <w:r>
              <w:rPr>
                <w:sz w:val="14"/>
              </w:rPr>
              <w:t>Level 3</w:t>
            </w:r>
          </w:p>
        </w:tc>
      </w:tr>
      <w:tr>
        <w:tc>
          <w:tcPr>
            <w:tcW w:type="dxa" w:w="2016"/>
          </w:tcPr>
          <w:p>
            <w:pPr>
              <w:spacing w:after="20"/>
            </w:pPr>
            <w:r>
              <w:rPr>
                <w:sz w:val="14"/>
              </w:rPr>
              <w:t>ACD-OBJ-04</w:t>
            </w:r>
          </w:p>
        </w:tc>
        <w:tc>
          <w:tcPr>
            <w:tcW w:type="dxa" w:w="2016"/>
          </w:tcPr>
          <w:p>
            <w:pPr>
              <w:spacing w:after="20"/>
            </w:pPr>
            <w:r>
              <w:rPr>
                <w:sz w:val="14"/>
              </w:rPr>
              <w:t>Topic</w:t>
            </w:r>
          </w:p>
        </w:tc>
        <w:tc>
          <w:tcPr>
            <w:tcW w:type="dxa" w:w="2016"/>
          </w:tcPr>
          <w:p>
            <w:pPr>
              <w:spacing w:after="20"/>
            </w:pPr>
            <w:r>
              <w:rPr>
                <w:sz w:val="14"/>
              </w:rPr>
              <w:t>topic_id, subject_id, title</w:t>
            </w:r>
          </w:p>
        </w:tc>
        <w:tc>
          <w:tcPr>
            <w:tcW w:type="dxa" w:w="2016"/>
          </w:tcPr>
          <w:p>
            <w:pPr>
              <w:spacing w:after="20"/>
            </w:pPr>
            <w:r>
              <w:rPr>
                <w:sz w:val="14"/>
              </w:rPr>
              <w:t>ACD-004</w:t>
            </w:r>
          </w:p>
        </w:tc>
        <w:tc>
          <w:tcPr>
            <w:tcW w:type="dxa" w:w="2016"/>
          </w:tcPr>
          <w:p>
            <w:pPr>
              <w:spacing w:after="20"/>
            </w:pPr>
            <w:r>
              <w:rPr>
                <w:sz w:val="14"/>
              </w:rPr>
              <w:t>Level 4</w:t>
            </w:r>
          </w:p>
        </w:tc>
      </w:tr>
      <w:tr>
        <w:tc>
          <w:tcPr>
            <w:tcW w:type="dxa" w:w="2016"/>
          </w:tcPr>
          <w:p>
            <w:pPr>
              <w:spacing w:after="20"/>
            </w:pPr>
            <w:r>
              <w:rPr>
                <w:sz w:val="14"/>
              </w:rPr>
              <w:t>ACD-OBJ-05</w:t>
            </w:r>
          </w:p>
        </w:tc>
        <w:tc>
          <w:tcPr>
            <w:tcW w:type="dxa" w:w="2016"/>
          </w:tcPr>
          <w:p>
            <w:pPr>
              <w:spacing w:after="20"/>
            </w:pPr>
            <w:r>
              <w:rPr>
                <w:sz w:val="14"/>
              </w:rPr>
              <w:t>Course</w:t>
            </w:r>
          </w:p>
        </w:tc>
        <w:tc>
          <w:tcPr>
            <w:tcW w:type="dxa" w:w="2016"/>
          </w:tcPr>
          <w:p>
            <w:pPr>
              <w:spacing w:after="20"/>
            </w:pPr>
            <w:r>
              <w:rPr>
                <w:sz w:val="14"/>
              </w:rPr>
              <w:t>course_id, academic_ref, status</w:t>
            </w:r>
          </w:p>
        </w:tc>
        <w:tc>
          <w:tcPr>
            <w:tcW w:type="dxa" w:w="2016"/>
          </w:tcPr>
          <w:p>
            <w:pPr>
              <w:spacing w:after="20"/>
            </w:pPr>
            <w:r>
              <w:rPr>
                <w:sz w:val="14"/>
              </w:rPr>
              <w:t>ACD-005</w:t>
            </w:r>
          </w:p>
        </w:tc>
        <w:tc>
          <w:tcPr>
            <w:tcW w:type="dxa" w:w="2016"/>
          </w:tcPr>
          <w:p>
            <w:pPr>
              <w:spacing w:after="20"/>
            </w:pPr>
            <w:r>
              <w:rPr>
                <w:sz w:val="14"/>
              </w:rPr>
              <w:t>Course builder; mapping to taxonomy pending</w:t>
            </w:r>
          </w:p>
        </w:tc>
      </w:tr>
      <w:tr>
        <w:tc>
          <w:tcPr>
            <w:tcW w:type="dxa" w:w="2016"/>
          </w:tcPr>
          <w:p>
            <w:pPr>
              <w:spacing w:after="20"/>
            </w:pPr>
            <w:r>
              <w:rPr>
                <w:sz w:val="14"/>
              </w:rPr>
              <w:t>ACD-OBJ-06</w:t>
            </w:r>
          </w:p>
        </w:tc>
        <w:tc>
          <w:tcPr>
            <w:tcW w:type="dxa" w:w="2016"/>
          </w:tcPr>
          <w:p>
            <w:pPr>
              <w:spacing w:after="20"/>
            </w:pPr>
            <w:r>
              <w:rPr>
                <w:sz w:val="14"/>
              </w:rPr>
              <w:t>Course prerequisite</w:t>
            </w:r>
          </w:p>
        </w:tc>
        <w:tc>
          <w:tcPr>
            <w:tcW w:type="dxa" w:w="2016"/>
          </w:tcPr>
          <w:p>
            <w:pPr>
              <w:spacing w:after="20"/>
            </w:pPr>
            <w:r>
              <w:rPr>
                <w:sz w:val="14"/>
              </w:rPr>
              <w:t>course_id, required_course_ref, rule</w:t>
            </w:r>
          </w:p>
        </w:tc>
        <w:tc>
          <w:tcPr>
            <w:tcW w:type="dxa" w:w="2016"/>
          </w:tcPr>
          <w:p>
            <w:pPr>
              <w:spacing w:after="20"/>
            </w:pPr>
            <w:r>
              <w:rPr>
                <w:sz w:val="14"/>
              </w:rPr>
              <w:t>ACD-006</w:t>
            </w:r>
          </w:p>
        </w:tc>
        <w:tc>
          <w:tcPr>
            <w:tcW w:type="dxa" w:w="2016"/>
          </w:tcPr>
          <w:p>
            <w:pPr>
              <w:spacing w:after="20"/>
            </w:pPr>
            <w:r>
              <w:rPr>
                <w:sz w:val="14"/>
              </w:rPr>
              <w:t>Gating rule semantics pending</w:t>
            </w:r>
          </w:p>
        </w:tc>
      </w:tr>
      <w:tr>
        <w:tc>
          <w:tcPr>
            <w:tcW w:type="dxa" w:w="2016"/>
          </w:tcPr>
          <w:p>
            <w:pPr>
              <w:spacing w:after="20"/>
            </w:pPr>
            <w:r>
              <w:rPr>
                <w:sz w:val="14"/>
              </w:rPr>
              <w:t>ACD-OBJ-07</w:t>
            </w:r>
          </w:p>
        </w:tc>
        <w:tc>
          <w:tcPr>
            <w:tcW w:type="dxa" w:w="2016"/>
          </w:tcPr>
          <w:p>
            <w:pPr>
              <w:spacing w:after="20"/>
            </w:pPr>
            <w:r>
              <w:rPr>
                <w:sz w:val="14"/>
              </w:rPr>
              <w:t>Content item</w:t>
            </w:r>
          </w:p>
        </w:tc>
        <w:tc>
          <w:tcPr>
            <w:tcW w:type="dxa" w:w="2016"/>
          </w:tcPr>
          <w:p>
            <w:pPr>
              <w:spacing w:after="20"/>
            </w:pPr>
            <w:r>
              <w:rPr>
                <w:sz w:val="14"/>
              </w:rPr>
              <w:t>content_id, course_ref, content_type</w:t>
            </w:r>
          </w:p>
        </w:tc>
        <w:tc>
          <w:tcPr>
            <w:tcW w:type="dxa" w:w="2016"/>
          </w:tcPr>
          <w:p>
            <w:pPr>
              <w:spacing w:after="20"/>
            </w:pPr>
            <w:r>
              <w:rPr>
                <w:sz w:val="14"/>
              </w:rPr>
              <w:t>ACD-005, ACD-020</w:t>
            </w:r>
          </w:p>
        </w:tc>
        <w:tc>
          <w:tcPr>
            <w:tcW w:type="dxa" w:w="2016"/>
          </w:tcPr>
          <w:p>
            <w:pPr>
              <w:spacing w:after="20"/>
            </w:pPr>
            <w:r>
              <w:rPr>
                <w:sz w:val="14"/>
              </w:rPr>
              <w:t>Logical metadata; binaries external</w:t>
            </w:r>
          </w:p>
        </w:tc>
      </w:tr>
      <w:tr>
        <w:tc>
          <w:tcPr>
            <w:tcW w:type="dxa" w:w="2016"/>
          </w:tcPr>
          <w:p>
            <w:pPr>
              <w:spacing w:after="20"/>
            </w:pPr>
            <w:r>
              <w:rPr>
                <w:sz w:val="14"/>
              </w:rPr>
              <w:t>ACD-OBJ-08</w:t>
            </w:r>
          </w:p>
        </w:tc>
        <w:tc>
          <w:tcPr>
            <w:tcW w:type="dxa" w:w="2016"/>
          </w:tcPr>
          <w:p>
            <w:pPr>
              <w:spacing w:after="20"/>
            </w:pPr>
            <w:r>
              <w:rPr>
                <w:sz w:val="14"/>
              </w:rPr>
              <w:t>Content version</w:t>
            </w:r>
          </w:p>
        </w:tc>
        <w:tc>
          <w:tcPr>
            <w:tcW w:type="dxa" w:w="2016"/>
          </w:tcPr>
          <w:p>
            <w:pPr>
              <w:spacing w:after="20"/>
            </w:pPr>
            <w:r>
              <w:rPr>
                <w:sz w:val="14"/>
              </w:rPr>
              <w:t>content_id, version, approval_state</w:t>
            </w:r>
          </w:p>
        </w:tc>
        <w:tc>
          <w:tcPr>
            <w:tcW w:type="dxa" w:w="2016"/>
          </w:tcPr>
          <w:p>
            <w:pPr>
              <w:spacing w:after="20"/>
            </w:pPr>
            <w:r>
              <w:rPr>
                <w:sz w:val="14"/>
              </w:rPr>
              <w:t>ACD-008..009</w:t>
            </w:r>
          </w:p>
        </w:tc>
        <w:tc>
          <w:tcPr>
            <w:tcW w:type="dxa" w:w="2016"/>
          </w:tcPr>
          <w:p>
            <w:pPr>
              <w:spacing w:after="20"/>
            </w:pPr>
            <w:r>
              <w:rPr>
                <w:sz w:val="14"/>
              </w:rPr>
              <w:t>Draft→Review→Approved→Published</w:t>
            </w:r>
          </w:p>
        </w:tc>
      </w:tr>
      <w:tr>
        <w:tc>
          <w:tcPr>
            <w:tcW w:type="dxa" w:w="2016"/>
          </w:tcPr>
          <w:p>
            <w:pPr>
              <w:spacing w:after="20"/>
            </w:pPr>
            <w:r>
              <w:rPr>
                <w:sz w:val="14"/>
              </w:rPr>
              <w:t>ACD-OBJ-09</w:t>
            </w:r>
          </w:p>
        </w:tc>
        <w:tc>
          <w:tcPr>
            <w:tcW w:type="dxa" w:w="2016"/>
          </w:tcPr>
          <w:p>
            <w:pPr>
              <w:spacing w:after="20"/>
            </w:pPr>
            <w:r>
              <w:rPr>
                <w:sz w:val="14"/>
              </w:rPr>
              <w:t>Content contributor</w:t>
            </w:r>
          </w:p>
        </w:tc>
        <w:tc>
          <w:tcPr>
            <w:tcW w:type="dxa" w:w="2016"/>
          </w:tcPr>
          <w:p>
            <w:pPr>
              <w:spacing w:after="20"/>
            </w:pPr>
            <w:r>
              <w:rPr>
                <w:sz w:val="14"/>
              </w:rPr>
              <w:t>content_id, user_id, contribution_role</w:t>
            </w:r>
          </w:p>
        </w:tc>
        <w:tc>
          <w:tcPr>
            <w:tcW w:type="dxa" w:w="2016"/>
          </w:tcPr>
          <w:p>
            <w:pPr>
              <w:spacing w:after="20"/>
            </w:pPr>
            <w:r>
              <w:rPr>
                <w:sz w:val="14"/>
              </w:rPr>
              <w:t>ACD-007</w:t>
            </w:r>
          </w:p>
        </w:tc>
        <w:tc>
          <w:tcPr>
            <w:tcW w:type="dxa" w:w="2016"/>
          </w:tcPr>
          <w:p>
            <w:pPr>
              <w:spacing w:after="20"/>
            </w:pPr>
            <w:r>
              <w:rPr>
                <w:sz w:val="14"/>
              </w:rPr>
              <w:t>Co-authoring; edit concurrency open</w:t>
            </w:r>
          </w:p>
        </w:tc>
      </w:tr>
      <w:tr>
        <w:tc>
          <w:tcPr>
            <w:tcW w:type="dxa" w:w="2016"/>
          </w:tcPr>
          <w:p>
            <w:pPr>
              <w:spacing w:after="20"/>
            </w:pPr>
            <w:r>
              <w:rPr>
                <w:sz w:val="14"/>
              </w:rPr>
              <w:t>ACD-OBJ-10</w:t>
            </w:r>
          </w:p>
        </w:tc>
        <w:tc>
          <w:tcPr>
            <w:tcW w:type="dxa" w:w="2016"/>
          </w:tcPr>
          <w:p>
            <w:pPr>
              <w:spacing w:after="20"/>
            </w:pPr>
            <w:r>
              <w:rPr>
                <w:sz w:val="14"/>
              </w:rPr>
              <w:t>Content approval event</w:t>
            </w:r>
          </w:p>
        </w:tc>
        <w:tc>
          <w:tcPr>
            <w:tcW w:type="dxa" w:w="2016"/>
          </w:tcPr>
          <w:p>
            <w:pPr>
              <w:spacing w:after="20"/>
            </w:pPr>
            <w:r>
              <w:rPr>
                <w:sz w:val="14"/>
              </w:rPr>
              <w:t>version_ref, actor, transition, timestamp</w:t>
            </w:r>
          </w:p>
        </w:tc>
        <w:tc>
          <w:tcPr>
            <w:tcW w:type="dxa" w:w="2016"/>
          </w:tcPr>
          <w:p>
            <w:pPr>
              <w:spacing w:after="20"/>
            </w:pPr>
            <w:r>
              <w:rPr>
                <w:sz w:val="14"/>
              </w:rPr>
              <w:t>ACD-008..009</w:t>
            </w:r>
          </w:p>
        </w:tc>
        <w:tc>
          <w:tcPr>
            <w:tcW w:type="dxa" w:w="2016"/>
          </w:tcPr>
          <w:p>
            <w:pPr>
              <w:spacing w:after="20"/>
            </w:pPr>
            <w:r>
              <w:rPr>
                <w:sz w:val="14"/>
              </w:rPr>
              <w:t>Approval evidence; rules pending</w:t>
            </w:r>
          </w:p>
        </w:tc>
      </w:tr>
      <w:tr>
        <w:tc>
          <w:tcPr>
            <w:tcW w:type="dxa" w:w="2016"/>
          </w:tcPr>
          <w:p>
            <w:pPr>
              <w:spacing w:after="20"/>
            </w:pPr>
            <w:r>
              <w:rPr>
                <w:sz w:val="14"/>
              </w:rPr>
              <w:t>ACD-OBJ-11</w:t>
            </w:r>
          </w:p>
        </w:tc>
        <w:tc>
          <w:tcPr>
            <w:tcW w:type="dxa" w:w="2016"/>
          </w:tcPr>
          <w:p>
            <w:pPr>
              <w:spacing w:after="20"/>
            </w:pPr>
            <w:r>
              <w:rPr>
                <w:sz w:val="14"/>
              </w:rPr>
              <w:t>Live class session</w:t>
            </w:r>
          </w:p>
        </w:tc>
        <w:tc>
          <w:tcPr>
            <w:tcW w:type="dxa" w:w="2016"/>
          </w:tcPr>
          <w:p>
            <w:pPr>
              <w:spacing w:after="20"/>
            </w:pPr>
            <w:r>
              <w:rPr>
                <w:sz w:val="14"/>
              </w:rPr>
              <w:t>session_id, course_ref, provider_ref</w:t>
            </w:r>
          </w:p>
        </w:tc>
        <w:tc>
          <w:tcPr>
            <w:tcW w:type="dxa" w:w="2016"/>
          </w:tcPr>
          <w:p>
            <w:pPr>
              <w:spacing w:after="20"/>
            </w:pPr>
            <w:r>
              <w:rPr>
                <w:sz w:val="14"/>
              </w:rPr>
              <w:t>ACD-010..015</w:t>
            </w:r>
          </w:p>
        </w:tc>
        <w:tc>
          <w:tcPr>
            <w:tcW w:type="dxa" w:w="2016"/>
          </w:tcPr>
          <w:p>
            <w:pPr>
              <w:spacing w:after="20"/>
            </w:pPr>
            <w:r>
              <w:rPr>
                <w:sz w:val="14"/>
              </w:rPr>
              <w:t>External meeting integration</w:t>
            </w:r>
          </w:p>
        </w:tc>
      </w:tr>
      <w:tr>
        <w:tc>
          <w:tcPr>
            <w:tcW w:type="dxa" w:w="2016"/>
          </w:tcPr>
          <w:p>
            <w:pPr>
              <w:spacing w:after="20"/>
            </w:pPr>
            <w:r>
              <w:rPr>
                <w:sz w:val="14"/>
              </w:rPr>
              <w:t>ACD-OBJ-12</w:t>
            </w:r>
          </w:p>
        </w:tc>
        <w:tc>
          <w:tcPr>
            <w:tcW w:type="dxa" w:w="2016"/>
          </w:tcPr>
          <w:p>
            <w:pPr>
              <w:spacing w:after="20"/>
            </w:pPr>
            <w:r>
              <w:rPr>
                <w:sz w:val="14"/>
              </w:rPr>
              <w:t>Class schedule</w:t>
            </w:r>
          </w:p>
        </w:tc>
        <w:tc>
          <w:tcPr>
            <w:tcW w:type="dxa" w:w="2016"/>
          </w:tcPr>
          <w:p>
            <w:pPr>
              <w:spacing w:after="20"/>
            </w:pPr>
            <w:r>
              <w:rPr>
                <w:sz w:val="14"/>
              </w:rPr>
              <w:t>session_id, planned_time, resource_ref</w:t>
            </w:r>
          </w:p>
        </w:tc>
        <w:tc>
          <w:tcPr>
            <w:tcW w:type="dxa" w:w="2016"/>
          </w:tcPr>
          <w:p>
            <w:pPr>
              <w:spacing w:after="20"/>
            </w:pPr>
            <w:r>
              <w:rPr>
                <w:sz w:val="14"/>
              </w:rPr>
              <w:t>ACD-018..019</w:t>
            </w:r>
          </w:p>
        </w:tc>
        <w:tc>
          <w:tcPr>
            <w:tcW w:type="dxa" w:w="2016"/>
          </w:tcPr>
          <w:p>
            <w:pPr>
              <w:spacing w:after="20"/>
            </w:pPr>
            <w:r>
              <w:rPr>
                <w:sz w:val="14"/>
              </w:rPr>
              <w:t>Conflict rules unresolved</w:t>
            </w:r>
          </w:p>
        </w:tc>
      </w:tr>
      <w:tr>
        <w:tc>
          <w:tcPr>
            <w:tcW w:type="dxa" w:w="2016"/>
          </w:tcPr>
          <w:p>
            <w:pPr>
              <w:spacing w:after="20"/>
            </w:pPr>
            <w:r>
              <w:rPr>
                <w:sz w:val="14"/>
              </w:rPr>
              <w:t>ACD-OBJ-13</w:t>
            </w:r>
          </w:p>
        </w:tc>
        <w:tc>
          <w:tcPr>
            <w:tcW w:type="dxa" w:w="2016"/>
          </w:tcPr>
          <w:p>
            <w:pPr>
              <w:spacing w:after="20"/>
            </w:pPr>
            <w:r>
              <w:rPr>
                <w:sz w:val="14"/>
              </w:rPr>
              <w:t>Recording / transcript metadata</w:t>
            </w:r>
          </w:p>
        </w:tc>
        <w:tc>
          <w:tcPr>
            <w:tcW w:type="dxa" w:w="2016"/>
          </w:tcPr>
          <w:p>
            <w:pPr>
              <w:spacing w:after="20"/>
            </w:pPr>
            <w:r>
              <w:rPr>
                <w:sz w:val="14"/>
              </w:rPr>
              <w:t>session_id, asset_ref, transcript_ref</w:t>
            </w:r>
          </w:p>
        </w:tc>
        <w:tc>
          <w:tcPr>
            <w:tcW w:type="dxa" w:w="2016"/>
          </w:tcPr>
          <w:p>
            <w:pPr>
              <w:spacing w:after="20"/>
            </w:pPr>
            <w:r>
              <w:rPr>
                <w:sz w:val="14"/>
              </w:rPr>
              <w:t>ACD-015..017</w:t>
            </w:r>
          </w:p>
        </w:tc>
        <w:tc>
          <w:tcPr>
            <w:tcW w:type="dxa" w:w="2016"/>
          </w:tcPr>
          <w:p>
            <w:pPr>
              <w:spacing w:after="20"/>
            </w:pPr>
            <w:r>
              <w:rPr>
                <w:sz w:val="14"/>
              </w:rPr>
              <w:t>AV indexing and transcripts</w:t>
            </w:r>
          </w:p>
        </w:tc>
      </w:tr>
      <w:tr>
        <w:tc>
          <w:tcPr>
            <w:tcW w:type="dxa" w:w="2016"/>
          </w:tcPr>
          <w:p>
            <w:pPr>
              <w:spacing w:after="20"/>
            </w:pPr>
            <w:r>
              <w:rPr>
                <w:sz w:val="14"/>
              </w:rPr>
              <w:t>ACD-OBJ-14</w:t>
            </w:r>
          </w:p>
        </w:tc>
        <w:tc>
          <w:tcPr>
            <w:tcW w:type="dxa" w:w="2016"/>
          </w:tcPr>
          <w:p>
            <w:pPr>
              <w:spacing w:after="20"/>
            </w:pPr>
            <w:r>
              <w:rPr>
                <w:sz w:val="14"/>
              </w:rPr>
              <w:t>Library index record</w:t>
            </w:r>
          </w:p>
        </w:tc>
        <w:tc>
          <w:tcPr>
            <w:tcW w:type="dxa" w:w="2016"/>
          </w:tcPr>
          <w:p>
            <w:pPr>
              <w:spacing w:after="20"/>
            </w:pPr>
            <w:r>
              <w:rPr>
                <w:sz w:val="14"/>
              </w:rPr>
              <w:t>content_ref, title, searchable_text_ref</w:t>
            </w:r>
          </w:p>
        </w:tc>
        <w:tc>
          <w:tcPr>
            <w:tcW w:type="dxa" w:w="2016"/>
          </w:tcPr>
          <w:p>
            <w:pPr>
              <w:spacing w:after="20"/>
            </w:pPr>
            <w:r>
              <w:rPr>
                <w:sz w:val="14"/>
              </w:rPr>
              <w:t>ACD-020..023</w:t>
            </w:r>
          </w:p>
        </w:tc>
        <w:tc>
          <w:tcPr>
            <w:tcW w:type="dxa" w:w="2016"/>
          </w:tcPr>
          <w:p>
            <w:pPr>
              <w:spacing w:after="20"/>
            </w:pPr>
            <w:r>
              <w:rPr>
                <w:sz w:val="14"/>
              </w:rPr>
              <w:t>Search projection, not source of truth</w:t>
            </w:r>
          </w:p>
        </w:tc>
      </w:tr>
    </w:tbl>
    <w:p>
      <w:pPr>
        <w:pStyle w:val="Heading2"/>
      </w:pPr>
      <w:r>
        <w:t>C. Attendance, assessment, credentials</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tcPr>
          <w:p>
            <w:pPr>
              <w:spacing w:after="20"/>
            </w:pPr>
            <w:r>
              <w:rPr>
                <w:sz w:val="14"/>
              </w:rPr>
              <w:t>Object ID</w:t>
            </w:r>
          </w:p>
        </w:tc>
        <w:tc>
          <w:tcPr>
            <w:tcW w:type="dxa" w:w="2016"/>
          </w:tcPr>
          <w:p>
            <w:pPr>
              <w:spacing w:after="20"/>
            </w:pPr>
            <w:r>
              <w:rPr>
                <w:sz w:val="14"/>
              </w:rPr>
              <w:t>Candidate logical object</w:t>
            </w:r>
          </w:p>
        </w:tc>
        <w:tc>
          <w:tcPr>
            <w:tcW w:type="dxa" w:w="2016"/>
          </w:tcPr>
          <w:p>
            <w:pPr>
              <w:spacing w:after="20"/>
            </w:pPr>
            <w:r>
              <w:rPr>
                <w:sz w:val="14"/>
              </w:rPr>
              <w:t>Illustrative attributes</w:t>
            </w:r>
          </w:p>
        </w:tc>
        <w:tc>
          <w:tcPr>
            <w:tcW w:type="dxa" w:w="2016"/>
          </w:tcPr>
          <w:p>
            <w:pPr>
              <w:spacing w:after="20"/>
            </w:pPr>
            <w:r>
              <w:rPr>
                <w:sz w:val="14"/>
              </w:rPr>
              <w:t>Trace to Day 2</w:t>
            </w:r>
          </w:p>
        </w:tc>
        <w:tc>
          <w:tcPr>
            <w:tcW w:type="dxa" w:w="2016"/>
          </w:tcPr>
          <w:p>
            <w:pPr>
              <w:spacing w:after="20"/>
            </w:pPr>
            <w:r>
              <w:rPr>
                <w:sz w:val="14"/>
              </w:rPr>
              <w:t>Purpose / boundary</w:t>
            </w:r>
          </w:p>
        </w:tc>
      </w:tr>
      <w:tr>
        <w:tc>
          <w:tcPr>
            <w:tcW w:type="dxa" w:w="2016"/>
          </w:tcPr>
          <w:p>
            <w:pPr>
              <w:spacing w:after="20"/>
            </w:pPr>
            <w:r>
              <w:rPr>
                <w:sz w:val="14"/>
              </w:rPr>
              <w:t>ASM-OBJ-01</w:t>
            </w:r>
          </w:p>
        </w:tc>
        <w:tc>
          <w:tcPr>
            <w:tcW w:type="dxa" w:w="2016"/>
          </w:tcPr>
          <w:p>
            <w:pPr>
              <w:spacing w:after="20"/>
            </w:pPr>
            <w:r>
              <w:rPr>
                <w:sz w:val="14"/>
              </w:rPr>
              <w:t>Attendance record</w:t>
            </w:r>
          </w:p>
        </w:tc>
        <w:tc>
          <w:tcPr>
            <w:tcW w:type="dxa" w:w="2016"/>
          </w:tcPr>
          <w:p>
            <w:pPr>
              <w:spacing w:after="20"/>
            </w:pPr>
            <w:r>
              <w:rPr>
                <w:sz w:val="14"/>
              </w:rPr>
              <w:t>session_ref, person_ref, status, time</w:t>
            </w:r>
          </w:p>
        </w:tc>
        <w:tc>
          <w:tcPr>
            <w:tcW w:type="dxa" w:w="2016"/>
          </w:tcPr>
          <w:p>
            <w:pPr>
              <w:spacing w:after="20"/>
            </w:pPr>
            <w:r>
              <w:rPr>
                <w:sz w:val="14"/>
              </w:rPr>
              <w:t>ASM-001..004</w:t>
            </w:r>
          </w:p>
        </w:tc>
        <w:tc>
          <w:tcPr>
            <w:tcW w:type="dxa" w:w="2016"/>
          </w:tcPr>
          <w:p>
            <w:pPr>
              <w:spacing w:after="20"/>
            </w:pPr>
            <w:r>
              <w:rPr>
                <w:sz w:val="14"/>
              </w:rPr>
              <w:t>Capture and absence reporting</w:t>
            </w:r>
          </w:p>
        </w:tc>
      </w:tr>
      <w:tr>
        <w:tc>
          <w:tcPr>
            <w:tcW w:type="dxa" w:w="2016"/>
          </w:tcPr>
          <w:p>
            <w:pPr>
              <w:spacing w:after="20"/>
            </w:pPr>
            <w:r>
              <w:rPr>
                <w:sz w:val="14"/>
              </w:rPr>
              <w:t>ASM-OBJ-02</w:t>
            </w:r>
          </w:p>
        </w:tc>
        <w:tc>
          <w:tcPr>
            <w:tcW w:type="dxa" w:w="2016"/>
          </w:tcPr>
          <w:p>
            <w:pPr>
              <w:spacing w:after="20"/>
            </w:pPr>
            <w:r>
              <w:rPr>
                <w:sz w:val="14"/>
              </w:rPr>
              <w:t>Absence notification trigger</w:t>
            </w:r>
          </w:p>
        </w:tc>
        <w:tc>
          <w:tcPr>
            <w:tcW w:type="dxa" w:w="2016"/>
          </w:tcPr>
          <w:p>
            <w:pPr>
              <w:spacing w:after="20"/>
            </w:pPr>
            <w:r>
              <w:rPr>
                <w:sz w:val="14"/>
              </w:rPr>
              <w:t>attendance_ref, recipient_scope, status</w:t>
            </w:r>
          </w:p>
        </w:tc>
        <w:tc>
          <w:tcPr>
            <w:tcW w:type="dxa" w:w="2016"/>
          </w:tcPr>
          <w:p>
            <w:pPr>
              <w:spacing w:after="20"/>
            </w:pPr>
            <w:r>
              <w:rPr>
                <w:sz w:val="14"/>
              </w:rPr>
              <w:t>ASM-002..004</w:t>
            </w:r>
          </w:p>
        </w:tc>
        <w:tc>
          <w:tcPr>
            <w:tcW w:type="dxa" w:w="2016"/>
          </w:tcPr>
          <w:p>
            <w:pPr>
              <w:spacing w:after="20"/>
            </w:pPr>
            <w:r>
              <w:rPr>
                <w:sz w:val="14"/>
              </w:rPr>
              <w:t>Link to shared notification service</w:t>
            </w:r>
          </w:p>
        </w:tc>
      </w:tr>
      <w:tr>
        <w:tc>
          <w:tcPr>
            <w:tcW w:type="dxa" w:w="2016"/>
          </w:tcPr>
          <w:p>
            <w:pPr>
              <w:spacing w:after="20"/>
            </w:pPr>
            <w:r>
              <w:rPr>
                <w:sz w:val="14"/>
              </w:rPr>
              <w:t>ASM-OBJ-03</w:t>
            </w:r>
          </w:p>
        </w:tc>
        <w:tc>
          <w:tcPr>
            <w:tcW w:type="dxa" w:w="2016"/>
          </w:tcPr>
          <w:p>
            <w:pPr>
              <w:spacing w:after="20"/>
            </w:pPr>
            <w:r>
              <w:rPr>
                <w:sz w:val="14"/>
              </w:rPr>
              <w:t>Question bank item</w:t>
            </w:r>
          </w:p>
        </w:tc>
        <w:tc>
          <w:tcPr>
            <w:tcW w:type="dxa" w:w="2016"/>
          </w:tcPr>
          <w:p>
            <w:pPr>
              <w:spacing w:after="20"/>
            </w:pPr>
            <w:r>
              <w:rPr>
                <w:sz w:val="14"/>
              </w:rPr>
              <w:t>question_id, subject_ref, version, state</w:t>
            </w:r>
          </w:p>
        </w:tc>
        <w:tc>
          <w:tcPr>
            <w:tcW w:type="dxa" w:w="2016"/>
          </w:tcPr>
          <w:p>
            <w:pPr>
              <w:spacing w:after="20"/>
            </w:pPr>
            <w:r>
              <w:rPr>
                <w:sz w:val="14"/>
              </w:rPr>
              <w:t>ASM-005</w:t>
            </w:r>
          </w:p>
        </w:tc>
        <w:tc>
          <w:tcPr>
            <w:tcW w:type="dxa" w:w="2016"/>
          </w:tcPr>
          <w:p>
            <w:pPr>
              <w:spacing w:after="20"/>
            </w:pPr>
            <w:r>
              <w:rPr>
                <w:sz w:val="14"/>
              </w:rPr>
              <w:t>SME-reviewed bank</w:t>
            </w:r>
          </w:p>
        </w:tc>
      </w:tr>
      <w:tr>
        <w:tc>
          <w:tcPr>
            <w:tcW w:type="dxa" w:w="2016"/>
          </w:tcPr>
          <w:p>
            <w:pPr>
              <w:spacing w:after="20"/>
            </w:pPr>
            <w:r>
              <w:rPr>
                <w:sz w:val="14"/>
              </w:rPr>
              <w:t>ASM-OBJ-04</w:t>
            </w:r>
          </w:p>
        </w:tc>
        <w:tc>
          <w:tcPr>
            <w:tcW w:type="dxa" w:w="2016"/>
          </w:tcPr>
          <w:p>
            <w:pPr>
              <w:spacing w:after="20"/>
            </w:pPr>
            <w:r>
              <w:rPr>
                <w:sz w:val="14"/>
              </w:rPr>
              <w:t>AI question draft</w:t>
            </w:r>
          </w:p>
        </w:tc>
        <w:tc>
          <w:tcPr>
            <w:tcW w:type="dxa" w:w="2016"/>
          </w:tcPr>
          <w:p>
            <w:pPr>
              <w:spacing w:after="20"/>
            </w:pPr>
            <w:r>
              <w:rPr>
                <w:sz w:val="14"/>
              </w:rPr>
              <w:t>draft_id, prompt_ref, reviewer_status</w:t>
            </w:r>
          </w:p>
        </w:tc>
        <w:tc>
          <w:tcPr>
            <w:tcW w:type="dxa" w:w="2016"/>
          </w:tcPr>
          <w:p>
            <w:pPr>
              <w:spacing w:after="20"/>
            </w:pPr>
            <w:r>
              <w:rPr>
                <w:sz w:val="14"/>
              </w:rPr>
              <w:t>ASM-006..007</w:t>
            </w:r>
          </w:p>
        </w:tc>
        <w:tc>
          <w:tcPr>
            <w:tcW w:type="dxa" w:w="2016"/>
          </w:tcPr>
          <w:p>
            <w:pPr>
              <w:spacing w:after="20"/>
            </w:pPr>
            <w:r>
              <w:rPr>
                <w:sz w:val="14"/>
              </w:rPr>
              <w:t>Never publish without human SME validation</w:t>
            </w:r>
          </w:p>
        </w:tc>
      </w:tr>
      <w:tr>
        <w:tc>
          <w:tcPr>
            <w:tcW w:type="dxa" w:w="2016"/>
          </w:tcPr>
          <w:p>
            <w:pPr>
              <w:spacing w:after="20"/>
            </w:pPr>
            <w:r>
              <w:rPr>
                <w:sz w:val="14"/>
              </w:rPr>
              <w:t>ASM-OBJ-05</w:t>
            </w:r>
          </w:p>
        </w:tc>
        <w:tc>
          <w:tcPr>
            <w:tcW w:type="dxa" w:w="2016"/>
          </w:tcPr>
          <w:p>
            <w:pPr>
              <w:spacing w:after="20"/>
            </w:pPr>
            <w:r>
              <w:rPr>
                <w:sz w:val="14"/>
              </w:rPr>
              <w:t>SME review decision</w:t>
            </w:r>
          </w:p>
        </w:tc>
        <w:tc>
          <w:tcPr>
            <w:tcW w:type="dxa" w:w="2016"/>
          </w:tcPr>
          <w:p>
            <w:pPr>
              <w:spacing w:after="20"/>
            </w:pPr>
            <w:r>
              <w:rPr>
                <w:sz w:val="14"/>
              </w:rPr>
              <w:t>draft_ref, reviewer_ref, decision, timestamp</w:t>
            </w:r>
          </w:p>
        </w:tc>
        <w:tc>
          <w:tcPr>
            <w:tcW w:type="dxa" w:w="2016"/>
          </w:tcPr>
          <w:p>
            <w:pPr>
              <w:spacing w:after="20"/>
            </w:pPr>
            <w:r>
              <w:rPr>
                <w:sz w:val="14"/>
              </w:rPr>
              <w:t>ASM-007</w:t>
            </w:r>
          </w:p>
        </w:tc>
        <w:tc>
          <w:tcPr>
            <w:tcW w:type="dxa" w:w="2016"/>
          </w:tcPr>
          <w:p>
            <w:pPr>
              <w:spacing w:after="20"/>
            </w:pPr>
            <w:r>
              <w:rPr>
                <w:sz w:val="14"/>
              </w:rPr>
              <w:t>Approval evidence</w:t>
            </w:r>
          </w:p>
        </w:tc>
      </w:tr>
      <w:tr>
        <w:tc>
          <w:tcPr>
            <w:tcW w:type="dxa" w:w="2016"/>
          </w:tcPr>
          <w:p>
            <w:pPr>
              <w:spacing w:after="20"/>
            </w:pPr>
            <w:r>
              <w:rPr>
                <w:sz w:val="14"/>
              </w:rPr>
              <w:t>ASM-OBJ-06</w:t>
            </w:r>
          </w:p>
        </w:tc>
        <w:tc>
          <w:tcPr>
            <w:tcW w:type="dxa" w:w="2016"/>
          </w:tcPr>
          <w:p>
            <w:pPr>
              <w:spacing w:after="20"/>
            </w:pPr>
            <w:r>
              <w:rPr>
                <w:sz w:val="14"/>
              </w:rPr>
              <w:t>Assessment definition</w:t>
            </w:r>
          </w:p>
        </w:tc>
        <w:tc>
          <w:tcPr>
            <w:tcW w:type="dxa" w:w="2016"/>
          </w:tcPr>
          <w:p>
            <w:pPr>
              <w:spacing w:after="20"/>
            </w:pPr>
            <w:r>
              <w:rPr>
                <w:sz w:val="14"/>
              </w:rPr>
              <w:t>assessment_id, chapter_ref, delivery_scope</w:t>
            </w:r>
          </w:p>
        </w:tc>
        <w:tc>
          <w:tcPr>
            <w:tcW w:type="dxa" w:w="2016"/>
          </w:tcPr>
          <w:p>
            <w:pPr>
              <w:spacing w:after="20"/>
            </w:pPr>
            <w:r>
              <w:rPr>
                <w:sz w:val="14"/>
              </w:rPr>
              <w:t>ASM-008..009</w:t>
            </w:r>
          </w:p>
        </w:tc>
        <w:tc>
          <w:tcPr>
            <w:tcW w:type="dxa" w:w="2016"/>
          </w:tcPr>
          <w:p>
            <w:pPr>
              <w:spacing w:after="20"/>
            </w:pPr>
            <w:r>
              <w:rPr>
                <w:sz w:val="14"/>
              </w:rPr>
              <w:t>Chapter-end formative assessment</w:t>
            </w:r>
          </w:p>
        </w:tc>
      </w:tr>
      <w:tr>
        <w:tc>
          <w:tcPr>
            <w:tcW w:type="dxa" w:w="2016"/>
          </w:tcPr>
          <w:p>
            <w:pPr>
              <w:spacing w:after="20"/>
            </w:pPr>
            <w:r>
              <w:rPr>
                <w:sz w:val="14"/>
              </w:rPr>
              <w:t>ASM-OBJ-07</w:t>
            </w:r>
          </w:p>
        </w:tc>
        <w:tc>
          <w:tcPr>
            <w:tcW w:type="dxa" w:w="2016"/>
          </w:tcPr>
          <w:p>
            <w:pPr>
              <w:spacing w:after="20"/>
            </w:pPr>
            <w:r>
              <w:rPr>
                <w:sz w:val="14"/>
              </w:rPr>
              <w:t>Assessment attempt / response</w:t>
            </w:r>
          </w:p>
        </w:tc>
        <w:tc>
          <w:tcPr>
            <w:tcW w:type="dxa" w:w="2016"/>
          </w:tcPr>
          <w:p>
            <w:pPr>
              <w:spacing w:after="20"/>
            </w:pPr>
            <w:r>
              <w:rPr>
                <w:sz w:val="14"/>
              </w:rPr>
              <w:t>attempt_id, learner_ref, response_ref</w:t>
            </w:r>
          </w:p>
        </w:tc>
        <w:tc>
          <w:tcPr>
            <w:tcW w:type="dxa" w:w="2016"/>
          </w:tcPr>
          <w:p>
            <w:pPr>
              <w:spacing w:after="20"/>
            </w:pPr>
            <w:r>
              <w:rPr>
                <w:sz w:val="14"/>
              </w:rPr>
              <w:t>ASM-008..011</w:t>
            </w:r>
          </w:p>
        </w:tc>
        <w:tc>
          <w:tcPr>
            <w:tcW w:type="dxa" w:w="2016"/>
          </w:tcPr>
          <w:p>
            <w:pPr>
              <w:spacing w:after="20"/>
            </w:pPr>
            <w:r>
              <w:rPr>
                <w:sz w:val="14"/>
              </w:rPr>
              <w:t>Grading and assessment evidence</w:t>
            </w:r>
          </w:p>
        </w:tc>
      </w:tr>
      <w:tr>
        <w:tc>
          <w:tcPr>
            <w:tcW w:type="dxa" w:w="2016"/>
          </w:tcPr>
          <w:p>
            <w:pPr>
              <w:spacing w:after="20"/>
            </w:pPr>
            <w:r>
              <w:rPr>
                <w:sz w:val="14"/>
              </w:rPr>
              <w:t>ASM-OBJ-08</w:t>
            </w:r>
          </w:p>
        </w:tc>
        <w:tc>
          <w:tcPr>
            <w:tcW w:type="dxa" w:w="2016"/>
          </w:tcPr>
          <w:p>
            <w:pPr>
              <w:spacing w:after="20"/>
            </w:pPr>
            <w:r>
              <w:rPr>
                <w:sz w:val="14"/>
              </w:rPr>
              <w:t>Grade / grading event</w:t>
            </w:r>
          </w:p>
        </w:tc>
        <w:tc>
          <w:tcPr>
            <w:tcW w:type="dxa" w:w="2016"/>
          </w:tcPr>
          <w:p>
            <w:pPr>
              <w:spacing w:after="20"/>
            </w:pPr>
            <w:r>
              <w:rPr>
                <w:sz w:val="14"/>
              </w:rPr>
              <w:t>attempt_ref, grader_ref, score, event</w:t>
            </w:r>
          </w:p>
        </w:tc>
        <w:tc>
          <w:tcPr>
            <w:tcW w:type="dxa" w:w="2016"/>
          </w:tcPr>
          <w:p>
            <w:pPr>
              <w:spacing w:after="20"/>
            </w:pPr>
            <w:r>
              <w:rPr>
                <w:sz w:val="14"/>
              </w:rPr>
              <w:t>ASM-010..011</w:t>
            </w:r>
          </w:p>
        </w:tc>
        <w:tc>
          <w:tcPr>
            <w:tcW w:type="dxa" w:w="2016"/>
          </w:tcPr>
          <w:p>
            <w:pPr>
              <w:spacing w:after="20"/>
            </w:pPr>
            <w:r>
              <w:rPr>
                <w:sz w:val="14"/>
              </w:rPr>
              <w:t>Auto/manual grading and audit</w:t>
            </w:r>
          </w:p>
        </w:tc>
      </w:tr>
      <w:tr>
        <w:tc>
          <w:tcPr>
            <w:tcW w:type="dxa" w:w="2016"/>
          </w:tcPr>
          <w:p>
            <w:pPr>
              <w:spacing w:after="20"/>
            </w:pPr>
            <w:r>
              <w:rPr>
                <w:sz w:val="14"/>
              </w:rPr>
              <w:t>ASM-OBJ-09</w:t>
            </w:r>
          </w:p>
        </w:tc>
        <w:tc>
          <w:tcPr>
            <w:tcW w:type="dxa" w:w="2016"/>
          </w:tcPr>
          <w:p>
            <w:pPr>
              <w:spacing w:after="20"/>
            </w:pPr>
            <w:r>
              <w:rPr>
                <w:sz w:val="14"/>
              </w:rPr>
              <w:t>Assignment</w:t>
            </w:r>
          </w:p>
        </w:tc>
        <w:tc>
          <w:tcPr>
            <w:tcW w:type="dxa" w:w="2016"/>
          </w:tcPr>
          <w:p>
            <w:pPr>
              <w:spacing w:after="20"/>
            </w:pPr>
            <w:r>
              <w:rPr>
                <w:sz w:val="14"/>
              </w:rPr>
              <w:t>assignment_id, course_ref, due_rule</w:t>
            </w:r>
          </w:p>
        </w:tc>
        <w:tc>
          <w:tcPr>
            <w:tcW w:type="dxa" w:w="2016"/>
          </w:tcPr>
          <w:p>
            <w:pPr>
              <w:spacing w:after="20"/>
            </w:pPr>
            <w:r>
              <w:rPr>
                <w:sz w:val="14"/>
              </w:rPr>
              <w:t>ASM-012..013</w:t>
            </w:r>
          </w:p>
        </w:tc>
        <w:tc>
          <w:tcPr>
            <w:tcW w:type="dxa" w:w="2016"/>
          </w:tcPr>
          <w:p>
            <w:pPr>
              <w:spacing w:after="20"/>
            </w:pPr>
            <w:r>
              <w:rPr>
                <w:sz w:val="14"/>
              </w:rPr>
              <w:t>Assignment lifecycle details open</w:t>
            </w:r>
          </w:p>
        </w:tc>
      </w:tr>
      <w:tr>
        <w:tc>
          <w:tcPr>
            <w:tcW w:type="dxa" w:w="2016"/>
          </w:tcPr>
          <w:p>
            <w:pPr>
              <w:spacing w:after="20"/>
            </w:pPr>
            <w:r>
              <w:rPr>
                <w:sz w:val="14"/>
              </w:rPr>
              <w:t>ASM-OBJ-10</w:t>
            </w:r>
          </w:p>
        </w:tc>
        <w:tc>
          <w:tcPr>
            <w:tcW w:type="dxa" w:w="2016"/>
          </w:tcPr>
          <w:p>
            <w:pPr>
              <w:spacing w:after="20"/>
            </w:pPr>
            <w:r>
              <w:rPr>
                <w:sz w:val="14"/>
              </w:rPr>
              <w:t>Assignment submission</w:t>
            </w:r>
          </w:p>
        </w:tc>
        <w:tc>
          <w:tcPr>
            <w:tcW w:type="dxa" w:w="2016"/>
          </w:tcPr>
          <w:p>
            <w:pPr>
              <w:spacing w:after="20"/>
            </w:pPr>
            <w:r>
              <w:rPr>
                <w:sz w:val="14"/>
              </w:rPr>
              <w:t>assignment_ref, learner_ref, submission_ref</w:t>
            </w:r>
          </w:p>
        </w:tc>
        <w:tc>
          <w:tcPr>
            <w:tcW w:type="dxa" w:w="2016"/>
          </w:tcPr>
          <w:p>
            <w:pPr>
              <w:spacing w:after="20"/>
            </w:pPr>
            <w:r>
              <w:rPr>
                <w:sz w:val="14"/>
              </w:rPr>
              <w:t>ASM-012..013</w:t>
            </w:r>
          </w:p>
        </w:tc>
        <w:tc>
          <w:tcPr>
            <w:tcW w:type="dxa" w:w="2016"/>
          </w:tcPr>
          <w:p>
            <w:pPr>
              <w:spacing w:after="20"/>
            </w:pPr>
            <w:r>
              <w:rPr>
                <w:sz w:val="14"/>
              </w:rPr>
              <w:t>Submission and grading workflow</w:t>
            </w:r>
          </w:p>
        </w:tc>
      </w:tr>
      <w:tr>
        <w:tc>
          <w:tcPr>
            <w:tcW w:type="dxa" w:w="2016"/>
          </w:tcPr>
          <w:p>
            <w:pPr>
              <w:spacing w:after="20"/>
            </w:pPr>
            <w:r>
              <w:rPr>
                <w:sz w:val="14"/>
              </w:rPr>
              <w:t>ASM-OBJ-11</w:t>
            </w:r>
          </w:p>
        </w:tc>
        <w:tc>
          <w:tcPr>
            <w:tcW w:type="dxa" w:w="2016"/>
          </w:tcPr>
          <w:p>
            <w:pPr>
              <w:spacing w:after="20"/>
            </w:pPr>
            <w:r>
              <w:rPr>
                <w:sz w:val="14"/>
              </w:rPr>
              <w:t>Practical logbook entry</w:t>
            </w:r>
          </w:p>
        </w:tc>
        <w:tc>
          <w:tcPr>
            <w:tcW w:type="dxa" w:w="2016"/>
          </w:tcPr>
          <w:p>
            <w:pPr>
              <w:spacing w:after="20"/>
            </w:pPr>
            <w:r>
              <w:rPr>
                <w:sz w:val="14"/>
              </w:rPr>
              <w:t>learner_ref, practical_ref, evidence_ref</w:t>
            </w:r>
          </w:p>
        </w:tc>
        <w:tc>
          <w:tcPr>
            <w:tcW w:type="dxa" w:w="2016"/>
          </w:tcPr>
          <w:p>
            <w:pPr>
              <w:spacing w:after="20"/>
            </w:pPr>
            <w:r>
              <w:rPr>
                <w:sz w:val="14"/>
              </w:rPr>
              <w:t>ASM-014</w:t>
            </w:r>
          </w:p>
        </w:tc>
        <w:tc>
          <w:tcPr>
            <w:tcW w:type="dxa" w:w="2016"/>
          </w:tcPr>
          <w:p>
            <w:pPr>
              <w:spacing w:after="20"/>
            </w:pPr>
            <w:r>
              <w:rPr>
                <w:sz w:val="14"/>
              </w:rPr>
              <w:t>Digital practical logbook</w:t>
            </w:r>
          </w:p>
        </w:tc>
      </w:tr>
      <w:tr>
        <w:tc>
          <w:tcPr>
            <w:tcW w:type="dxa" w:w="2016"/>
          </w:tcPr>
          <w:p>
            <w:pPr>
              <w:spacing w:after="20"/>
            </w:pPr>
            <w:r>
              <w:rPr>
                <w:sz w:val="14"/>
              </w:rPr>
              <w:t>ASM-OBJ-12</w:t>
            </w:r>
          </w:p>
        </w:tc>
        <w:tc>
          <w:tcPr>
            <w:tcW w:type="dxa" w:w="2016"/>
          </w:tcPr>
          <w:p>
            <w:pPr>
              <w:spacing w:after="20"/>
            </w:pPr>
            <w:r>
              <w:rPr>
                <w:sz w:val="14"/>
              </w:rPr>
              <w:t>Marksheets</w:t>
            </w:r>
          </w:p>
        </w:tc>
        <w:tc>
          <w:tcPr>
            <w:tcW w:type="dxa" w:w="2016"/>
          </w:tcPr>
          <w:p>
            <w:pPr>
              <w:spacing w:after="20"/>
            </w:pPr>
            <w:r>
              <w:rPr>
                <w:sz w:val="14"/>
              </w:rPr>
              <w:t>marksheet_id, learner_ref, signature_ref</w:t>
            </w:r>
          </w:p>
        </w:tc>
        <w:tc>
          <w:tcPr>
            <w:tcW w:type="dxa" w:w="2016"/>
          </w:tcPr>
          <w:p>
            <w:pPr>
              <w:spacing w:after="20"/>
            </w:pPr>
            <w:r>
              <w:rPr>
                <w:sz w:val="14"/>
              </w:rPr>
              <w:t>ASM-015..016</w:t>
            </w:r>
          </w:p>
        </w:tc>
        <w:tc>
          <w:tcPr>
            <w:tcW w:type="dxa" w:w="2016"/>
          </w:tcPr>
          <w:p>
            <w:pPr>
              <w:spacing w:after="20"/>
            </w:pPr>
            <w:r>
              <w:rPr>
                <w:sz w:val="14"/>
              </w:rPr>
              <w:t>Configurable and digitally signed</w:t>
            </w:r>
          </w:p>
        </w:tc>
      </w:tr>
      <w:tr>
        <w:tc>
          <w:tcPr>
            <w:tcW w:type="dxa" w:w="2016"/>
          </w:tcPr>
          <w:p>
            <w:pPr>
              <w:spacing w:after="20"/>
            </w:pPr>
            <w:r>
              <w:rPr>
                <w:sz w:val="14"/>
              </w:rPr>
              <w:t>ASM-OBJ-13</w:t>
            </w:r>
          </w:p>
        </w:tc>
        <w:tc>
          <w:tcPr>
            <w:tcW w:type="dxa" w:w="2016"/>
          </w:tcPr>
          <w:p>
            <w:pPr>
              <w:spacing w:after="20"/>
            </w:pPr>
            <w:r>
              <w:rPr>
                <w:sz w:val="14"/>
              </w:rPr>
              <w:t>Lifetime academic record</w:t>
            </w:r>
          </w:p>
        </w:tc>
        <w:tc>
          <w:tcPr>
            <w:tcW w:type="dxa" w:w="2016"/>
          </w:tcPr>
          <w:p>
            <w:pPr>
              <w:spacing w:after="20"/>
            </w:pPr>
            <w:r>
              <w:rPr>
                <w:sz w:val="14"/>
              </w:rPr>
              <w:t>learner_ref, record_ref, achievement_ref</w:t>
            </w:r>
          </w:p>
        </w:tc>
        <w:tc>
          <w:tcPr>
            <w:tcW w:type="dxa" w:w="2016"/>
          </w:tcPr>
          <w:p>
            <w:pPr>
              <w:spacing w:after="20"/>
            </w:pPr>
            <w:r>
              <w:rPr>
                <w:sz w:val="14"/>
              </w:rPr>
              <w:t>ASM-017</w:t>
            </w:r>
          </w:p>
        </w:tc>
        <w:tc>
          <w:tcPr>
            <w:tcW w:type="dxa" w:w="2016"/>
          </w:tcPr>
          <w:p>
            <w:pPr>
              <w:spacing w:after="20"/>
            </w:pPr>
            <w:r>
              <w:rPr>
                <w:sz w:val="14"/>
              </w:rPr>
              <w:t>Lifetime record obligation</w:t>
            </w:r>
          </w:p>
        </w:tc>
      </w:tr>
      <w:tr>
        <w:tc>
          <w:tcPr>
            <w:tcW w:type="dxa" w:w="2016"/>
          </w:tcPr>
          <w:p>
            <w:pPr>
              <w:spacing w:after="20"/>
            </w:pPr>
            <w:r>
              <w:rPr>
                <w:sz w:val="14"/>
              </w:rPr>
              <w:t>ASM-OBJ-14</w:t>
            </w:r>
          </w:p>
        </w:tc>
        <w:tc>
          <w:tcPr>
            <w:tcW w:type="dxa" w:w="2016"/>
          </w:tcPr>
          <w:p>
            <w:pPr>
              <w:spacing w:after="20"/>
            </w:pPr>
            <w:r>
              <w:rPr>
                <w:sz w:val="14"/>
              </w:rPr>
              <w:t>Certificate</w:t>
            </w:r>
          </w:p>
        </w:tc>
        <w:tc>
          <w:tcPr>
            <w:tcW w:type="dxa" w:w="2016"/>
          </w:tcPr>
          <w:p>
            <w:pPr>
              <w:spacing w:after="20"/>
            </w:pPr>
            <w:r>
              <w:rPr>
                <w:sz w:val="14"/>
              </w:rPr>
              <w:t>certificate_id, unique_number, learner_ref</w:t>
            </w:r>
          </w:p>
        </w:tc>
        <w:tc>
          <w:tcPr>
            <w:tcW w:type="dxa" w:w="2016"/>
          </w:tcPr>
          <w:p>
            <w:pPr>
              <w:spacing w:after="20"/>
            </w:pPr>
            <w:r>
              <w:rPr>
                <w:sz w:val="14"/>
              </w:rPr>
              <w:t>ASM-018..023</w:t>
            </w:r>
          </w:p>
        </w:tc>
        <w:tc>
          <w:tcPr>
            <w:tcW w:type="dxa" w:w="2016"/>
          </w:tcPr>
          <w:p>
            <w:pPr>
              <w:spacing w:after="20"/>
            </w:pPr>
            <w:r>
              <w:rPr>
                <w:sz w:val="14"/>
              </w:rPr>
              <w:t>Branding, signature, QR, DigiLocker</w:t>
            </w:r>
          </w:p>
        </w:tc>
      </w:tr>
      <w:tr>
        <w:tc>
          <w:tcPr>
            <w:tcW w:type="dxa" w:w="2016"/>
          </w:tcPr>
          <w:p>
            <w:pPr>
              <w:spacing w:after="20"/>
            </w:pPr>
            <w:r>
              <w:rPr>
                <w:sz w:val="14"/>
              </w:rPr>
              <w:t>ASM-OBJ-15</w:t>
            </w:r>
          </w:p>
        </w:tc>
        <w:tc>
          <w:tcPr>
            <w:tcW w:type="dxa" w:w="2016"/>
          </w:tcPr>
          <w:p>
            <w:pPr>
              <w:spacing w:after="20"/>
            </w:pPr>
            <w:r>
              <w:rPr>
                <w:sz w:val="14"/>
              </w:rPr>
              <w:t>Certificate verification</w:t>
            </w:r>
          </w:p>
        </w:tc>
        <w:tc>
          <w:tcPr>
            <w:tcW w:type="dxa" w:w="2016"/>
          </w:tcPr>
          <w:p>
            <w:pPr>
              <w:spacing w:after="20"/>
            </w:pPr>
            <w:r>
              <w:rPr>
                <w:sz w:val="14"/>
              </w:rPr>
              <w:t>certificate_ref, verification_token, state</w:t>
            </w:r>
          </w:p>
        </w:tc>
        <w:tc>
          <w:tcPr>
            <w:tcW w:type="dxa" w:w="2016"/>
          </w:tcPr>
          <w:p>
            <w:pPr>
              <w:spacing w:after="20"/>
            </w:pPr>
            <w:r>
              <w:rPr>
                <w:sz w:val="14"/>
              </w:rPr>
              <w:t>ASM-021..022</w:t>
            </w:r>
          </w:p>
        </w:tc>
        <w:tc>
          <w:tcPr>
            <w:tcW w:type="dxa" w:w="2016"/>
          </w:tcPr>
          <w:p>
            <w:pPr>
              <w:spacing w:after="20"/>
            </w:pPr>
            <w:r>
              <w:rPr>
                <w:sz w:val="14"/>
              </w:rPr>
              <w:t>Public QR verification; privacy constraints</w:t>
            </w:r>
          </w:p>
        </w:tc>
      </w:tr>
      <w:tr>
        <w:tc>
          <w:tcPr>
            <w:tcW w:type="dxa" w:w="2016"/>
          </w:tcPr>
          <w:p>
            <w:pPr>
              <w:spacing w:after="20"/>
            </w:pPr>
            <w:r>
              <w:rPr>
                <w:sz w:val="14"/>
              </w:rPr>
              <w:t>ASM-OBJ-16</w:t>
            </w:r>
          </w:p>
        </w:tc>
        <w:tc>
          <w:tcPr>
            <w:tcW w:type="dxa" w:w="2016"/>
          </w:tcPr>
          <w:p>
            <w:pPr>
              <w:spacing w:after="20"/>
            </w:pPr>
            <w:r>
              <w:rPr>
                <w:sz w:val="14"/>
              </w:rPr>
              <w:t>Credential integration receipt</w:t>
            </w:r>
          </w:p>
        </w:tc>
        <w:tc>
          <w:tcPr>
            <w:tcW w:type="dxa" w:w="2016"/>
          </w:tcPr>
          <w:p>
            <w:pPr>
              <w:spacing w:after="20"/>
            </w:pPr>
            <w:r>
              <w:rPr>
                <w:sz w:val="14"/>
              </w:rPr>
              <w:t>certificate_ref, provider_ref, result</w:t>
            </w:r>
          </w:p>
        </w:tc>
        <w:tc>
          <w:tcPr>
            <w:tcW w:type="dxa" w:w="2016"/>
          </w:tcPr>
          <w:p>
            <w:pPr>
              <w:spacing w:after="20"/>
            </w:pPr>
            <w:r>
              <w:rPr>
                <w:sz w:val="14"/>
              </w:rPr>
              <w:t>ASM-023</w:t>
            </w:r>
          </w:p>
        </w:tc>
        <w:tc>
          <w:tcPr>
            <w:tcW w:type="dxa" w:w="2016"/>
          </w:tcPr>
          <w:p>
            <w:pPr>
              <w:spacing w:after="20"/>
            </w:pPr>
            <w:r>
              <w:rPr>
                <w:sz w:val="14"/>
              </w:rPr>
              <w:t>DigiLocker delivery evidence</w:t>
            </w:r>
          </w:p>
        </w:tc>
      </w:tr>
    </w:tbl>
    <w:p>
      <w:pPr>
        <w:pStyle w:val="Heading2"/>
      </w:pPr>
      <w:r>
        <w:t>D. Analytics, communications and operations</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tcPr>
          <w:p>
            <w:pPr>
              <w:spacing w:after="20"/>
            </w:pPr>
            <w:r>
              <w:rPr>
                <w:sz w:val="14"/>
              </w:rPr>
              <w:t>Object ID</w:t>
            </w:r>
          </w:p>
        </w:tc>
        <w:tc>
          <w:tcPr>
            <w:tcW w:type="dxa" w:w="2016"/>
          </w:tcPr>
          <w:p>
            <w:pPr>
              <w:spacing w:after="20"/>
            </w:pPr>
            <w:r>
              <w:rPr>
                <w:sz w:val="14"/>
              </w:rPr>
              <w:t>Candidate logical object</w:t>
            </w:r>
          </w:p>
        </w:tc>
        <w:tc>
          <w:tcPr>
            <w:tcW w:type="dxa" w:w="2016"/>
          </w:tcPr>
          <w:p>
            <w:pPr>
              <w:spacing w:after="20"/>
            </w:pPr>
            <w:r>
              <w:rPr>
                <w:sz w:val="14"/>
              </w:rPr>
              <w:t>Illustrative attributes</w:t>
            </w:r>
          </w:p>
        </w:tc>
        <w:tc>
          <w:tcPr>
            <w:tcW w:type="dxa" w:w="2016"/>
          </w:tcPr>
          <w:p>
            <w:pPr>
              <w:spacing w:after="20"/>
            </w:pPr>
            <w:r>
              <w:rPr>
                <w:sz w:val="14"/>
              </w:rPr>
              <w:t>Trace to Day 2</w:t>
            </w:r>
          </w:p>
        </w:tc>
        <w:tc>
          <w:tcPr>
            <w:tcW w:type="dxa" w:w="2016"/>
          </w:tcPr>
          <w:p>
            <w:pPr>
              <w:spacing w:after="20"/>
            </w:pPr>
            <w:r>
              <w:rPr>
                <w:sz w:val="14"/>
              </w:rPr>
              <w:t>Purpose / boundary</w:t>
            </w:r>
          </w:p>
        </w:tc>
      </w:tr>
      <w:tr>
        <w:tc>
          <w:tcPr>
            <w:tcW w:type="dxa" w:w="2016"/>
          </w:tcPr>
          <w:p>
            <w:pPr>
              <w:spacing w:after="20"/>
            </w:pPr>
            <w:r>
              <w:rPr>
                <w:sz w:val="14"/>
              </w:rPr>
              <w:t>COM-OBJ-01</w:t>
            </w:r>
          </w:p>
        </w:tc>
        <w:tc>
          <w:tcPr>
            <w:tcW w:type="dxa" w:w="2016"/>
          </w:tcPr>
          <w:p>
            <w:pPr>
              <w:spacing w:after="20"/>
            </w:pPr>
            <w:r>
              <w:rPr>
                <w:sz w:val="14"/>
              </w:rPr>
              <w:t>Dashboard/report definition</w:t>
            </w:r>
          </w:p>
        </w:tc>
        <w:tc>
          <w:tcPr>
            <w:tcW w:type="dxa" w:w="2016"/>
          </w:tcPr>
          <w:p>
            <w:pPr>
              <w:spacing w:after="20"/>
            </w:pPr>
            <w:r>
              <w:rPr>
                <w:sz w:val="14"/>
              </w:rPr>
              <w:t>report_id, owner_scope, specification</w:t>
            </w:r>
          </w:p>
        </w:tc>
        <w:tc>
          <w:tcPr>
            <w:tcW w:type="dxa" w:w="2016"/>
          </w:tcPr>
          <w:p>
            <w:pPr>
              <w:spacing w:after="20"/>
            </w:pPr>
            <w:r>
              <w:rPr>
                <w:sz w:val="14"/>
              </w:rPr>
              <w:t>COM-001..009</w:t>
            </w:r>
          </w:p>
        </w:tc>
        <w:tc>
          <w:tcPr>
            <w:tcW w:type="dxa" w:w="2016"/>
          </w:tcPr>
          <w:p>
            <w:pPr>
              <w:spacing w:after="20"/>
            </w:pPr>
            <w:r>
              <w:rPr>
                <w:sz w:val="14"/>
              </w:rPr>
              <w:t>Role-specific dashboards and custom reports</w:t>
            </w:r>
          </w:p>
        </w:tc>
      </w:tr>
      <w:tr>
        <w:tc>
          <w:tcPr>
            <w:tcW w:type="dxa" w:w="2016"/>
          </w:tcPr>
          <w:p>
            <w:pPr>
              <w:spacing w:after="20"/>
            </w:pPr>
            <w:r>
              <w:rPr>
                <w:sz w:val="14"/>
              </w:rPr>
              <w:t>COM-OBJ-02</w:t>
            </w:r>
          </w:p>
        </w:tc>
        <w:tc>
          <w:tcPr>
            <w:tcW w:type="dxa" w:w="2016"/>
          </w:tcPr>
          <w:p>
            <w:pPr>
              <w:spacing w:after="20"/>
            </w:pPr>
            <w:r>
              <w:rPr>
                <w:sz w:val="14"/>
              </w:rPr>
              <w:t>Reporting projection</w:t>
            </w:r>
          </w:p>
        </w:tc>
        <w:tc>
          <w:tcPr>
            <w:tcW w:type="dxa" w:w="2016"/>
          </w:tcPr>
          <w:p>
            <w:pPr>
              <w:spacing w:after="20"/>
            </w:pPr>
            <w:r>
              <w:rPr>
                <w:sz w:val="14"/>
              </w:rPr>
              <w:t>source_ref, metric_key, period, value</w:t>
            </w:r>
          </w:p>
        </w:tc>
        <w:tc>
          <w:tcPr>
            <w:tcW w:type="dxa" w:w="2016"/>
          </w:tcPr>
          <w:p>
            <w:pPr>
              <w:spacing w:after="20"/>
            </w:pPr>
            <w:r>
              <w:rPr>
                <w:sz w:val="14"/>
              </w:rPr>
              <w:t>COM-006..009, COM-022</w:t>
            </w:r>
          </w:p>
        </w:tc>
        <w:tc>
          <w:tcPr>
            <w:tcW w:type="dxa" w:w="2016"/>
          </w:tcPr>
          <w:p>
            <w:pPr>
              <w:spacing w:after="20"/>
            </w:pPr>
            <w:r>
              <w:rPr>
                <w:sz w:val="14"/>
              </w:rPr>
              <w:t>Derived metrics, lineage required</w:t>
            </w:r>
          </w:p>
        </w:tc>
      </w:tr>
      <w:tr>
        <w:tc>
          <w:tcPr>
            <w:tcW w:type="dxa" w:w="2016"/>
          </w:tcPr>
          <w:p>
            <w:pPr>
              <w:spacing w:after="20"/>
            </w:pPr>
            <w:r>
              <w:rPr>
                <w:sz w:val="14"/>
              </w:rPr>
              <w:t>COM-OBJ-03</w:t>
            </w:r>
          </w:p>
        </w:tc>
        <w:tc>
          <w:tcPr>
            <w:tcW w:type="dxa" w:w="2016"/>
          </w:tcPr>
          <w:p>
            <w:pPr>
              <w:spacing w:after="20"/>
            </w:pPr>
            <w:r>
              <w:rPr>
                <w:sz w:val="14"/>
              </w:rPr>
              <w:t>Forum / discussion item</w:t>
            </w:r>
          </w:p>
        </w:tc>
        <w:tc>
          <w:tcPr>
            <w:tcW w:type="dxa" w:w="2016"/>
          </w:tcPr>
          <w:p>
            <w:pPr>
              <w:spacing w:after="20"/>
            </w:pPr>
            <w:r>
              <w:rPr>
                <w:sz w:val="14"/>
              </w:rPr>
              <w:t>thread_id, course_ref, author_ref</w:t>
            </w:r>
          </w:p>
        </w:tc>
        <w:tc>
          <w:tcPr>
            <w:tcW w:type="dxa" w:w="2016"/>
          </w:tcPr>
          <w:p>
            <w:pPr>
              <w:spacing w:after="20"/>
            </w:pPr>
            <w:r>
              <w:rPr>
                <w:sz w:val="14"/>
              </w:rPr>
              <w:t>COM-010</w:t>
            </w:r>
          </w:p>
        </w:tc>
        <w:tc>
          <w:tcPr>
            <w:tcW w:type="dxa" w:w="2016"/>
          </w:tcPr>
          <w:p>
            <w:pPr>
              <w:spacing w:after="20"/>
            </w:pPr>
            <w:r>
              <w:rPr>
                <w:sz w:val="14"/>
              </w:rPr>
              <w:t>Moderation policy not specified</w:t>
            </w:r>
          </w:p>
        </w:tc>
      </w:tr>
      <w:tr>
        <w:tc>
          <w:tcPr>
            <w:tcW w:type="dxa" w:w="2016"/>
          </w:tcPr>
          <w:p>
            <w:pPr>
              <w:spacing w:after="20"/>
            </w:pPr>
            <w:r>
              <w:rPr>
                <w:sz w:val="14"/>
              </w:rPr>
              <w:t>COM-OBJ-04</w:t>
            </w:r>
          </w:p>
        </w:tc>
        <w:tc>
          <w:tcPr>
            <w:tcW w:type="dxa" w:w="2016"/>
          </w:tcPr>
          <w:p>
            <w:pPr>
              <w:spacing w:after="20"/>
            </w:pPr>
            <w:r>
              <w:rPr>
                <w:sz w:val="14"/>
              </w:rPr>
              <w:t>Announcement</w:t>
            </w:r>
          </w:p>
        </w:tc>
        <w:tc>
          <w:tcPr>
            <w:tcW w:type="dxa" w:w="2016"/>
          </w:tcPr>
          <w:p>
            <w:pPr>
              <w:spacing w:after="20"/>
            </w:pPr>
            <w:r>
              <w:rPr>
                <w:sz w:val="14"/>
              </w:rPr>
              <w:t>announcement_id, audience_scope, message</w:t>
            </w:r>
          </w:p>
        </w:tc>
        <w:tc>
          <w:tcPr>
            <w:tcW w:type="dxa" w:w="2016"/>
          </w:tcPr>
          <w:p>
            <w:pPr>
              <w:spacing w:after="20"/>
            </w:pPr>
            <w:r>
              <w:rPr>
                <w:sz w:val="14"/>
              </w:rPr>
              <w:t>COM-011</w:t>
            </w:r>
          </w:p>
        </w:tc>
        <w:tc>
          <w:tcPr>
            <w:tcW w:type="dxa" w:w="2016"/>
          </w:tcPr>
          <w:p>
            <w:pPr>
              <w:spacing w:after="20"/>
            </w:pPr>
            <w:r>
              <w:rPr>
                <w:sz w:val="14"/>
              </w:rPr>
              <w:t>Layered audience scopes unresolved</w:t>
            </w:r>
          </w:p>
        </w:tc>
      </w:tr>
      <w:tr>
        <w:tc>
          <w:tcPr>
            <w:tcW w:type="dxa" w:w="2016"/>
          </w:tcPr>
          <w:p>
            <w:pPr>
              <w:spacing w:after="20"/>
            </w:pPr>
            <w:r>
              <w:rPr>
                <w:sz w:val="14"/>
              </w:rPr>
              <w:t>COM-OBJ-05</w:t>
            </w:r>
          </w:p>
        </w:tc>
        <w:tc>
          <w:tcPr>
            <w:tcW w:type="dxa" w:w="2016"/>
          </w:tcPr>
          <w:p>
            <w:pPr>
              <w:spacing w:after="20"/>
            </w:pPr>
            <w:r>
              <w:rPr>
                <w:sz w:val="14"/>
              </w:rPr>
              <w:t>Platform message</w:t>
            </w:r>
          </w:p>
        </w:tc>
        <w:tc>
          <w:tcPr>
            <w:tcW w:type="dxa" w:w="2016"/>
          </w:tcPr>
          <w:p>
            <w:pPr>
              <w:spacing w:after="20"/>
            </w:pPr>
            <w:r>
              <w:rPr>
                <w:sz w:val="14"/>
              </w:rPr>
              <w:t>message_id, sender_ref, recipient_scope</w:t>
            </w:r>
          </w:p>
        </w:tc>
        <w:tc>
          <w:tcPr>
            <w:tcW w:type="dxa" w:w="2016"/>
          </w:tcPr>
          <w:p>
            <w:pPr>
              <w:spacing w:after="20"/>
            </w:pPr>
            <w:r>
              <w:rPr>
                <w:sz w:val="14"/>
              </w:rPr>
              <w:t>COM-012</w:t>
            </w:r>
          </w:p>
        </w:tc>
        <w:tc>
          <w:tcPr>
            <w:tcW w:type="dxa" w:w="2016"/>
          </w:tcPr>
          <w:p>
            <w:pPr>
              <w:spacing w:after="20"/>
            </w:pPr>
            <w:r>
              <w:rPr>
                <w:sz w:val="14"/>
              </w:rPr>
              <w:t>Messaging retention unresolved</w:t>
            </w:r>
          </w:p>
        </w:tc>
      </w:tr>
      <w:tr>
        <w:tc>
          <w:tcPr>
            <w:tcW w:type="dxa" w:w="2016"/>
          </w:tcPr>
          <w:p>
            <w:pPr>
              <w:spacing w:after="20"/>
            </w:pPr>
            <w:r>
              <w:rPr>
                <w:sz w:val="14"/>
              </w:rPr>
              <w:t>COM-OBJ-06</w:t>
            </w:r>
          </w:p>
        </w:tc>
        <w:tc>
          <w:tcPr>
            <w:tcW w:type="dxa" w:w="2016"/>
          </w:tcPr>
          <w:p>
            <w:pPr>
              <w:spacing w:after="20"/>
            </w:pPr>
            <w:r>
              <w:rPr>
                <w:sz w:val="14"/>
              </w:rPr>
              <w:t>Academic calendar event</w:t>
            </w:r>
          </w:p>
        </w:tc>
        <w:tc>
          <w:tcPr>
            <w:tcW w:type="dxa" w:w="2016"/>
          </w:tcPr>
          <w:p>
            <w:pPr>
              <w:spacing w:after="20"/>
            </w:pPr>
            <w:r>
              <w:rPr>
                <w:sz w:val="14"/>
              </w:rPr>
              <w:t>event_id, academic_scope, start_time</w:t>
            </w:r>
          </w:p>
        </w:tc>
        <w:tc>
          <w:tcPr>
            <w:tcW w:type="dxa" w:w="2016"/>
          </w:tcPr>
          <w:p>
            <w:pPr>
              <w:spacing w:after="20"/>
            </w:pPr>
            <w:r>
              <w:rPr>
                <w:sz w:val="14"/>
              </w:rPr>
              <w:t>COM-013</w:t>
            </w:r>
          </w:p>
        </w:tc>
        <w:tc>
          <w:tcPr>
            <w:tcW w:type="dxa" w:w="2016"/>
          </w:tcPr>
          <w:p>
            <w:pPr>
              <w:spacing w:after="20"/>
            </w:pPr>
            <w:r>
              <w:rPr>
                <w:sz w:val="14"/>
              </w:rPr>
              <w:t>Scheduling overlap needs definition</w:t>
            </w:r>
          </w:p>
        </w:tc>
      </w:tr>
      <w:tr>
        <w:tc>
          <w:tcPr>
            <w:tcW w:type="dxa" w:w="2016"/>
          </w:tcPr>
          <w:p>
            <w:pPr>
              <w:spacing w:after="20"/>
            </w:pPr>
            <w:r>
              <w:rPr>
                <w:sz w:val="14"/>
              </w:rPr>
              <w:t>COM-OBJ-07</w:t>
            </w:r>
          </w:p>
        </w:tc>
        <w:tc>
          <w:tcPr>
            <w:tcW w:type="dxa" w:w="2016"/>
          </w:tcPr>
          <w:p>
            <w:pPr>
              <w:spacing w:after="20"/>
            </w:pPr>
            <w:r>
              <w:rPr>
                <w:sz w:val="14"/>
              </w:rPr>
              <w:t>Notification template</w:t>
            </w:r>
          </w:p>
        </w:tc>
        <w:tc>
          <w:tcPr>
            <w:tcW w:type="dxa" w:w="2016"/>
          </w:tcPr>
          <w:p>
            <w:pPr>
              <w:spacing w:after="20"/>
            </w:pPr>
            <w:r>
              <w:rPr>
                <w:sz w:val="14"/>
              </w:rPr>
              <w:t>template_id, channel, version</w:t>
            </w:r>
          </w:p>
        </w:tc>
        <w:tc>
          <w:tcPr>
            <w:tcW w:type="dxa" w:w="2016"/>
          </w:tcPr>
          <w:p>
            <w:pPr>
              <w:spacing w:after="20"/>
            </w:pPr>
            <w:r>
              <w:rPr>
                <w:sz w:val="14"/>
              </w:rPr>
              <w:t>COM-014..020</w:t>
            </w:r>
          </w:p>
        </w:tc>
        <w:tc>
          <w:tcPr>
            <w:tcW w:type="dxa" w:w="2016"/>
          </w:tcPr>
          <w:p>
            <w:pPr>
              <w:spacing w:after="20"/>
            </w:pPr>
            <w:r>
              <w:rPr>
                <w:sz w:val="14"/>
              </w:rPr>
              <w:t>Admin-configurable templates</w:t>
            </w:r>
          </w:p>
        </w:tc>
      </w:tr>
      <w:tr>
        <w:tc>
          <w:tcPr>
            <w:tcW w:type="dxa" w:w="2016"/>
          </w:tcPr>
          <w:p>
            <w:pPr>
              <w:spacing w:after="20"/>
            </w:pPr>
            <w:r>
              <w:rPr>
                <w:sz w:val="14"/>
              </w:rPr>
              <w:t>COM-OBJ-08</w:t>
            </w:r>
          </w:p>
        </w:tc>
        <w:tc>
          <w:tcPr>
            <w:tcW w:type="dxa" w:w="2016"/>
          </w:tcPr>
          <w:p>
            <w:pPr>
              <w:spacing w:after="20"/>
            </w:pPr>
            <w:r>
              <w:rPr>
                <w:sz w:val="14"/>
              </w:rPr>
              <w:t>Notification request</w:t>
            </w:r>
          </w:p>
        </w:tc>
        <w:tc>
          <w:tcPr>
            <w:tcW w:type="dxa" w:w="2016"/>
          </w:tcPr>
          <w:p>
            <w:pPr>
              <w:spacing w:after="20"/>
            </w:pPr>
            <w:r>
              <w:rPr>
                <w:sz w:val="14"/>
              </w:rPr>
              <w:t>request_id, event_ref, channel, status</w:t>
            </w:r>
          </w:p>
        </w:tc>
        <w:tc>
          <w:tcPr>
            <w:tcW w:type="dxa" w:w="2016"/>
          </w:tcPr>
          <w:p>
            <w:pPr>
              <w:spacing w:after="20"/>
            </w:pPr>
            <w:r>
              <w:rPr>
                <w:sz w:val="14"/>
              </w:rPr>
              <w:t>COM-014..019</w:t>
            </w:r>
          </w:p>
        </w:tc>
        <w:tc>
          <w:tcPr>
            <w:tcW w:type="dxa" w:w="2016"/>
          </w:tcPr>
          <w:p>
            <w:pPr>
              <w:spacing w:after="20"/>
            </w:pPr>
            <w:r>
              <w:rPr>
                <w:sz w:val="14"/>
              </w:rPr>
              <w:t>Independent notification service</w:t>
            </w:r>
          </w:p>
        </w:tc>
      </w:tr>
      <w:tr>
        <w:tc>
          <w:tcPr>
            <w:tcW w:type="dxa" w:w="2016"/>
          </w:tcPr>
          <w:p>
            <w:pPr>
              <w:spacing w:after="20"/>
            </w:pPr>
            <w:r>
              <w:rPr>
                <w:sz w:val="14"/>
              </w:rPr>
              <w:t>COM-OBJ-09</w:t>
            </w:r>
          </w:p>
        </w:tc>
        <w:tc>
          <w:tcPr>
            <w:tcW w:type="dxa" w:w="2016"/>
          </w:tcPr>
          <w:p>
            <w:pPr>
              <w:spacing w:after="20"/>
            </w:pPr>
            <w:r>
              <w:rPr>
                <w:sz w:val="14"/>
              </w:rPr>
              <w:t>Delivery attempt/receipt</w:t>
            </w:r>
          </w:p>
        </w:tc>
        <w:tc>
          <w:tcPr>
            <w:tcW w:type="dxa" w:w="2016"/>
          </w:tcPr>
          <w:p>
            <w:pPr>
              <w:spacing w:after="20"/>
            </w:pPr>
            <w:r>
              <w:rPr>
                <w:sz w:val="14"/>
              </w:rPr>
              <w:t>request_id, provider_ref, delivery_state</w:t>
            </w:r>
          </w:p>
        </w:tc>
        <w:tc>
          <w:tcPr>
            <w:tcW w:type="dxa" w:w="2016"/>
          </w:tcPr>
          <w:p>
            <w:pPr>
              <w:spacing w:after="20"/>
            </w:pPr>
            <w:r>
              <w:rPr>
                <w:sz w:val="14"/>
              </w:rPr>
              <w:t>COM-021</w:t>
            </w:r>
          </w:p>
        </w:tc>
        <w:tc>
          <w:tcPr>
            <w:tcW w:type="dxa" w:w="2016"/>
          </w:tcPr>
          <w:p>
            <w:pPr>
              <w:spacing w:after="20"/>
            </w:pPr>
            <w:r>
              <w:rPr>
                <w:sz w:val="14"/>
              </w:rPr>
              <w:t>Delivery analytics</w:t>
            </w:r>
          </w:p>
        </w:tc>
      </w:tr>
      <w:tr>
        <w:tc>
          <w:tcPr>
            <w:tcW w:type="dxa" w:w="2016"/>
          </w:tcPr>
          <w:p>
            <w:pPr>
              <w:spacing w:after="20"/>
            </w:pPr>
            <w:r>
              <w:rPr>
                <w:sz w:val="14"/>
              </w:rPr>
              <w:t>MOB-OBJ-01</w:t>
            </w:r>
          </w:p>
        </w:tc>
        <w:tc>
          <w:tcPr>
            <w:tcW w:type="dxa" w:w="2016"/>
          </w:tcPr>
          <w:p>
            <w:pPr>
              <w:spacing w:after="20"/>
            </w:pPr>
            <w:r>
              <w:rPr>
                <w:sz w:val="14"/>
              </w:rPr>
              <w:t>Playback/bookmark/notes</w:t>
            </w:r>
          </w:p>
        </w:tc>
        <w:tc>
          <w:tcPr>
            <w:tcW w:type="dxa" w:w="2016"/>
          </w:tcPr>
          <w:p>
            <w:pPr>
              <w:spacing w:after="20"/>
            </w:pPr>
            <w:r>
              <w:rPr>
                <w:sz w:val="14"/>
              </w:rPr>
              <w:t>learner_ref, media_ref, position, note_ref</w:t>
            </w:r>
          </w:p>
        </w:tc>
        <w:tc>
          <w:tcPr>
            <w:tcW w:type="dxa" w:w="2016"/>
          </w:tcPr>
          <w:p>
            <w:pPr>
              <w:spacing w:after="20"/>
            </w:pPr>
            <w:r>
              <w:rPr>
                <w:sz w:val="14"/>
              </w:rPr>
              <w:t>MOB-015..021</w:t>
            </w:r>
          </w:p>
        </w:tc>
        <w:tc>
          <w:tcPr>
            <w:tcW w:type="dxa" w:w="2016"/>
          </w:tcPr>
          <w:p>
            <w:pPr>
              <w:spacing w:after="20"/>
            </w:pPr>
            <w:r>
              <w:rPr>
                <w:sz w:val="14"/>
              </w:rPr>
              <w:t>Sync and privacy rules pending</w:t>
            </w:r>
          </w:p>
        </w:tc>
      </w:tr>
      <w:tr>
        <w:tc>
          <w:tcPr>
            <w:tcW w:type="dxa" w:w="2016"/>
          </w:tcPr>
          <w:p>
            <w:pPr>
              <w:spacing w:after="20"/>
            </w:pPr>
            <w:r>
              <w:rPr>
                <w:sz w:val="14"/>
              </w:rPr>
              <w:t>MOB-OBJ-02</w:t>
            </w:r>
          </w:p>
        </w:tc>
        <w:tc>
          <w:tcPr>
            <w:tcW w:type="dxa" w:w="2016"/>
          </w:tcPr>
          <w:p>
            <w:pPr>
              <w:spacing w:after="20"/>
            </w:pPr>
            <w:r>
              <w:rPr>
                <w:sz w:val="14"/>
              </w:rPr>
              <w:t>Device notification preference</w:t>
            </w:r>
          </w:p>
        </w:tc>
        <w:tc>
          <w:tcPr>
            <w:tcW w:type="dxa" w:w="2016"/>
          </w:tcPr>
          <w:p>
            <w:pPr>
              <w:spacing w:after="20"/>
            </w:pPr>
            <w:r>
              <w:rPr>
                <w:sz w:val="14"/>
              </w:rPr>
              <w:t>user_ref, channel, preference</w:t>
            </w:r>
          </w:p>
        </w:tc>
        <w:tc>
          <w:tcPr>
            <w:tcW w:type="dxa" w:w="2016"/>
          </w:tcPr>
          <w:p>
            <w:pPr>
              <w:spacing w:after="20"/>
            </w:pPr>
            <w:r>
              <w:rPr>
                <w:sz w:val="14"/>
              </w:rPr>
              <w:t>MOB-023..025</w:t>
            </w:r>
          </w:p>
        </w:tc>
        <w:tc>
          <w:tcPr>
            <w:tcW w:type="dxa" w:w="2016"/>
          </w:tcPr>
          <w:p>
            <w:pPr>
              <w:spacing w:after="20"/>
            </w:pPr>
            <w:r>
              <w:rPr>
                <w:sz w:val="14"/>
              </w:rPr>
              <w:t>Push, inbox and deep links</w:t>
            </w:r>
          </w:p>
        </w:tc>
      </w:tr>
      <w:tr>
        <w:tc>
          <w:tcPr>
            <w:tcW w:type="dxa" w:w="2016"/>
          </w:tcPr>
          <w:p>
            <w:pPr>
              <w:spacing w:after="20"/>
            </w:pPr>
            <w:r>
              <w:rPr>
                <w:sz w:val="14"/>
              </w:rPr>
              <w:t>MOB-OBJ-03</w:t>
            </w:r>
          </w:p>
        </w:tc>
        <w:tc>
          <w:tcPr>
            <w:tcW w:type="dxa" w:w="2016"/>
          </w:tcPr>
          <w:p>
            <w:pPr>
              <w:spacing w:after="20"/>
            </w:pPr>
            <w:r>
              <w:rPr>
                <w:sz w:val="14"/>
              </w:rPr>
              <w:t>Offline cache manifest</w:t>
            </w:r>
          </w:p>
        </w:tc>
        <w:tc>
          <w:tcPr>
            <w:tcW w:type="dxa" w:w="2016"/>
          </w:tcPr>
          <w:p>
            <w:pPr>
              <w:spacing w:after="20"/>
            </w:pPr>
            <w:r>
              <w:rPr>
                <w:sz w:val="14"/>
              </w:rPr>
              <w:t>device_ref, asset_ref, expiry</w:t>
            </w:r>
          </w:p>
        </w:tc>
        <w:tc>
          <w:tcPr>
            <w:tcW w:type="dxa" w:w="2016"/>
          </w:tcPr>
          <w:p>
            <w:pPr>
              <w:spacing w:after="20"/>
            </w:pPr>
            <w:r>
              <w:rPr>
                <w:sz w:val="14"/>
              </w:rPr>
              <w:t>MOB-026</w:t>
            </w:r>
          </w:p>
        </w:tc>
        <w:tc>
          <w:tcPr>
            <w:tcW w:type="dxa" w:w="2016"/>
          </w:tcPr>
          <w:p>
            <w:pPr>
              <w:spacing w:after="20"/>
            </w:pPr>
            <w:r>
              <w:rPr>
                <w:sz w:val="14"/>
              </w:rPr>
              <w:t>Device-local design; offline rights open</w:t>
            </w:r>
          </w:p>
        </w:tc>
      </w:tr>
      <w:tr>
        <w:tc>
          <w:tcPr>
            <w:tcW w:type="dxa" w:w="2016"/>
          </w:tcPr>
          <w:p>
            <w:pPr>
              <w:spacing w:after="20"/>
            </w:pPr>
            <w:r>
              <w:rPr>
                <w:sz w:val="14"/>
              </w:rPr>
              <w:t>SEC-OBJ-01</w:t>
            </w:r>
          </w:p>
        </w:tc>
        <w:tc>
          <w:tcPr>
            <w:tcW w:type="dxa" w:w="2016"/>
          </w:tcPr>
          <w:p>
            <w:pPr>
              <w:spacing w:after="20"/>
            </w:pPr>
            <w:r>
              <w:rPr>
                <w:sz w:val="14"/>
              </w:rPr>
              <w:t>Tamper-evident audit event</w:t>
            </w:r>
          </w:p>
        </w:tc>
        <w:tc>
          <w:tcPr>
            <w:tcW w:type="dxa" w:w="2016"/>
          </w:tcPr>
          <w:p>
            <w:pPr>
              <w:spacing w:after="20"/>
            </w:pPr>
            <w:r>
              <w:rPr>
                <w:sz w:val="14"/>
              </w:rPr>
              <w:t>event_id, actor, action, integrity_ref</w:t>
            </w:r>
          </w:p>
        </w:tc>
        <w:tc>
          <w:tcPr>
            <w:tcW w:type="dxa" w:w="2016"/>
          </w:tcPr>
          <w:p>
            <w:pPr>
              <w:spacing w:after="20"/>
            </w:pPr>
            <w:r>
              <w:rPr>
                <w:sz w:val="14"/>
              </w:rPr>
              <w:t>IAM-020, SEC-005..007, SEC-016</w:t>
            </w:r>
          </w:p>
        </w:tc>
        <w:tc>
          <w:tcPr>
            <w:tcW w:type="dxa" w:w="2016"/>
          </w:tcPr>
          <w:p>
            <w:pPr>
              <w:spacing w:after="20"/>
            </w:pPr>
            <w:r>
              <w:rPr>
                <w:sz w:val="14"/>
              </w:rPr>
              <w:t>At least 5 years retained</w:t>
            </w:r>
          </w:p>
        </w:tc>
      </w:tr>
      <w:tr>
        <w:tc>
          <w:tcPr>
            <w:tcW w:type="dxa" w:w="2016"/>
          </w:tcPr>
          <w:p>
            <w:pPr>
              <w:spacing w:after="20"/>
            </w:pPr>
            <w:r>
              <w:rPr>
                <w:sz w:val="14"/>
              </w:rPr>
              <w:t>OPS-OBJ-01</w:t>
            </w:r>
          </w:p>
        </w:tc>
        <w:tc>
          <w:tcPr>
            <w:tcW w:type="dxa" w:w="2016"/>
          </w:tcPr>
          <w:p>
            <w:pPr>
              <w:spacing w:after="20"/>
            </w:pPr>
            <w:r>
              <w:rPr>
                <w:sz w:val="14"/>
              </w:rPr>
              <w:t>Test / acceptance evidence</w:t>
            </w:r>
          </w:p>
        </w:tc>
        <w:tc>
          <w:tcPr>
            <w:tcW w:type="dxa" w:w="2016"/>
          </w:tcPr>
          <w:p>
            <w:pPr>
              <w:spacing w:after="20"/>
            </w:pPr>
            <w:r>
              <w:rPr>
                <w:sz w:val="14"/>
              </w:rPr>
              <w:t>test_id, RTM_id, result, evidence_ref</w:t>
            </w:r>
          </w:p>
        </w:tc>
        <w:tc>
          <w:tcPr>
            <w:tcW w:type="dxa" w:w="2016"/>
          </w:tcPr>
          <w:p>
            <w:pPr>
              <w:spacing w:after="20"/>
            </w:pPr>
            <w:r>
              <w:rPr>
                <w:sz w:val="14"/>
              </w:rPr>
              <w:t>OPS-005..010</w:t>
            </w:r>
          </w:p>
        </w:tc>
        <w:tc>
          <w:tcPr>
            <w:tcW w:type="dxa" w:w="2016"/>
          </w:tcPr>
          <w:p>
            <w:pPr>
              <w:spacing w:after="20"/>
            </w:pPr>
            <w:r>
              <w:rPr>
                <w:sz w:val="14"/>
              </w:rPr>
              <w:t>Validation and UAT traceability</w:t>
            </w:r>
          </w:p>
        </w:tc>
      </w:tr>
      <w:tr>
        <w:tc>
          <w:tcPr>
            <w:tcW w:type="dxa" w:w="2016"/>
          </w:tcPr>
          <w:p>
            <w:pPr>
              <w:spacing w:after="20"/>
            </w:pPr>
            <w:r>
              <w:rPr>
                <w:sz w:val="14"/>
              </w:rPr>
              <w:t>OPS-OBJ-02</w:t>
            </w:r>
          </w:p>
        </w:tc>
        <w:tc>
          <w:tcPr>
            <w:tcW w:type="dxa" w:w="2016"/>
          </w:tcPr>
          <w:p>
            <w:pPr>
              <w:spacing w:after="20"/>
            </w:pPr>
            <w:r>
              <w:rPr>
                <w:sz w:val="14"/>
              </w:rPr>
              <w:t>External integration transaction</w:t>
            </w:r>
          </w:p>
        </w:tc>
        <w:tc>
          <w:tcPr>
            <w:tcW w:type="dxa" w:w="2016"/>
          </w:tcPr>
          <w:p>
            <w:pPr>
              <w:spacing w:after="20"/>
            </w:pPr>
            <w:r>
              <w:rPr>
                <w:sz w:val="14"/>
              </w:rPr>
              <w:t>integration_id, provider, correlation_ref, status</w:t>
            </w:r>
          </w:p>
        </w:tc>
        <w:tc>
          <w:tcPr>
            <w:tcW w:type="dxa" w:w="2016"/>
          </w:tcPr>
          <w:p>
            <w:pPr>
              <w:spacing w:after="20"/>
            </w:pPr>
            <w:r>
              <w:rPr>
                <w:sz w:val="14"/>
              </w:rPr>
              <w:t>IAM-015, ASM-023, COM-018</w:t>
            </w:r>
          </w:p>
        </w:tc>
        <w:tc>
          <w:tcPr>
            <w:tcW w:type="dxa" w:w="2016"/>
          </w:tcPr>
          <w:p>
            <w:pPr>
              <w:spacing w:after="20"/>
            </w:pPr>
            <w:r>
              <w:rPr>
                <w:sz w:val="14"/>
              </w:rPr>
              <w:t>Failure/retry design pending</w:t>
            </w:r>
          </w:p>
        </w:tc>
      </w:tr>
    </w:tbl>
    <w:p>
      <w:pPr>
        <w:pStyle w:val="Heading1"/>
      </w:pPr>
      <w:r>
        <w:t>5. Logical relationship map — conceptual, not approved ERD</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pPr>
              <w:spacing w:after="20"/>
            </w:pPr>
            <w:r>
              <w:rPr>
                <w:sz w:val="14"/>
              </w:rPr>
              <w:t>From</w:t>
            </w:r>
          </w:p>
        </w:tc>
        <w:tc>
          <w:tcPr>
            <w:tcW w:type="dxa" w:w="2520"/>
          </w:tcPr>
          <w:p>
            <w:pPr>
              <w:spacing w:after="20"/>
            </w:pPr>
            <w:r>
              <w:rPr>
                <w:sz w:val="14"/>
              </w:rPr>
              <w:t>To</w:t>
            </w:r>
          </w:p>
        </w:tc>
        <w:tc>
          <w:tcPr>
            <w:tcW w:type="dxa" w:w="2520"/>
          </w:tcPr>
          <w:p>
            <w:pPr>
              <w:spacing w:after="20"/>
            </w:pPr>
            <w:r>
              <w:rPr>
                <w:sz w:val="14"/>
              </w:rPr>
              <w:t>Proposed relation</w:t>
            </w:r>
          </w:p>
        </w:tc>
        <w:tc>
          <w:tcPr>
            <w:tcW w:type="dxa" w:w="2520"/>
          </w:tcPr>
          <w:p>
            <w:pPr>
              <w:spacing w:after="20"/>
            </w:pPr>
            <w:r>
              <w:rPr>
                <w:sz w:val="14"/>
              </w:rPr>
              <w:t>Decision / ambiguity</w:t>
            </w:r>
          </w:p>
        </w:tc>
      </w:tr>
      <w:tr>
        <w:tc>
          <w:tcPr>
            <w:tcW w:type="dxa" w:w="2520"/>
          </w:tcPr>
          <w:p>
            <w:pPr>
              <w:spacing w:after="20"/>
            </w:pPr>
            <w:r>
              <w:rPr>
                <w:sz w:val="14"/>
              </w:rPr>
              <w:t>University</w:t>
            </w:r>
          </w:p>
        </w:tc>
        <w:tc>
          <w:tcPr>
            <w:tcW w:type="dxa" w:w="2520"/>
          </w:tcPr>
          <w:p>
            <w:pPr>
              <w:spacing w:after="20"/>
            </w:pPr>
            <w:r>
              <w:rPr>
                <w:sz w:val="14"/>
              </w:rPr>
              <w:t>SPC</w:t>
            </w:r>
          </w:p>
        </w:tc>
        <w:tc>
          <w:tcPr>
            <w:tcW w:type="dxa" w:w="2520"/>
          </w:tcPr>
          <w:p>
            <w:pPr>
              <w:spacing w:after="20"/>
            </w:pPr>
            <w:r>
              <w:rPr>
                <w:sz w:val="14"/>
              </w:rPr>
              <w:t>Hierarchy / jurisdiction</w:t>
            </w:r>
          </w:p>
        </w:tc>
        <w:tc>
          <w:tcPr>
            <w:tcW w:type="dxa" w:w="2520"/>
          </w:tcPr>
          <w:p>
            <w:pPr>
              <w:spacing w:after="20"/>
            </w:pPr>
            <w:r>
              <w:rPr>
                <w:sz w:val="14"/>
              </w:rPr>
              <w:t>University to SPC cardinality; may differ by governance</w:t>
            </w:r>
          </w:p>
        </w:tc>
      </w:tr>
      <w:tr>
        <w:tc>
          <w:tcPr>
            <w:tcW w:type="dxa" w:w="2520"/>
          </w:tcPr>
          <w:p>
            <w:pPr>
              <w:spacing w:after="20"/>
            </w:pPr>
            <w:r>
              <w:rPr>
                <w:sz w:val="14"/>
              </w:rPr>
              <w:t>SPC</w:t>
            </w:r>
          </w:p>
        </w:tc>
        <w:tc>
          <w:tcPr>
            <w:tcW w:type="dxa" w:w="2520"/>
          </w:tcPr>
          <w:p>
            <w:pPr>
              <w:spacing w:after="20"/>
            </w:pPr>
            <w:r>
              <w:rPr>
                <w:sz w:val="14"/>
              </w:rPr>
              <w:t>Institution</w:t>
            </w:r>
          </w:p>
        </w:tc>
        <w:tc>
          <w:tcPr>
            <w:tcW w:type="dxa" w:w="2520"/>
          </w:tcPr>
          <w:p>
            <w:pPr>
              <w:spacing w:after="20"/>
            </w:pPr>
            <w:r>
              <w:rPr>
                <w:sz w:val="14"/>
              </w:rPr>
              <w:t>Oversight / organizational association</w:t>
            </w:r>
          </w:p>
        </w:tc>
        <w:tc>
          <w:tcPr>
            <w:tcW w:type="dxa" w:w="2520"/>
          </w:tcPr>
          <w:p>
            <w:pPr>
              <w:spacing w:after="20"/>
            </w:pPr>
            <w:r>
              <w:rPr>
                <w:sz w:val="14"/>
              </w:rPr>
              <w:t>Confirm whether institution belongs to one or multiple SPCs</w:t>
            </w:r>
          </w:p>
        </w:tc>
      </w:tr>
      <w:tr>
        <w:tc>
          <w:tcPr>
            <w:tcW w:type="dxa" w:w="2520"/>
          </w:tcPr>
          <w:p>
            <w:pPr>
              <w:spacing w:after="20"/>
            </w:pPr>
            <w:r>
              <w:rPr>
                <w:sz w:val="14"/>
              </w:rPr>
              <w:t>Institution</w:t>
            </w:r>
          </w:p>
        </w:tc>
        <w:tc>
          <w:tcPr>
            <w:tcW w:type="dxa" w:w="2520"/>
          </w:tcPr>
          <w:p>
            <w:pPr>
              <w:spacing w:after="20"/>
            </w:pPr>
            <w:r>
              <w:rPr>
                <w:sz w:val="14"/>
              </w:rPr>
              <w:t>User membership</w:t>
            </w:r>
          </w:p>
        </w:tc>
        <w:tc>
          <w:tcPr>
            <w:tcW w:type="dxa" w:w="2520"/>
          </w:tcPr>
          <w:p>
            <w:pPr>
              <w:spacing w:after="20"/>
            </w:pPr>
            <w:r>
              <w:rPr>
                <w:sz w:val="14"/>
              </w:rPr>
              <w:t>Scope assignment</w:t>
            </w:r>
          </w:p>
        </w:tc>
        <w:tc>
          <w:tcPr>
            <w:tcW w:type="dxa" w:w="2520"/>
          </w:tcPr>
          <w:p>
            <w:pPr>
              <w:spacing w:after="20"/>
            </w:pPr>
            <w:r>
              <w:rPr>
                <w:sz w:val="14"/>
              </w:rPr>
              <w:t>One-to-many proposed; cross-institution affiliation open</w:t>
            </w:r>
          </w:p>
        </w:tc>
      </w:tr>
      <w:tr>
        <w:tc>
          <w:tcPr>
            <w:tcW w:type="dxa" w:w="2520"/>
          </w:tcPr>
          <w:p>
            <w:pPr>
              <w:spacing w:after="20"/>
            </w:pPr>
            <w:r>
              <w:rPr>
                <w:sz w:val="14"/>
              </w:rPr>
              <w:t>User</w:t>
            </w:r>
          </w:p>
        </w:tc>
        <w:tc>
          <w:tcPr>
            <w:tcW w:type="dxa" w:w="2520"/>
          </w:tcPr>
          <w:p>
            <w:pPr>
              <w:spacing w:after="20"/>
            </w:pPr>
            <w:r>
              <w:rPr>
                <w:sz w:val="14"/>
              </w:rPr>
              <w:t>Role assignment</w:t>
            </w:r>
          </w:p>
        </w:tc>
        <w:tc>
          <w:tcPr>
            <w:tcW w:type="dxa" w:w="2520"/>
          </w:tcPr>
          <w:p>
            <w:pPr>
              <w:spacing w:after="20"/>
            </w:pPr>
            <w:r>
              <w:rPr>
                <w:sz w:val="14"/>
              </w:rPr>
              <w:t>Authorization membership</w:t>
            </w:r>
          </w:p>
        </w:tc>
        <w:tc>
          <w:tcPr>
            <w:tcW w:type="dxa" w:w="2520"/>
          </w:tcPr>
          <w:p>
            <w:pPr>
              <w:spacing w:after="20"/>
            </w:pPr>
            <w:r>
              <w:rPr>
                <w:sz w:val="14"/>
              </w:rPr>
              <w:t>Multi-role allowed? not specified</w:t>
            </w:r>
          </w:p>
        </w:tc>
      </w:tr>
      <w:tr>
        <w:tc>
          <w:tcPr>
            <w:tcW w:type="dxa" w:w="2520"/>
          </w:tcPr>
          <w:p>
            <w:pPr>
              <w:spacing w:after="20"/>
            </w:pPr>
            <w:r>
              <w:rPr>
                <w:sz w:val="14"/>
              </w:rPr>
              <w:t>Role</w:t>
            </w:r>
          </w:p>
        </w:tc>
        <w:tc>
          <w:tcPr>
            <w:tcW w:type="dxa" w:w="2520"/>
          </w:tcPr>
          <w:p>
            <w:pPr>
              <w:spacing w:after="20"/>
            </w:pPr>
            <w:r>
              <w:rPr>
                <w:sz w:val="14"/>
              </w:rPr>
              <w:t>Permission</w:t>
            </w:r>
          </w:p>
        </w:tc>
        <w:tc>
          <w:tcPr>
            <w:tcW w:type="dxa" w:w="2520"/>
          </w:tcPr>
          <w:p>
            <w:pPr>
              <w:spacing w:after="20"/>
            </w:pPr>
            <w:r>
              <w:rPr>
                <w:sz w:val="14"/>
              </w:rPr>
              <w:t>Many-to-many proposed</w:t>
            </w:r>
          </w:p>
        </w:tc>
        <w:tc>
          <w:tcPr>
            <w:tcW w:type="dxa" w:w="2520"/>
          </w:tcPr>
          <w:p>
            <w:pPr>
              <w:spacing w:after="20"/>
            </w:pPr>
            <w:r>
              <w:rPr>
                <w:sz w:val="14"/>
              </w:rPr>
              <w:t>Approval of permission matrix pending</w:t>
            </w:r>
          </w:p>
        </w:tc>
      </w:tr>
      <w:tr>
        <w:tc>
          <w:tcPr>
            <w:tcW w:type="dxa" w:w="2520"/>
          </w:tcPr>
          <w:p>
            <w:pPr>
              <w:spacing w:after="20"/>
            </w:pPr>
            <w:r>
              <w:rPr>
                <w:sz w:val="14"/>
              </w:rPr>
              <w:t>Programme</w:t>
            </w:r>
          </w:p>
        </w:tc>
        <w:tc>
          <w:tcPr>
            <w:tcW w:type="dxa" w:w="2520"/>
          </w:tcPr>
          <w:p>
            <w:pPr>
              <w:spacing w:after="20"/>
            </w:pPr>
            <w:r>
              <w:rPr>
                <w:sz w:val="14"/>
              </w:rPr>
              <w:t>Year/Semester</w:t>
            </w:r>
          </w:p>
        </w:tc>
        <w:tc>
          <w:tcPr>
            <w:tcW w:type="dxa" w:w="2520"/>
          </w:tcPr>
          <w:p>
            <w:pPr>
              <w:spacing w:after="20"/>
            </w:pPr>
            <w:r>
              <w:rPr>
                <w:sz w:val="14"/>
              </w:rPr>
              <w:t>Taxonomy level</w:t>
            </w:r>
          </w:p>
        </w:tc>
        <w:tc>
          <w:tcPr>
            <w:tcW w:type="dxa" w:w="2520"/>
          </w:tcPr>
          <w:p>
            <w:pPr>
              <w:spacing w:after="20"/>
            </w:pPr>
            <w:r>
              <w:rPr>
                <w:sz w:val="14"/>
              </w:rPr>
              <w:t>Period reuse and naming rules pending</w:t>
            </w:r>
          </w:p>
        </w:tc>
      </w:tr>
      <w:tr>
        <w:tc>
          <w:tcPr>
            <w:tcW w:type="dxa" w:w="2520"/>
          </w:tcPr>
          <w:p>
            <w:pPr>
              <w:spacing w:after="20"/>
            </w:pPr>
            <w:r>
              <w:rPr>
                <w:sz w:val="14"/>
              </w:rPr>
              <w:t>Year/Semester</w:t>
            </w:r>
          </w:p>
        </w:tc>
        <w:tc>
          <w:tcPr>
            <w:tcW w:type="dxa" w:w="2520"/>
          </w:tcPr>
          <w:p>
            <w:pPr>
              <w:spacing w:after="20"/>
            </w:pPr>
            <w:r>
              <w:rPr>
                <w:sz w:val="14"/>
              </w:rPr>
              <w:t>Subject</w:t>
            </w:r>
          </w:p>
        </w:tc>
        <w:tc>
          <w:tcPr>
            <w:tcW w:type="dxa" w:w="2520"/>
          </w:tcPr>
          <w:p>
            <w:pPr>
              <w:spacing w:after="20"/>
            </w:pPr>
            <w:r>
              <w:rPr>
                <w:sz w:val="14"/>
              </w:rPr>
              <w:t>Taxonomy level</w:t>
            </w:r>
          </w:p>
        </w:tc>
        <w:tc>
          <w:tcPr>
            <w:tcW w:type="dxa" w:w="2520"/>
          </w:tcPr>
          <w:p>
            <w:pPr>
              <w:spacing w:after="20"/>
            </w:pPr>
            <w:r>
              <w:rPr>
                <w:sz w:val="14"/>
              </w:rPr>
              <w:t>Subject reuse across programmes pending</w:t>
            </w:r>
          </w:p>
        </w:tc>
      </w:tr>
      <w:tr>
        <w:tc>
          <w:tcPr>
            <w:tcW w:type="dxa" w:w="2520"/>
          </w:tcPr>
          <w:p>
            <w:pPr>
              <w:spacing w:after="20"/>
            </w:pPr>
            <w:r>
              <w:rPr>
                <w:sz w:val="14"/>
              </w:rPr>
              <w:t>Subject</w:t>
            </w:r>
          </w:p>
        </w:tc>
        <w:tc>
          <w:tcPr>
            <w:tcW w:type="dxa" w:w="2520"/>
          </w:tcPr>
          <w:p>
            <w:pPr>
              <w:spacing w:after="20"/>
            </w:pPr>
            <w:r>
              <w:rPr>
                <w:sz w:val="14"/>
              </w:rPr>
              <w:t>Topic</w:t>
            </w:r>
          </w:p>
        </w:tc>
        <w:tc>
          <w:tcPr>
            <w:tcW w:type="dxa" w:w="2520"/>
          </w:tcPr>
          <w:p>
            <w:pPr>
              <w:spacing w:after="20"/>
            </w:pPr>
            <w:r>
              <w:rPr>
                <w:sz w:val="14"/>
              </w:rPr>
              <w:t>Taxonomy level</w:t>
            </w:r>
          </w:p>
        </w:tc>
        <w:tc>
          <w:tcPr>
            <w:tcW w:type="dxa" w:w="2520"/>
          </w:tcPr>
          <w:p>
            <w:pPr>
              <w:spacing w:after="20"/>
            </w:pPr>
            <w:r>
              <w:rPr>
                <w:sz w:val="14"/>
              </w:rPr>
              <w:t>Topic reuse and content linkage pending</w:t>
            </w:r>
          </w:p>
        </w:tc>
      </w:tr>
      <w:tr>
        <w:tc>
          <w:tcPr>
            <w:tcW w:type="dxa" w:w="2520"/>
          </w:tcPr>
          <w:p>
            <w:pPr>
              <w:spacing w:after="20"/>
            </w:pPr>
            <w:r>
              <w:rPr>
                <w:sz w:val="14"/>
              </w:rPr>
              <w:t>Course</w:t>
            </w:r>
          </w:p>
        </w:tc>
        <w:tc>
          <w:tcPr>
            <w:tcW w:type="dxa" w:w="2520"/>
          </w:tcPr>
          <w:p>
            <w:pPr>
              <w:spacing w:after="20"/>
            </w:pPr>
            <w:r>
              <w:rPr>
                <w:sz w:val="14"/>
              </w:rPr>
              <w:t>Prerequisite</w:t>
            </w:r>
          </w:p>
        </w:tc>
        <w:tc>
          <w:tcPr>
            <w:tcW w:type="dxa" w:w="2520"/>
          </w:tcPr>
          <w:p>
            <w:pPr>
              <w:spacing w:after="20"/>
            </w:pPr>
            <w:r>
              <w:rPr>
                <w:sz w:val="14"/>
              </w:rPr>
              <w:t>Gating relationship</w:t>
            </w:r>
          </w:p>
        </w:tc>
        <w:tc>
          <w:tcPr>
            <w:tcW w:type="dxa" w:w="2520"/>
          </w:tcPr>
          <w:p>
            <w:pPr>
              <w:spacing w:after="20"/>
            </w:pPr>
            <w:r>
              <w:rPr>
                <w:sz w:val="14"/>
              </w:rPr>
              <w:t>Cycles, equivalent courses, waiver policy open</w:t>
            </w:r>
          </w:p>
        </w:tc>
      </w:tr>
      <w:tr>
        <w:tc>
          <w:tcPr>
            <w:tcW w:type="dxa" w:w="2520"/>
          </w:tcPr>
          <w:p>
            <w:pPr>
              <w:spacing w:after="20"/>
            </w:pPr>
            <w:r>
              <w:rPr>
                <w:sz w:val="14"/>
              </w:rPr>
              <w:t>Content item</w:t>
            </w:r>
          </w:p>
        </w:tc>
        <w:tc>
          <w:tcPr>
            <w:tcW w:type="dxa" w:w="2520"/>
          </w:tcPr>
          <w:p>
            <w:pPr>
              <w:spacing w:after="20"/>
            </w:pPr>
            <w:r>
              <w:rPr>
                <w:sz w:val="14"/>
              </w:rPr>
              <w:t>Content version</w:t>
            </w:r>
          </w:p>
        </w:tc>
        <w:tc>
          <w:tcPr>
            <w:tcW w:type="dxa" w:w="2520"/>
          </w:tcPr>
          <w:p>
            <w:pPr>
              <w:spacing w:after="20"/>
            </w:pPr>
            <w:r>
              <w:rPr>
                <w:sz w:val="14"/>
              </w:rPr>
              <w:t>One-to-many proposed</w:t>
            </w:r>
          </w:p>
        </w:tc>
        <w:tc>
          <w:tcPr>
            <w:tcW w:type="dxa" w:w="2520"/>
          </w:tcPr>
          <w:p>
            <w:pPr>
              <w:spacing w:after="20"/>
            </w:pPr>
            <w:r>
              <w:rPr>
                <w:sz w:val="14"/>
              </w:rPr>
              <w:t>Approved/published version immutability rules pending</w:t>
            </w:r>
          </w:p>
        </w:tc>
      </w:tr>
      <w:tr>
        <w:tc>
          <w:tcPr>
            <w:tcW w:type="dxa" w:w="2520"/>
          </w:tcPr>
          <w:p>
            <w:pPr>
              <w:spacing w:after="20"/>
            </w:pPr>
            <w:r>
              <w:rPr>
                <w:sz w:val="14"/>
              </w:rPr>
              <w:t>Course</w:t>
            </w:r>
          </w:p>
        </w:tc>
        <w:tc>
          <w:tcPr>
            <w:tcW w:type="dxa" w:w="2520"/>
          </w:tcPr>
          <w:p>
            <w:pPr>
              <w:spacing w:after="20"/>
            </w:pPr>
            <w:r>
              <w:rPr>
                <w:sz w:val="14"/>
              </w:rPr>
              <w:t>Live class session</w:t>
            </w:r>
          </w:p>
        </w:tc>
        <w:tc>
          <w:tcPr>
            <w:tcW w:type="dxa" w:w="2520"/>
          </w:tcPr>
          <w:p>
            <w:pPr>
              <w:spacing w:after="20"/>
            </w:pPr>
            <w:r>
              <w:rPr>
                <w:sz w:val="14"/>
              </w:rPr>
              <w:t>Teaching delivery</w:t>
            </w:r>
          </w:p>
        </w:tc>
        <w:tc>
          <w:tcPr>
            <w:tcW w:type="dxa" w:w="2520"/>
          </w:tcPr>
          <w:p>
            <w:pPr>
              <w:spacing w:after="20"/>
            </w:pPr>
            <w:r>
              <w:rPr>
                <w:sz w:val="14"/>
              </w:rPr>
              <w:t>Session ownership and re-scheduling policy open</w:t>
            </w:r>
          </w:p>
        </w:tc>
      </w:tr>
      <w:tr>
        <w:tc>
          <w:tcPr>
            <w:tcW w:type="dxa" w:w="2520"/>
          </w:tcPr>
          <w:p>
            <w:pPr>
              <w:spacing w:after="20"/>
            </w:pPr>
            <w:r>
              <w:rPr>
                <w:sz w:val="14"/>
              </w:rPr>
              <w:t>Live class session</w:t>
            </w:r>
          </w:p>
        </w:tc>
        <w:tc>
          <w:tcPr>
            <w:tcW w:type="dxa" w:w="2520"/>
          </w:tcPr>
          <w:p>
            <w:pPr>
              <w:spacing w:after="20"/>
            </w:pPr>
            <w:r>
              <w:rPr>
                <w:sz w:val="14"/>
              </w:rPr>
              <w:t>Recording / transcript</w:t>
            </w:r>
          </w:p>
        </w:tc>
        <w:tc>
          <w:tcPr>
            <w:tcW w:type="dxa" w:w="2520"/>
          </w:tcPr>
          <w:p>
            <w:pPr>
              <w:spacing w:after="20"/>
            </w:pPr>
            <w:r>
              <w:rPr>
                <w:sz w:val="14"/>
              </w:rPr>
              <w:t>Media artifacts</w:t>
            </w:r>
          </w:p>
        </w:tc>
        <w:tc>
          <w:tcPr>
            <w:tcW w:type="dxa" w:w="2520"/>
          </w:tcPr>
          <w:p>
            <w:pPr>
              <w:spacing w:after="20"/>
            </w:pPr>
            <w:r>
              <w:rPr>
                <w:sz w:val="14"/>
              </w:rPr>
              <w:t>Provider behavior and consent rules pending</w:t>
            </w:r>
          </w:p>
        </w:tc>
      </w:tr>
      <w:tr>
        <w:tc>
          <w:tcPr>
            <w:tcW w:type="dxa" w:w="2520"/>
          </w:tcPr>
          <w:p>
            <w:pPr>
              <w:spacing w:after="20"/>
            </w:pPr>
            <w:r>
              <w:rPr>
                <w:sz w:val="14"/>
              </w:rPr>
              <w:t>Learner</w:t>
            </w:r>
          </w:p>
        </w:tc>
        <w:tc>
          <w:tcPr>
            <w:tcW w:type="dxa" w:w="2520"/>
          </w:tcPr>
          <w:p>
            <w:pPr>
              <w:spacing w:after="20"/>
            </w:pPr>
            <w:r>
              <w:rPr>
                <w:sz w:val="14"/>
              </w:rPr>
              <w:t>Assessment attempt</w:t>
            </w:r>
          </w:p>
        </w:tc>
        <w:tc>
          <w:tcPr>
            <w:tcW w:type="dxa" w:w="2520"/>
          </w:tcPr>
          <w:p>
            <w:pPr>
              <w:spacing w:after="20"/>
            </w:pPr>
            <w:r>
              <w:rPr>
                <w:sz w:val="14"/>
              </w:rPr>
              <w:t>Participation</w:t>
            </w:r>
          </w:p>
        </w:tc>
        <w:tc>
          <w:tcPr>
            <w:tcW w:type="dxa" w:w="2520"/>
          </w:tcPr>
          <w:p>
            <w:pPr>
              <w:spacing w:after="20"/>
            </w:pPr>
            <w:r>
              <w:rPr>
                <w:sz w:val="14"/>
              </w:rPr>
              <w:t>Retake policy and grading release pending</w:t>
            </w:r>
          </w:p>
        </w:tc>
      </w:tr>
      <w:tr>
        <w:tc>
          <w:tcPr>
            <w:tcW w:type="dxa" w:w="2520"/>
          </w:tcPr>
          <w:p>
            <w:pPr>
              <w:spacing w:after="20"/>
            </w:pPr>
            <w:r>
              <w:rPr>
                <w:sz w:val="14"/>
              </w:rPr>
              <w:t>Question draft</w:t>
            </w:r>
          </w:p>
        </w:tc>
        <w:tc>
          <w:tcPr>
            <w:tcW w:type="dxa" w:w="2520"/>
          </w:tcPr>
          <w:p>
            <w:pPr>
              <w:spacing w:after="20"/>
            </w:pPr>
            <w:r>
              <w:rPr>
                <w:sz w:val="14"/>
              </w:rPr>
              <w:t>SME review decision</w:t>
            </w:r>
          </w:p>
        </w:tc>
        <w:tc>
          <w:tcPr>
            <w:tcW w:type="dxa" w:w="2520"/>
          </w:tcPr>
          <w:p>
            <w:pPr>
              <w:spacing w:after="20"/>
            </w:pPr>
            <w:r>
              <w:rPr>
                <w:sz w:val="14"/>
              </w:rPr>
              <w:t>Approval chain</w:t>
            </w:r>
          </w:p>
        </w:tc>
        <w:tc>
          <w:tcPr>
            <w:tcW w:type="dxa" w:w="2520"/>
          </w:tcPr>
          <w:p>
            <w:pPr>
              <w:spacing w:after="20"/>
            </w:pPr>
            <w:r>
              <w:rPr>
                <w:sz w:val="14"/>
              </w:rPr>
              <w:t>SME role assignment and evidence policy pending</w:t>
            </w:r>
          </w:p>
        </w:tc>
      </w:tr>
      <w:tr>
        <w:tc>
          <w:tcPr>
            <w:tcW w:type="dxa" w:w="2520"/>
          </w:tcPr>
          <w:p>
            <w:pPr>
              <w:spacing w:after="20"/>
            </w:pPr>
            <w:r>
              <w:rPr>
                <w:sz w:val="14"/>
              </w:rPr>
              <w:t>Learner</w:t>
            </w:r>
          </w:p>
        </w:tc>
        <w:tc>
          <w:tcPr>
            <w:tcW w:type="dxa" w:w="2520"/>
          </w:tcPr>
          <w:p>
            <w:pPr>
              <w:spacing w:after="20"/>
            </w:pPr>
            <w:r>
              <w:rPr>
                <w:sz w:val="14"/>
              </w:rPr>
              <w:t>Lifetime academic record</w:t>
            </w:r>
          </w:p>
        </w:tc>
        <w:tc>
          <w:tcPr>
            <w:tcW w:type="dxa" w:w="2520"/>
          </w:tcPr>
          <w:p>
            <w:pPr>
              <w:spacing w:after="20"/>
            </w:pPr>
            <w:r>
              <w:rPr>
                <w:sz w:val="14"/>
              </w:rPr>
              <w:t>Academic history</w:t>
            </w:r>
          </w:p>
        </w:tc>
        <w:tc>
          <w:tcPr>
            <w:tcW w:type="dxa" w:w="2520"/>
          </w:tcPr>
          <w:p>
            <w:pPr>
              <w:spacing w:after="20"/>
            </w:pPr>
            <w:r>
              <w:rPr>
                <w:sz w:val="14"/>
              </w:rPr>
              <w:t>Migration/transfer and correction policy pending</w:t>
            </w:r>
          </w:p>
        </w:tc>
      </w:tr>
      <w:tr>
        <w:tc>
          <w:tcPr>
            <w:tcW w:type="dxa" w:w="2520"/>
          </w:tcPr>
          <w:p>
            <w:pPr>
              <w:spacing w:after="20"/>
            </w:pPr>
            <w:r>
              <w:rPr>
                <w:sz w:val="14"/>
              </w:rPr>
              <w:t>Academic record</w:t>
            </w:r>
          </w:p>
        </w:tc>
        <w:tc>
          <w:tcPr>
            <w:tcW w:type="dxa" w:w="2520"/>
          </w:tcPr>
          <w:p>
            <w:pPr>
              <w:spacing w:after="20"/>
            </w:pPr>
            <w:r>
              <w:rPr>
                <w:sz w:val="14"/>
              </w:rPr>
              <w:t>Certificate</w:t>
            </w:r>
          </w:p>
        </w:tc>
        <w:tc>
          <w:tcPr>
            <w:tcW w:type="dxa" w:w="2520"/>
          </w:tcPr>
          <w:p>
            <w:pPr>
              <w:spacing w:after="20"/>
            </w:pPr>
            <w:r>
              <w:rPr>
                <w:sz w:val="14"/>
              </w:rPr>
              <w:t>Credential issuance</w:t>
            </w:r>
          </w:p>
        </w:tc>
        <w:tc>
          <w:tcPr>
            <w:tcW w:type="dxa" w:w="2520"/>
          </w:tcPr>
          <w:p>
            <w:pPr>
              <w:spacing w:after="20"/>
            </w:pPr>
            <w:r>
              <w:rPr>
                <w:sz w:val="14"/>
              </w:rPr>
              <w:t>Reissue/revocation policy not specified</w:t>
            </w:r>
          </w:p>
        </w:tc>
      </w:tr>
      <w:tr>
        <w:tc>
          <w:tcPr>
            <w:tcW w:type="dxa" w:w="2520"/>
          </w:tcPr>
          <w:p>
            <w:pPr>
              <w:spacing w:after="20"/>
            </w:pPr>
            <w:r>
              <w:rPr>
                <w:sz w:val="14"/>
              </w:rPr>
              <w:t>Notification request</w:t>
            </w:r>
          </w:p>
        </w:tc>
        <w:tc>
          <w:tcPr>
            <w:tcW w:type="dxa" w:w="2520"/>
          </w:tcPr>
          <w:p>
            <w:pPr>
              <w:spacing w:after="20"/>
            </w:pPr>
            <w:r>
              <w:rPr>
                <w:sz w:val="14"/>
              </w:rPr>
              <w:t>Delivery attempt</w:t>
            </w:r>
          </w:p>
        </w:tc>
        <w:tc>
          <w:tcPr>
            <w:tcW w:type="dxa" w:w="2520"/>
          </w:tcPr>
          <w:p>
            <w:pPr>
              <w:spacing w:after="20"/>
            </w:pPr>
            <w:r>
              <w:rPr>
                <w:sz w:val="14"/>
              </w:rPr>
              <w:t>Delivery tracking</w:t>
            </w:r>
          </w:p>
        </w:tc>
        <w:tc>
          <w:tcPr>
            <w:tcW w:type="dxa" w:w="2520"/>
          </w:tcPr>
          <w:p>
            <w:pPr>
              <w:spacing w:after="20"/>
            </w:pPr>
            <w:r>
              <w:rPr>
                <w:sz w:val="14"/>
              </w:rPr>
              <w:t>Retries, idempotency, deduplication pending</w:t>
            </w:r>
          </w:p>
        </w:tc>
      </w:tr>
      <w:tr>
        <w:tc>
          <w:tcPr>
            <w:tcW w:type="dxa" w:w="2520"/>
          </w:tcPr>
          <w:p>
            <w:pPr>
              <w:spacing w:after="20"/>
            </w:pPr>
            <w:r>
              <w:rPr>
                <w:sz w:val="14"/>
              </w:rPr>
              <w:t>Any auditable action</w:t>
            </w:r>
          </w:p>
        </w:tc>
        <w:tc>
          <w:tcPr>
            <w:tcW w:type="dxa" w:w="2520"/>
          </w:tcPr>
          <w:p>
            <w:pPr>
              <w:spacing w:after="20"/>
            </w:pPr>
            <w:r>
              <w:rPr>
                <w:sz w:val="14"/>
              </w:rPr>
              <w:t>Audit event</w:t>
            </w:r>
          </w:p>
        </w:tc>
        <w:tc>
          <w:tcPr>
            <w:tcW w:type="dxa" w:w="2520"/>
          </w:tcPr>
          <w:p>
            <w:pPr>
              <w:spacing w:after="20"/>
            </w:pPr>
            <w:r>
              <w:rPr>
                <w:sz w:val="14"/>
              </w:rPr>
              <w:t>Security evidence</w:t>
            </w:r>
          </w:p>
        </w:tc>
        <w:tc>
          <w:tcPr>
            <w:tcW w:type="dxa" w:w="2520"/>
          </w:tcPr>
          <w:p>
            <w:pPr>
              <w:spacing w:after="20"/>
            </w:pPr>
            <w:r>
              <w:rPr>
                <w:sz w:val="14"/>
              </w:rPr>
              <w:t>5-year tamper-evident retention mandatory</w:t>
            </w:r>
          </w:p>
        </w:tc>
      </w:tr>
    </w:tbl>
    <w:p>
      <w:pPr>
        <w:pStyle w:val="Heading1"/>
      </w:pPr>
      <w:r>
        <w:t>6. Domain boundaries and data ownership — proposed</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pPr>
              <w:spacing w:after="20"/>
            </w:pPr>
            <w:r>
              <w:rPr>
                <w:sz w:val="14"/>
              </w:rPr>
              <w:t>Logical domain</w:t>
            </w:r>
          </w:p>
        </w:tc>
        <w:tc>
          <w:tcPr>
            <w:tcW w:type="dxa" w:w="2520"/>
          </w:tcPr>
          <w:p>
            <w:pPr>
              <w:spacing w:after="20"/>
            </w:pPr>
            <w:r>
              <w:rPr>
                <w:sz w:val="14"/>
              </w:rPr>
              <w:t>Authoritative records</w:t>
            </w:r>
          </w:p>
        </w:tc>
        <w:tc>
          <w:tcPr>
            <w:tcW w:type="dxa" w:w="2520"/>
          </w:tcPr>
          <w:p>
            <w:pPr>
              <w:spacing w:after="20"/>
            </w:pPr>
            <w:r>
              <w:rPr>
                <w:sz w:val="14"/>
              </w:rPr>
              <w:t>Read models / external artifacts</w:t>
            </w:r>
          </w:p>
        </w:tc>
        <w:tc>
          <w:tcPr>
            <w:tcW w:type="dxa" w:w="2520"/>
          </w:tcPr>
          <w:p>
            <w:pPr>
              <w:spacing w:after="20"/>
            </w:pPr>
            <w:r>
              <w:rPr>
                <w:sz w:val="14"/>
              </w:rPr>
              <w:t>RTM linkage</w:t>
            </w:r>
          </w:p>
        </w:tc>
      </w:tr>
      <w:tr>
        <w:tc>
          <w:tcPr>
            <w:tcW w:type="dxa" w:w="2520"/>
          </w:tcPr>
          <w:p>
            <w:pPr>
              <w:spacing w:after="20"/>
            </w:pPr>
            <w:r>
              <w:rPr>
                <w:sz w:val="14"/>
              </w:rPr>
              <w:t>Identity / tenancy</w:t>
            </w:r>
          </w:p>
        </w:tc>
        <w:tc>
          <w:tcPr>
            <w:tcW w:type="dxa" w:w="2520"/>
          </w:tcPr>
          <w:p>
            <w:pPr>
              <w:spacing w:after="20"/>
            </w:pPr>
            <w:r>
              <w:rPr>
                <w:sz w:val="14"/>
              </w:rPr>
              <w:t>Organizations, user memberships, role grants</w:t>
            </w:r>
          </w:p>
        </w:tc>
        <w:tc>
          <w:tcPr>
            <w:tcW w:type="dxa" w:w="2520"/>
          </w:tcPr>
          <w:p>
            <w:pPr>
              <w:spacing w:after="20"/>
            </w:pPr>
            <w:r>
              <w:rPr>
                <w:sz w:val="14"/>
              </w:rPr>
              <w:t>Identity provider, OAuth subject mapping</w:t>
            </w:r>
          </w:p>
        </w:tc>
        <w:tc>
          <w:tcPr>
            <w:tcW w:type="dxa" w:w="2520"/>
          </w:tcPr>
          <w:p>
            <w:pPr>
              <w:spacing w:after="20"/>
            </w:pPr>
            <w:r>
              <w:rPr>
                <w:sz w:val="14"/>
              </w:rPr>
              <w:t>IAM-001..020</w:t>
            </w:r>
          </w:p>
        </w:tc>
      </w:tr>
      <w:tr>
        <w:tc>
          <w:tcPr>
            <w:tcW w:type="dxa" w:w="2520"/>
          </w:tcPr>
          <w:p>
            <w:pPr>
              <w:spacing w:after="20"/>
            </w:pPr>
            <w:r>
              <w:rPr>
                <w:sz w:val="14"/>
              </w:rPr>
              <w:t>Academic / content</w:t>
            </w:r>
          </w:p>
        </w:tc>
        <w:tc>
          <w:tcPr>
            <w:tcW w:type="dxa" w:w="2520"/>
          </w:tcPr>
          <w:p>
            <w:pPr>
              <w:spacing w:after="20"/>
            </w:pPr>
            <w:r>
              <w:rPr>
                <w:sz w:val="14"/>
              </w:rPr>
              <w:t>Taxonomy, courses, content versions, approvals</w:t>
            </w:r>
          </w:p>
        </w:tc>
        <w:tc>
          <w:tcPr>
            <w:tcW w:type="dxa" w:w="2520"/>
          </w:tcPr>
          <w:p>
            <w:pPr>
              <w:spacing w:after="20"/>
            </w:pPr>
            <w:r>
              <w:rPr>
                <w:sz w:val="14"/>
              </w:rPr>
              <w:t>AV objects, e-library search index</w:t>
            </w:r>
          </w:p>
        </w:tc>
        <w:tc>
          <w:tcPr>
            <w:tcW w:type="dxa" w:w="2520"/>
          </w:tcPr>
          <w:p>
            <w:pPr>
              <w:spacing w:after="20"/>
            </w:pPr>
            <w:r>
              <w:rPr>
                <w:sz w:val="14"/>
              </w:rPr>
              <w:t>ACD-001..023</w:t>
            </w:r>
          </w:p>
        </w:tc>
      </w:tr>
      <w:tr>
        <w:tc>
          <w:tcPr>
            <w:tcW w:type="dxa" w:w="2520"/>
          </w:tcPr>
          <w:p>
            <w:pPr>
              <w:spacing w:after="20"/>
            </w:pPr>
            <w:r>
              <w:rPr>
                <w:sz w:val="14"/>
              </w:rPr>
              <w:t>Live learning</w:t>
            </w:r>
          </w:p>
        </w:tc>
        <w:tc>
          <w:tcPr>
            <w:tcW w:type="dxa" w:w="2520"/>
          </w:tcPr>
          <w:p>
            <w:pPr>
              <w:spacing w:after="20"/>
            </w:pPr>
            <w:r>
              <w:rPr>
                <w:sz w:val="14"/>
              </w:rPr>
              <w:t>Class scheduling and session references</w:t>
            </w:r>
          </w:p>
        </w:tc>
        <w:tc>
          <w:tcPr>
            <w:tcW w:type="dxa" w:w="2520"/>
          </w:tcPr>
          <w:p>
            <w:pPr>
              <w:spacing w:after="20"/>
            </w:pPr>
            <w:r>
              <w:rPr>
                <w:sz w:val="14"/>
              </w:rPr>
              <w:t>Third-party session/recording objects</w:t>
            </w:r>
          </w:p>
        </w:tc>
        <w:tc>
          <w:tcPr>
            <w:tcW w:type="dxa" w:w="2520"/>
          </w:tcPr>
          <w:p>
            <w:pPr>
              <w:spacing w:after="20"/>
            </w:pPr>
            <w:r>
              <w:rPr>
                <w:sz w:val="14"/>
              </w:rPr>
              <w:t>ACD-010..019</w:t>
            </w:r>
          </w:p>
        </w:tc>
      </w:tr>
      <w:tr>
        <w:tc>
          <w:tcPr>
            <w:tcW w:type="dxa" w:w="2520"/>
          </w:tcPr>
          <w:p>
            <w:pPr>
              <w:spacing w:after="20"/>
            </w:pPr>
            <w:r>
              <w:rPr>
                <w:sz w:val="14"/>
              </w:rPr>
              <w:t>Assessment / credentials</w:t>
            </w:r>
          </w:p>
        </w:tc>
        <w:tc>
          <w:tcPr>
            <w:tcW w:type="dxa" w:w="2520"/>
          </w:tcPr>
          <w:p>
            <w:pPr>
              <w:spacing w:after="20"/>
            </w:pPr>
            <w:r>
              <w:rPr>
                <w:sz w:val="14"/>
              </w:rPr>
              <w:t>Question reviews, attempts, grades, academic records, certificates</w:t>
            </w:r>
          </w:p>
        </w:tc>
        <w:tc>
          <w:tcPr>
            <w:tcW w:type="dxa" w:w="2520"/>
          </w:tcPr>
          <w:p>
            <w:pPr>
              <w:spacing w:after="20"/>
            </w:pPr>
            <w:r>
              <w:rPr>
                <w:sz w:val="14"/>
              </w:rPr>
              <w:t>PKI signature artifacts, DigiLocker receipts</w:t>
            </w:r>
          </w:p>
        </w:tc>
        <w:tc>
          <w:tcPr>
            <w:tcW w:type="dxa" w:w="2520"/>
          </w:tcPr>
          <w:p>
            <w:pPr>
              <w:spacing w:after="20"/>
            </w:pPr>
            <w:r>
              <w:rPr>
                <w:sz w:val="14"/>
              </w:rPr>
              <w:t>ASM-001..023</w:t>
            </w:r>
          </w:p>
        </w:tc>
      </w:tr>
      <w:tr>
        <w:tc>
          <w:tcPr>
            <w:tcW w:type="dxa" w:w="2520"/>
          </w:tcPr>
          <w:p>
            <w:pPr>
              <w:spacing w:after="20"/>
            </w:pPr>
            <w:r>
              <w:rPr>
                <w:sz w:val="14"/>
              </w:rPr>
              <w:t>Engagement / reporting</w:t>
            </w:r>
          </w:p>
        </w:tc>
        <w:tc>
          <w:tcPr>
            <w:tcW w:type="dxa" w:w="2520"/>
          </w:tcPr>
          <w:p>
            <w:pPr>
              <w:spacing w:after="20"/>
            </w:pPr>
            <w:r>
              <w:rPr>
                <w:sz w:val="14"/>
              </w:rPr>
              <w:t>Messages, announcements, notification requests, report definitions</w:t>
            </w:r>
          </w:p>
        </w:tc>
        <w:tc>
          <w:tcPr>
            <w:tcW w:type="dxa" w:w="2520"/>
          </w:tcPr>
          <w:p>
            <w:pPr>
              <w:spacing w:after="20"/>
            </w:pPr>
            <w:r>
              <w:rPr>
                <w:sz w:val="14"/>
              </w:rPr>
              <w:t>Provider delivery receipts, analytics projections</w:t>
            </w:r>
          </w:p>
        </w:tc>
        <w:tc>
          <w:tcPr>
            <w:tcW w:type="dxa" w:w="2520"/>
          </w:tcPr>
          <w:p>
            <w:pPr>
              <w:spacing w:after="20"/>
            </w:pPr>
            <w:r>
              <w:rPr>
                <w:sz w:val="14"/>
              </w:rPr>
              <w:t>COM-001..022</w:t>
            </w:r>
          </w:p>
        </w:tc>
      </w:tr>
      <w:tr>
        <w:tc>
          <w:tcPr>
            <w:tcW w:type="dxa" w:w="2520"/>
          </w:tcPr>
          <w:p>
            <w:pPr>
              <w:spacing w:after="20"/>
            </w:pPr>
            <w:r>
              <w:rPr>
                <w:sz w:val="14"/>
              </w:rPr>
              <w:t>Mobile</w:t>
            </w:r>
          </w:p>
        </w:tc>
        <w:tc>
          <w:tcPr>
            <w:tcW w:type="dxa" w:w="2520"/>
          </w:tcPr>
          <w:p>
            <w:pPr>
              <w:spacing w:after="20"/>
            </w:pPr>
            <w:r>
              <w:rPr>
                <w:sz w:val="14"/>
              </w:rPr>
              <w:t>User state and sync metadata where approved</w:t>
            </w:r>
          </w:p>
        </w:tc>
        <w:tc>
          <w:tcPr>
            <w:tcW w:type="dxa" w:w="2520"/>
          </w:tcPr>
          <w:p>
            <w:pPr>
              <w:spacing w:after="20"/>
            </w:pPr>
            <w:r>
              <w:rPr>
                <w:sz w:val="14"/>
              </w:rPr>
              <w:t>Device encrypted cache, platform keystore</w:t>
            </w:r>
          </w:p>
        </w:tc>
        <w:tc>
          <w:tcPr>
            <w:tcW w:type="dxa" w:w="2520"/>
          </w:tcPr>
          <w:p>
            <w:pPr>
              <w:spacing w:after="20"/>
            </w:pPr>
            <w:r>
              <w:rPr>
                <w:sz w:val="14"/>
              </w:rPr>
              <w:t>MOB-001..028</w:t>
            </w:r>
          </w:p>
        </w:tc>
      </w:tr>
      <w:tr>
        <w:tc>
          <w:tcPr>
            <w:tcW w:type="dxa" w:w="2520"/>
          </w:tcPr>
          <w:p>
            <w:pPr>
              <w:spacing w:after="20"/>
            </w:pPr>
            <w:r>
              <w:rPr>
                <w:sz w:val="14"/>
              </w:rPr>
              <w:t>Audit / operations</w:t>
            </w:r>
          </w:p>
        </w:tc>
        <w:tc>
          <w:tcPr>
            <w:tcW w:type="dxa" w:w="2520"/>
          </w:tcPr>
          <w:p>
            <w:pPr>
              <w:spacing w:after="20"/>
            </w:pPr>
            <w:r>
              <w:rPr>
                <w:sz w:val="14"/>
              </w:rPr>
              <w:t>Tamper-evident security audit, evidence catalogue</w:t>
            </w:r>
          </w:p>
        </w:tc>
        <w:tc>
          <w:tcPr>
            <w:tcW w:type="dxa" w:w="2520"/>
          </w:tcPr>
          <w:p>
            <w:pPr>
              <w:spacing w:after="20"/>
            </w:pPr>
            <w:r>
              <w:rPr>
                <w:sz w:val="14"/>
              </w:rPr>
              <w:t>Logs, telemetry, VAPT reports</w:t>
            </w:r>
          </w:p>
        </w:tc>
        <w:tc>
          <w:tcPr>
            <w:tcW w:type="dxa" w:w="2520"/>
          </w:tcPr>
          <w:p>
            <w:pPr>
              <w:spacing w:after="20"/>
            </w:pPr>
            <w:r>
              <w:rPr>
                <w:sz w:val="14"/>
              </w:rPr>
              <w:t>SEC-001..016, OPS-001..010</w:t>
            </w:r>
          </w:p>
        </w:tc>
      </w:tr>
    </w:tbl>
    <w:p>
      <w:r>
        <w:t>Architecture caution: logical domains do not imply one microservice or database per row. Final service boundaries and physical persistence topology require architecture approval.</w:t>
      </w:r>
    </w:p>
    <w:p>
      <w:pPr>
        <w:pStyle w:val="Heading1"/>
      </w:pPr>
      <w:r>
        <w:t>7. Data classification, privacy and lifecycle controls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pPr>
              <w:spacing w:after="20"/>
            </w:pPr>
            <w:r>
              <w:rPr>
                <w:sz w:val="14"/>
              </w:rPr>
              <w:t>Data class</w:t>
            </w:r>
          </w:p>
        </w:tc>
        <w:tc>
          <w:tcPr>
            <w:tcW w:type="dxa" w:w="2520"/>
          </w:tcPr>
          <w:p>
            <w:pPr>
              <w:spacing w:after="20"/>
            </w:pPr>
            <w:r>
              <w:rPr>
                <w:sz w:val="14"/>
              </w:rPr>
              <w:t>Examples</w:t>
            </w:r>
          </w:p>
        </w:tc>
        <w:tc>
          <w:tcPr>
            <w:tcW w:type="dxa" w:w="2520"/>
          </w:tcPr>
          <w:p>
            <w:pPr>
              <w:spacing w:after="20"/>
            </w:pPr>
            <w:r>
              <w:rPr>
                <w:sz w:val="14"/>
              </w:rPr>
              <w:t>Required / proposed control</w:t>
            </w:r>
          </w:p>
        </w:tc>
        <w:tc>
          <w:tcPr>
            <w:tcW w:type="dxa" w:w="2520"/>
          </w:tcPr>
          <w:p>
            <w:pPr>
              <w:spacing w:after="20"/>
            </w:pPr>
            <w:r>
              <w:rPr>
                <w:sz w:val="14"/>
              </w:rPr>
              <w:t>Open decision</w:t>
            </w:r>
          </w:p>
        </w:tc>
      </w:tr>
      <w:tr>
        <w:tc>
          <w:tcPr>
            <w:tcW w:type="dxa" w:w="2520"/>
          </w:tcPr>
          <w:p>
            <w:pPr>
              <w:spacing w:after="20"/>
            </w:pPr>
            <w:r>
              <w:rPr>
                <w:sz w:val="14"/>
              </w:rPr>
              <w:t>Identity &amp; role data</w:t>
            </w:r>
          </w:p>
        </w:tc>
        <w:tc>
          <w:tcPr>
            <w:tcW w:type="dxa" w:w="2520"/>
          </w:tcPr>
          <w:p>
            <w:pPr>
              <w:spacing w:after="20"/>
            </w:pPr>
            <w:r>
              <w:rPr>
                <w:sz w:val="14"/>
              </w:rPr>
              <w:t>User identity, memberships, auth links</w:t>
            </w:r>
          </w:p>
        </w:tc>
        <w:tc>
          <w:tcPr>
            <w:tcW w:type="dxa" w:w="2520"/>
          </w:tcPr>
          <w:p>
            <w:pPr>
              <w:spacing w:after="20"/>
            </w:pPr>
            <w:r>
              <w:rPr>
                <w:sz w:val="14"/>
              </w:rPr>
              <w:t>RBAC, tenant scoping; MFA/2FA mandatory</w:t>
            </w:r>
          </w:p>
        </w:tc>
        <w:tc>
          <w:tcPr>
            <w:tcW w:type="dxa" w:w="2520"/>
          </w:tcPr>
          <w:p>
            <w:pPr>
              <w:spacing w:after="20"/>
            </w:pPr>
            <w:r>
              <w:rPr>
                <w:sz w:val="14"/>
              </w:rPr>
              <w:t>PII classification, consent, retention, deprovisioning</w:t>
            </w:r>
          </w:p>
        </w:tc>
      </w:tr>
      <w:tr>
        <w:tc>
          <w:tcPr>
            <w:tcW w:type="dxa" w:w="2520"/>
          </w:tcPr>
          <w:p>
            <w:pPr>
              <w:spacing w:after="20"/>
            </w:pPr>
            <w:r>
              <w:rPr>
                <w:sz w:val="14"/>
              </w:rPr>
              <w:t>Academic personal records</w:t>
            </w:r>
          </w:p>
        </w:tc>
        <w:tc>
          <w:tcPr>
            <w:tcW w:type="dxa" w:w="2520"/>
          </w:tcPr>
          <w:p>
            <w:pPr>
              <w:spacing w:after="20"/>
            </w:pPr>
            <w:r>
              <w:rPr>
                <w:sz w:val="14"/>
              </w:rPr>
              <w:t>Attendance, grades, academic record</w:t>
            </w:r>
          </w:p>
        </w:tc>
        <w:tc>
          <w:tcPr>
            <w:tcW w:type="dxa" w:w="2520"/>
          </w:tcPr>
          <w:p>
            <w:pPr>
              <w:spacing w:after="20"/>
            </w:pPr>
            <w:r>
              <w:rPr>
                <w:sz w:val="14"/>
              </w:rPr>
              <w:t>Lifetime academic record required</w:t>
            </w:r>
          </w:p>
        </w:tc>
        <w:tc>
          <w:tcPr>
            <w:tcW w:type="dxa" w:w="2520"/>
          </w:tcPr>
          <w:p>
            <w:pPr>
              <w:spacing w:after="20"/>
            </w:pPr>
            <w:r>
              <w:rPr>
                <w:sz w:val="14"/>
              </w:rPr>
              <w:t>Corrections, portability, access after graduation</w:t>
            </w:r>
          </w:p>
        </w:tc>
      </w:tr>
      <w:tr>
        <w:tc>
          <w:tcPr>
            <w:tcW w:type="dxa" w:w="2520"/>
          </w:tcPr>
          <w:p>
            <w:pPr>
              <w:spacing w:after="20"/>
            </w:pPr>
            <w:r>
              <w:rPr>
                <w:sz w:val="14"/>
              </w:rPr>
              <w:t>Credentials</w:t>
            </w:r>
          </w:p>
        </w:tc>
        <w:tc>
          <w:tcPr>
            <w:tcW w:type="dxa" w:w="2520"/>
          </w:tcPr>
          <w:p>
            <w:pPr>
              <w:spacing w:after="20"/>
            </w:pPr>
            <w:r>
              <w:rPr>
                <w:sz w:val="14"/>
              </w:rPr>
              <w:t>Signed marksheets, certificates</w:t>
            </w:r>
          </w:p>
        </w:tc>
        <w:tc>
          <w:tcPr>
            <w:tcW w:type="dxa" w:w="2520"/>
          </w:tcPr>
          <w:p>
            <w:pPr>
              <w:spacing w:after="20"/>
            </w:pPr>
            <w:r>
              <w:rPr>
                <w:sz w:val="14"/>
              </w:rPr>
              <w:t>PKI signatures, QR verification</w:t>
            </w:r>
          </w:p>
        </w:tc>
        <w:tc>
          <w:tcPr>
            <w:tcW w:type="dxa" w:w="2520"/>
          </w:tcPr>
          <w:p>
            <w:pPr>
              <w:spacing w:after="20"/>
            </w:pPr>
            <w:r>
              <w:rPr>
                <w:sz w:val="14"/>
              </w:rPr>
              <w:t>Revocation, reissue, public exposure policy</w:t>
            </w:r>
          </w:p>
        </w:tc>
      </w:tr>
      <w:tr>
        <w:tc>
          <w:tcPr>
            <w:tcW w:type="dxa" w:w="2520"/>
          </w:tcPr>
          <w:p>
            <w:pPr>
              <w:spacing w:after="20"/>
            </w:pPr>
            <w:r>
              <w:rPr>
                <w:sz w:val="14"/>
              </w:rPr>
              <w:t>Learning media</w:t>
            </w:r>
          </w:p>
        </w:tc>
        <w:tc>
          <w:tcPr>
            <w:tcW w:type="dxa" w:w="2520"/>
          </w:tcPr>
          <w:p>
            <w:pPr>
              <w:spacing w:after="20"/>
            </w:pPr>
            <w:r>
              <w:rPr>
                <w:sz w:val="14"/>
              </w:rPr>
              <w:t>Course AV, recordings, transcripts</w:t>
            </w:r>
          </w:p>
        </w:tc>
        <w:tc>
          <w:tcPr>
            <w:tcW w:type="dxa" w:w="2520"/>
          </w:tcPr>
          <w:p>
            <w:pPr>
              <w:spacing w:after="20"/>
            </w:pPr>
            <w:r>
              <w:rPr>
                <w:sz w:val="14"/>
              </w:rPr>
              <w:t>CDN; mobile DRM for specified AV</w:t>
            </w:r>
          </w:p>
        </w:tc>
        <w:tc>
          <w:tcPr>
            <w:tcW w:type="dxa" w:w="2520"/>
          </w:tcPr>
          <w:p>
            <w:pPr>
              <w:spacing w:after="20"/>
            </w:pPr>
            <w:r>
              <w:rPr>
                <w:sz w:val="14"/>
              </w:rPr>
              <w:t>Recording consent, asset retention, ownership</w:t>
            </w:r>
          </w:p>
        </w:tc>
      </w:tr>
      <w:tr>
        <w:tc>
          <w:tcPr>
            <w:tcW w:type="dxa" w:w="2520"/>
          </w:tcPr>
          <w:p>
            <w:pPr>
              <w:spacing w:after="20"/>
            </w:pPr>
            <w:r>
              <w:rPr>
                <w:sz w:val="14"/>
              </w:rPr>
              <w:t>Device-local content</w:t>
            </w:r>
          </w:p>
        </w:tc>
        <w:tc>
          <w:tcPr>
            <w:tcW w:type="dxa" w:w="2520"/>
          </w:tcPr>
          <w:p>
            <w:pPr>
              <w:spacing w:after="20"/>
            </w:pPr>
            <w:r>
              <w:rPr>
                <w:sz w:val="14"/>
              </w:rPr>
              <w:t>Offline cache, notes, tokens</w:t>
            </w:r>
          </w:p>
        </w:tc>
        <w:tc>
          <w:tcPr>
            <w:tcW w:type="dxa" w:w="2520"/>
          </w:tcPr>
          <w:p>
            <w:pPr>
              <w:spacing w:after="20"/>
            </w:pPr>
            <w:r>
              <w:rPr>
                <w:sz w:val="14"/>
              </w:rPr>
              <w:t>Keystore/Keychain, secure storage, pinning</w:t>
            </w:r>
          </w:p>
        </w:tc>
        <w:tc>
          <w:tcPr>
            <w:tcW w:type="dxa" w:w="2520"/>
          </w:tcPr>
          <w:p>
            <w:pPr>
              <w:spacing w:after="20"/>
            </w:pPr>
            <w:r>
              <w:rPr>
                <w:sz w:val="14"/>
              </w:rPr>
              <w:t>Cache expiry, sync conflicts, wipe behavior</w:t>
            </w:r>
          </w:p>
        </w:tc>
      </w:tr>
      <w:tr>
        <w:tc>
          <w:tcPr>
            <w:tcW w:type="dxa" w:w="2520"/>
          </w:tcPr>
          <w:p>
            <w:pPr>
              <w:spacing w:after="20"/>
            </w:pPr>
            <w:r>
              <w:rPr>
                <w:sz w:val="14"/>
              </w:rPr>
              <w:t>Audit</w:t>
            </w:r>
          </w:p>
        </w:tc>
        <w:tc>
          <w:tcPr>
            <w:tcW w:type="dxa" w:w="2520"/>
          </w:tcPr>
          <w:p>
            <w:pPr>
              <w:spacing w:after="20"/>
            </w:pPr>
            <w:r>
              <w:rPr>
                <w:sz w:val="14"/>
              </w:rPr>
              <w:t>Admin, grade, certificate events</w:t>
            </w:r>
          </w:p>
        </w:tc>
        <w:tc>
          <w:tcPr>
            <w:tcW w:type="dxa" w:w="2520"/>
          </w:tcPr>
          <w:p>
            <w:pPr>
              <w:spacing w:after="20"/>
            </w:pPr>
            <w:r>
              <w:rPr>
                <w:sz w:val="14"/>
              </w:rPr>
              <w:t>Tamper-evident, retained ≥5 years</w:t>
            </w:r>
          </w:p>
        </w:tc>
        <w:tc>
          <w:tcPr>
            <w:tcW w:type="dxa" w:w="2520"/>
          </w:tcPr>
          <w:p>
            <w:pPr>
              <w:spacing w:after="20"/>
            </w:pPr>
            <w:r>
              <w:rPr>
                <w:sz w:val="14"/>
              </w:rPr>
              <w:t>Access controls, archival tiers, deletion after minimum</w:t>
            </w:r>
          </w:p>
        </w:tc>
      </w:tr>
      <w:tr>
        <w:tc>
          <w:tcPr>
            <w:tcW w:type="dxa" w:w="2520"/>
          </w:tcPr>
          <w:p>
            <w:pPr>
              <w:spacing w:after="20"/>
            </w:pPr>
            <w:r>
              <w:rPr>
                <w:sz w:val="14"/>
              </w:rPr>
              <w:t>Analytics</w:t>
            </w:r>
          </w:p>
        </w:tc>
        <w:tc>
          <w:tcPr>
            <w:tcW w:type="dxa" w:w="2520"/>
          </w:tcPr>
          <w:p>
            <w:pPr>
              <w:spacing w:after="20"/>
            </w:pPr>
            <w:r>
              <w:rPr>
                <w:sz w:val="14"/>
              </w:rPr>
              <w:t>MPR, dashboards, usage projections</w:t>
            </w:r>
          </w:p>
        </w:tc>
        <w:tc>
          <w:tcPr>
            <w:tcW w:type="dxa" w:w="2520"/>
          </w:tcPr>
          <w:p>
            <w:pPr>
              <w:spacing w:after="20"/>
            </w:pPr>
            <w:r>
              <w:rPr>
                <w:sz w:val="14"/>
              </w:rPr>
              <w:t>Role-scoped reporting and India residency</w:t>
            </w:r>
          </w:p>
        </w:tc>
        <w:tc>
          <w:tcPr>
            <w:tcW w:type="dxa" w:w="2520"/>
          </w:tcPr>
          <w:p>
            <w:pPr>
              <w:spacing w:after="20"/>
            </w:pPr>
            <w:r>
              <w:rPr>
                <w:sz w:val="14"/>
              </w:rPr>
              <w:t>Aggregation granularity, lineage, PII minimization</w:t>
            </w:r>
          </w:p>
        </w:tc>
      </w:tr>
    </w:tbl>
    <w:p>
      <w:r>
        <w:t>Mandatory: data residency within India (SEC-015); tamper-evident audit logs retained at least five years (SEC-016); lifetime academic record per student (ASM-017). No blanket five-year retention for all records is implied.</w:t>
      </w:r>
    </w:p>
    <w:p>
      <w:pPr>
        <w:pStyle w:val="Heading1"/>
      </w:pPr>
      <w:r>
        <w:t>8. Data flows and integration dependency map</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pPr>
              <w:spacing w:after="20"/>
            </w:pPr>
            <w:r>
              <w:rPr>
                <w:sz w:val="14"/>
              </w:rPr>
              <w:t>Flow</w:t>
            </w:r>
          </w:p>
        </w:tc>
        <w:tc>
          <w:tcPr>
            <w:tcW w:type="dxa" w:w="2520"/>
          </w:tcPr>
          <w:p>
            <w:pPr>
              <w:spacing w:after="20"/>
            </w:pPr>
            <w:r>
              <w:rPr>
                <w:sz w:val="14"/>
              </w:rPr>
              <w:t>Source → destination</w:t>
            </w:r>
          </w:p>
        </w:tc>
        <w:tc>
          <w:tcPr>
            <w:tcW w:type="dxa" w:w="2520"/>
          </w:tcPr>
          <w:p>
            <w:pPr>
              <w:spacing w:after="20"/>
            </w:pPr>
            <w:r>
              <w:rPr>
                <w:sz w:val="14"/>
              </w:rPr>
              <w:t>Existing scope</w:t>
            </w:r>
          </w:p>
        </w:tc>
        <w:tc>
          <w:tcPr>
            <w:tcW w:type="dxa" w:w="2520"/>
          </w:tcPr>
          <w:p>
            <w:pPr>
              <w:spacing w:after="20"/>
            </w:pPr>
            <w:r>
              <w:rPr>
                <w:sz w:val="14"/>
              </w:rPr>
              <w:t>Design questions</w:t>
            </w:r>
          </w:p>
        </w:tc>
      </w:tr>
      <w:tr>
        <w:tc>
          <w:tcPr>
            <w:tcW w:type="dxa" w:w="2520"/>
          </w:tcPr>
          <w:p>
            <w:pPr>
              <w:spacing w:after="20"/>
            </w:pPr>
            <w:r>
              <w:rPr>
                <w:sz w:val="14"/>
              </w:rPr>
              <w:t>Authentication</w:t>
            </w:r>
          </w:p>
        </w:tc>
        <w:tc>
          <w:tcPr>
            <w:tcW w:type="dxa" w:w="2520"/>
          </w:tcPr>
          <w:p>
            <w:pPr>
              <w:spacing w:after="20"/>
            </w:pPr>
            <w:r>
              <w:rPr>
                <w:sz w:val="14"/>
              </w:rPr>
              <w:t>Web/mobile → identity layer → Digi-Pharmed/PRTS</w:t>
            </w:r>
          </w:p>
        </w:tc>
        <w:tc>
          <w:tcPr>
            <w:tcW w:type="dxa" w:w="2520"/>
          </w:tcPr>
          <w:p>
            <w:pPr>
              <w:spacing w:after="20"/>
            </w:pPr>
            <w:r>
              <w:rPr>
                <w:sz w:val="14"/>
              </w:rPr>
              <w:t>IAM-009..015</w:t>
            </w:r>
          </w:p>
        </w:tc>
        <w:tc>
          <w:tcPr>
            <w:tcW w:type="dxa" w:w="2520"/>
          </w:tcPr>
          <w:p>
            <w:pPr>
              <w:spacing w:after="20"/>
            </w:pPr>
            <w:r>
              <w:rPr>
                <w:sz w:val="14"/>
              </w:rPr>
              <w:t>Sandbox, identifiers, token claims, outage behavior</w:t>
            </w:r>
          </w:p>
        </w:tc>
      </w:tr>
      <w:tr>
        <w:tc>
          <w:tcPr>
            <w:tcW w:type="dxa" w:w="2520"/>
          </w:tcPr>
          <w:p>
            <w:pPr>
              <w:spacing w:after="20"/>
            </w:pPr>
            <w:r>
              <w:rPr>
                <w:sz w:val="14"/>
              </w:rPr>
              <w:t>Live learning</w:t>
            </w:r>
          </w:p>
        </w:tc>
        <w:tc>
          <w:tcPr>
            <w:tcW w:type="dxa" w:w="2520"/>
          </w:tcPr>
          <w:p>
            <w:pPr>
              <w:spacing w:after="20"/>
            </w:pPr>
            <w:r>
              <w:rPr>
                <w:sz w:val="14"/>
              </w:rPr>
              <w:t>LMS schedule → third-party class provider → recording/transcript</w:t>
            </w:r>
          </w:p>
        </w:tc>
        <w:tc>
          <w:tcPr>
            <w:tcW w:type="dxa" w:w="2520"/>
          </w:tcPr>
          <w:p>
            <w:pPr>
              <w:spacing w:after="20"/>
            </w:pPr>
            <w:r>
              <w:rPr>
                <w:sz w:val="14"/>
              </w:rPr>
              <w:t>ACD-010..019</w:t>
            </w:r>
          </w:p>
        </w:tc>
        <w:tc>
          <w:tcPr>
            <w:tcW w:type="dxa" w:w="2520"/>
          </w:tcPr>
          <w:p>
            <w:pPr>
              <w:spacing w:after="20"/>
            </w:pPr>
            <w:r>
              <w:rPr>
                <w:sz w:val="14"/>
              </w:rPr>
              <w:t>API limits, consent, recording ownership, callback guarantees</w:t>
            </w:r>
          </w:p>
        </w:tc>
      </w:tr>
      <w:tr>
        <w:tc>
          <w:tcPr>
            <w:tcW w:type="dxa" w:w="2520"/>
          </w:tcPr>
          <w:p>
            <w:pPr>
              <w:spacing w:after="20"/>
            </w:pPr>
            <w:r>
              <w:rPr>
                <w:sz w:val="14"/>
              </w:rPr>
              <w:t>AV playback</w:t>
            </w:r>
          </w:p>
        </w:tc>
        <w:tc>
          <w:tcPr>
            <w:tcW w:type="dxa" w:w="2520"/>
          </w:tcPr>
          <w:p>
            <w:pPr>
              <w:spacing w:after="20"/>
            </w:pPr>
            <w:r>
              <w:rPr>
                <w:sz w:val="14"/>
              </w:rPr>
              <w:t>Object storage / media service → CDN → web/mobile</w:t>
            </w:r>
          </w:p>
        </w:tc>
        <w:tc>
          <w:tcPr>
            <w:tcW w:type="dxa" w:w="2520"/>
          </w:tcPr>
          <w:p>
            <w:pPr>
              <w:spacing w:after="20"/>
            </w:pPr>
            <w:r>
              <w:rPr>
                <w:sz w:val="14"/>
              </w:rPr>
              <w:t>NFR-004, MOB-014..019</w:t>
            </w:r>
          </w:p>
        </w:tc>
        <w:tc>
          <w:tcPr>
            <w:tcW w:type="dxa" w:w="2520"/>
          </w:tcPr>
          <w:p>
            <w:pPr>
              <w:spacing w:after="20"/>
            </w:pPr>
            <w:r>
              <w:rPr>
                <w:sz w:val="14"/>
              </w:rPr>
              <w:t>DRM licenses, media volumes, CDN India PoPs</w:t>
            </w:r>
          </w:p>
        </w:tc>
      </w:tr>
      <w:tr>
        <w:tc>
          <w:tcPr>
            <w:tcW w:type="dxa" w:w="2520"/>
          </w:tcPr>
          <w:p>
            <w:pPr>
              <w:spacing w:after="20"/>
            </w:pPr>
            <w:r>
              <w:rPr>
                <w:sz w:val="14"/>
              </w:rPr>
              <w:t>AI questions</w:t>
            </w:r>
          </w:p>
        </w:tc>
        <w:tc>
          <w:tcPr>
            <w:tcW w:type="dxa" w:w="2520"/>
          </w:tcPr>
          <w:p>
            <w:pPr>
              <w:spacing w:after="20"/>
            </w:pPr>
            <w:r>
              <w:rPr>
                <w:sz w:val="14"/>
              </w:rPr>
              <w:t>Course/question context → LLM API → human SME queue</w:t>
            </w:r>
          </w:p>
        </w:tc>
        <w:tc>
          <w:tcPr>
            <w:tcW w:type="dxa" w:w="2520"/>
          </w:tcPr>
          <w:p>
            <w:pPr>
              <w:spacing w:after="20"/>
            </w:pPr>
            <w:r>
              <w:rPr>
                <w:sz w:val="14"/>
              </w:rPr>
              <w:t>ASM-005..007</w:t>
            </w:r>
          </w:p>
        </w:tc>
        <w:tc>
          <w:tcPr>
            <w:tcW w:type="dxa" w:w="2520"/>
          </w:tcPr>
          <w:p>
            <w:pPr>
              <w:spacing w:after="20"/>
            </w:pPr>
            <w:r>
              <w:rPr>
                <w:sz w:val="14"/>
              </w:rPr>
              <w:t>Data sharing, prompt audit, SME approval workflow</w:t>
            </w:r>
          </w:p>
        </w:tc>
      </w:tr>
      <w:tr>
        <w:tc>
          <w:tcPr>
            <w:tcW w:type="dxa" w:w="2520"/>
          </w:tcPr>
          <w:p>
            <w:pPr>
              <w:spacing w:after="20"/>
            </w:pPr>
            <w:r>
              <w:rPr>
                <w:sz w:val="14"/>
              </w:rPr>
              <w:t>Certificates</w:t>
            </w:r>
          </w:p>
        </w:tc>
        <w:tc>
          <w:tcPr>
            <w:tcW w:type="dxa" w:w="2520"/>
          </w:tcPr>
          <w:p>
            <w:pPr>
              <w:spacing w:after="20"/>
            </w:pPr>
            <w:r>
              <w:rPr>
                <w:sz w:val="14"/>
              </w:rPr>
              <w:t>Academic record → signing → QR verification / DigiLocker</w:t>
            </w:r>
          </w:p>
        </w:tc>
        <w:tc>
          <w:tcPr>
            <w:tcW w:type="dxa" w:w="2520"/>
          </w:tcPr>
          <w:p>
            <w:pPr>
              <w:spacing w:after="20"/>
            </w:pPr>
            <w:r>
              <w:rPr>
                <w:sz w:val="14"/>
              </w:rPr>
              <w:t>ASM-015..023</w:t>
            </w:r>
          </w:p>
        </w:tc>
        <w:tc>
          <w:tcPr>
            <w:tcW w:type="dxa" w:w="2520"/>
          </w:tcPr>
          <w:p>
            <w:pPr>
              <w:spacing w:after="20"/>
            </w:pPr>
            <w:r>
              <w:rPr>
                <w:sz w:val="14"/>
              </w:rPr>
              <w:t>Signing authority, format, DigiLocker API access</w:t>
            </w:r>
          </w:p>
        </w:tc>
      </w:tr>
      <w:tr>
        <w:tc>
          <w:tcPr>
            <w:tcW w:type="dxa" w:w="2520"/>
          </w:tcPr>
          <w:p>
            <w:pPr>
              <w:spacing w:after="20"/>
            </w:pPr>
            <w:r>
              <w:rPr>
                <w:sz w:val="14"/>
              </w:rPr>
              <w:t>Notifications</w:t>
            </w:r>
          </w:p>
        </w:tc>
        <w:tc>
          <w:tcPr>
            <w:tcW w:type="dxa" w:w="2520"/>
          </w:tcPr>
          <w:p>
            <w:pPr>
              <w:spacing w:after="20"/>
            </w:pPr>
            <w:r>
              <w:rPr>
                <w:sz w:val="14"/>
              </w:rPr>
              <w:t>Domain event → notification service → email/SMS/WhatsApp/push</w:t>
            </w:r>
          </w:p>
        </w:tc>
        <w:tc>
          <w:tcPr>
            <w:tcW w:type="dxa" w:w="2520"/>
          </w:tcPr>
          <w:p>
            <w:pPr>
              <w:spacing w:after="20"/>
            </w:pPr>
            <w:r>
              <w:rPr>
                <w:sz w:val="14"/>
              </w:rPr>
              <w:t>COM-014..021</w:t>
            </w:r>
          </w:p>
        </w:tc>
        <w:tc>
          <w:tcPr>
            <w:tcW w:type="dxa" w:w="2520"/>
          </w:tcPr>
          <w:p>
            <w:pPr>
              <w:spacing w:after="20"/>
            </w:pPr>
            <w:r>
              <w:rPr>
                <w:sz w:val="14"/>
              </w:rPr>
              <w:t>Provider onboarding, retries, delivery receipts</w:t>
            </w:r>
          </w:p>
        </w:tc>
      </w:tr>
      <w:tr>
        <w:tc>
          <w:tcPr>
            <w:tcW w:type="dxa" w:w="2520"/>
          </w:tcPr>
          <w:p>
            <w:pPr>
              <w:spacing w:after="20"/>
            </w:pPr>
            <w:r>
              <w:rPr>
                <w:sz w:val="14"/>
              </w:rPr>
              <w:t>Reporting</w:t>
            </w:r>
          </w:p>
        </w:tc>
        <w:tc>
          <w:tcPr>
            <w:tcW w:type="dxa" w:w="2520"/>
          </w:tcPr>
          <w:p>
            <w:pPr>
              <w:spacing w:after="20"/>
            </w:pPr>
            <w:r>
              <w:rPr>
                <w:sz w:val="14"/>
              </w:rPr>
              <w:t>Operational records → reporting projection → dashboards/MPR</w:t>
            </w:r>
          </w:p>
        </w:tc>
        <w:tc>
          <w:tcPr>
            <w:tcW w:type="dxa" w:w="2520"/>
          </w:tcPr>
          <w:p>
            <w:pPr>
              <w:spacing w:after="20"/>
            </w:pPr>
            <w:r>
              <w:rPr>
                <w:sz w:val="14"/>
              </w:rPr>
              <w:t>COM-001..009, COM-022</w:t>
            </w:r>
          </w:p>
        </w:tc>
        <w:tc>
          <w:tcPr>
            <w:tcW w:type="dxa" w:w="2520"/>
          </w:tcPr>
          <w:p>
            <w:pPr>
              <w:spacing w:after="20"/>
            </w:pPr>
            <w:r>
              <w:rPr>
                <w:sz w:val="14"/>
              </w:rPr>
              <w:t>Freshness, dimensions, access scoping</w:t>
            </w:r>
          </w:p>
        </w:tc>
      </w:tr>
      <w:tr>
        <w:tc>
          <w:tcPr>
            <w:tcW w:type="dxa" w:w="2520"/>
          </w:tcPr>
          <w:p>
            <w:pPr>
              <w:spacing w:after="20"/>
            </w:pPr>
            <w:r>
              <w:rPr>
                <w:sz w:val="14"/>
              </w:rPr>
              <w:t>Mobile offline</w:t>
            </w:r>
          </w:p>
        </w:tc>
        <w:tc>
          <w:tcPr>
            <w:tcW w:type="dxa" w:w="2520"/>
          </w:tcPr>
          <w:p>
            <w:pPr>
              <w:spacing w:after="20"/>
            </w:pPr>
            <w:r>
              <w:rPr>
                <w:sz w:val="14"/>
              </w:rPr>
              <w:t>Server content → encrypted device cache → sync</w:t>
            </w:r>
          </w:p>
        </w:tc>
        <w:tc>
          <w:tcPr>
            <w:tcW w:type="dxa" w:w="2520"/>
          </w:tcPr>
          <w:p>
            <w:pPr>
              <w:spacing w:after="20"/>
            </w:pPr>
            <w:r>
              <w:rPr>
                <w:sz w:val="14"/>
              </w:rPr>
              <w:t>MOB-026..028</w:t>
            </w:r>
          </w:p>
        </w:tc>
        <w:tc>
          <w:tcPr>
            <w:tcW w:type="dxa" w:w="2520"/>
          </w:tcPr>
          <w:p>
            <w:pPr>
              <w:spacing w:after="20"/>
            </w:pPr>
            <w:r>
              <w:rPr>
                <w:sz w:val="14"/>
              </w:rPr>
              <w:t>Offline eligibility, expiry, conflict resolution</w:t>
            </w:r>
          </w:p>
        </w:tc>
      </w:tr>
    </w:tbl>
    <w:p>
      <w:pPr>
        <w:pStyle w:val="Heading1"/>
      </w:pPr>
      <w:r>
        <w:t>9. Physical persistence options — evaluation only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pPr>
              <w:spacing w:after="20"/>
            </w:pPr>
            <w:r>
              <w:rPr>
                <w:sz w:val="14"/>
              </w:rPr>
              <w:t>Concern</w:t>
            </w:r>
          </w:p>
        </w:tc>
        <w:tc>
          <w:tcPr>
            <w:tcW w:type="dxa" w:w="3360"/>
          </w:tcPr>
          <w:p>
            <w:pPr>
              <w:spacing w:after="20"/>
            </w:pPr>
            <w:r>
              <w:rPr>
                <w:sz w:val="14"/>
              </w:rPr>
              <w:t>Candidate technology (source recommended)</w:t>
            </w:r>
          </w:p>
        </w:tc>
        <w:tc>
          <w:tcPr>
            <w:tcW w:type="dxa" w:w="3360"/>
          </w:tcPr>
          <w:p>
            <w:pPr>
              <w:spacing w:after="20"/>
            </w:pPr>
            <w:r>
              <w:rPr>
                <w:sz w:val="14"/>
              </w:rPr>
              <w:t>Decision rule</w:t>
            </w:r>
          </w:p>
        </w:tc>
      </w:tr>
      <w:tr>
        <w:tc>
          <w:tcPr>
            <w:tcW w:type="dxa" w:w="3360"/>
          </w:tcPr>
          <w:p>
            <w:pPr>
              <w:spacing w:after="20"/>
            </w:pPr>
            <w:r>
              <w:rPr>
                <w:sz w:val="14"/>
              </w:rPr>
              <w:t>Relational transactions</w:t>
            </w:r>
          </w:p>
        </w:tc>
        <w:tc>
          <w:tcPr>
            <w:tcW w:type="dxa" w:w="3360"/>
          </w:tcPr>
          <w:p>
            <w:pPr>
              <w:spacing w:after="20"/>
            </w:pPr>
            <w:r>
              <w:rPr>
                <w:sz w:val="14"/>
              </w:rPr>
              <w:t>Managed PostgreSQL multi-AZ</w:t>
            </w:r>
          </w:p>
        </w:tc>
        <w:tc>
          <w:tcPr>
            <w:tcW w:type="dxa" w:w="3360"/>
          </w:tcPr>
          <w:p>
            <w:pPr>
              <w:spacing w:after="20"/>
            </w:pPr>
            <w:r>
              <w:rPr>
                <w:sz w:val="14"/>
              </w:rPr>
              <w:t>Validate cardinality, consistency, partitioning, throughput with workload evidence</w:t>
            </w:r>
          </w:p>
        </w:tc>
      </w:tr>
      <w:tr>
        <w:tc>
          <w:tcPr>
            <w:tcW w:type="dxa" w:w="3360"/>
          </w:tcPr>
          <w:p>
            <w:pPr>
              <w:spacing w:after="20"/>
            </w:pPr>
            <w:r>
              <w:rPr>
                <w:sz w:val="14"/>
              </w:rPr>
              <w:t>Caching</w:t>
            </w:r>
          </w:p>
        </w:tc>
        <w:tc>
          <w:tcPr>
            <w:tcW w:type="dxa" w:w="3360"/>
          </w:tcPr>
          <w:p>
            <w:pPr>
              <w:spacing w:after="20"/>
            </w:pPr>
            <w:r>
              <w:rPr>
                <w:sz w:val="14"/>
              </w:rPr>
              <w:t>Redis cluster</w:t>
            </w:r>
          </w:p>
        </w:tc>
        <w:tc>
          <w:tcPr>
            <w:tcW w:type="dxa" w:w="3360"/>
          </w:tcPr>
          <w:p>
            <w:pPr>
              <w:spacing w:after="20"/>
            </w:pPr>
            <w:r>
              <w:rPr>
                <w:sz w:val="14"/>
              </w:rPr>
              <w:t>Cache only derived/ephemeral data; define invalidation and authorization boundary</w:t>
            </w:r>
          </w:p>
        </w:tc>
      </w:tr>
      <w:tr>
        <w:tc>
          <w:tcPr>
            <w:tcW w:type="dxa" w:w="3360"/>
          </w:tcPr>
          <w:p>
            <w:pPr>
              <w:spacing w:after="20"/>
            </w:pPr>
            <w:r>
              <w:rPr>
                <w:sz w:val="14"/>
              </w:rPr>
              <w:t>Full-text search</w:t>
            </w:r>
          </w:p>
        </w:tc>
        <w:tc>
          <w:tcPr>
            <w:tcW w:type="dxa" w:w="3360"/>
          </w:tcPr>
          <w:p>
            <w:pPr>
              <w:spacing w:after="20"/>
            </w:pPr>
            <w:r>
              <w:rPr>
                <w:sz w:val="14"/>
              </w:rPr>
              <w:t>OpenSearch / Elasticsearch</w:t>
            </w:r>
          </w:p>
        </w:tc>
        <w:tc>
          <w:tcPr>
            <w:tcW w:type="dxa" w:w="3360"/>
          </w:tcPr>
          <w:p>
            <w:pPr>
              <w:spacing w:after="20"/>
            </w:pPr>
            <w:r>
              <w:rPr>
                <w:sz w:val="14"/>
              </w:rPr>
              <w:t>Index titles, documents, transcripts; prevent tenant data leakage</w:t>
            </w:r>
          </w:p>
        </w:tc>
      </w:tr>
      <w:tr>
        <w:tc>
          <w:tcPr>
            <w:tcW w:type="dxa" w:w="3360"/>
          </w:tcPr>
          <w:p>
            <w:pPr>
              <w:spacing w:after="20"/>
            </w:pPr>
            <w:r>
              <w:rPr>
                <w:sz w:val="14"/>
              </w:rPr>
              <w:t>Media / certificate binaries</w:t>
            </w:r>
          </w:p>
        </w:tc>
        <w:tc>
          <w:tcPr>
            <w:tcW w:type="dxa" w:w="3360"/>
          </w:tcPr>
          <w:p>
            <w:pPr>
              <w:spacing w:after="20"/>
            </w:pPr>
            <w:r>
              <w:rPr>
                <w:sz w:val="14"/>
              </w:rPr>
              <w:t>S3-compatible object storage</w:t>
            </w:r>
          </w:p>
        </w:tc>
        <w:tc>
          <w:tcPr>
            <w:tcW w:type="dxa" w:w="3360"/>
          </w:tcPr>
          <w:p>
            <w:pPr>
              <w:spacing w:after="20"/>
            </w:pPr>
            <w:r>
              <w:rPr>
                <w:sz w:val="14"/>
              </w:rPr>
              <w:t>Object lifecycle, encryption, signed access and India residency</w:t>
            </w:r>
          </w:p>
        </w:tc>
      </w:tr>
      <w:tr>
        <w:tc>
          <w:tcPr>
            <w:tcW w:type="dxa" w:w="3360"/>
          </w:tcPr>
          <w:p>
            <w:pPr>
              <w:spacing w:after="20"/>
            </w:pPr>
            <w:r>
              <w:rPr>
                <w:sz w:val="14"/>
              </w:rPr>
              <w:t>Asynchronous delivery</w:t>
            </w:r>
          </w:p>
        </w:tc>
        <w:tc>
          <w:tcPr>
            <w:tcW w:type="dxa" w:w="3360"/>
          </w:tcPr>
          <w:p>
            <w:pPr>
              <w:spacing w:after="20"/>
            </w:pPr>
            <w:r>
              <w:rPr>
                <w:sz w:val="14"/>
              </w:rPr>
              <w:t>Kafka or RabbitMQ</w:t>
            </w:r>
          </w:p>
        </w:tc>
        <w:tc>
          <w:tcPr>
            <w:tcW w:type="dxa" w:w="3360"/>
          </w:tcPr>
          <w:p>
            <w:pPr>
              <w:spacing w:after="20"/>
            </w:pPr>
            <w:r>
              <w:rPr>
                <w:sz w:val="14"/>
              </w:rPr>
              <w:t>Choose after ordering, replay and delivery semantics clarified</w:t>
            </w:r>
          </w:p>
        </w:tc>
      </w:tr>
      <w:tr>
        <w:tc>
          <w:tcPr>
            <w:tcW w:type="dxa" w:w="3360"/>
          </w:tcPr>
          <w:p>
            <w:pPr>
              <w:spacing w:after="20"/>
            </w:pPr>
            <w:r>
              <w:rPr>
                <w:sz w:val="14"/>
              </w:rPr>
              <w:t>Reporting</w:t>
            </w:r>
          </w:p>
        </w:tc>
        <w:tc>
          <w:tcPr>
            <w:tcW w:type="dxa" w:w="3360"/>
          </w:tcPr>
          <w:p>
            <w:pPr>
              <w:spacing w:after="20"/>
            </w:pPr>
            <w:r>
              <w:rPr>
                <w:sz w:val="14"/>
              </w:rPr>
              <w:t>Shared metrics / warehouse layer</w:t>
            </w:r>
          </w:p>
        </w:tc>
        <w:tc>
          <w:tcPr>
            <w:tcW w:type="dxa" w:w="3360"/>
          </w:tcPr>
          <w:p>
            <w:pPr>
              <w:spacing w:after="20"/>
            </w:pPr>
            <w:r>
              <w:rPr>
                <w:sz w:val="14"/>
              </w:rPr>
              <w:t>Source lineage and role-scoped query performance</w:t>
            </w:r>
          </w:p>
        </w:tc>
      </w:tr>
    </w:tbl>
    <w:p>
      <w:r>
        <w:t>No final vendor choice, table schema, indexing strategy or partitioning policy is approved by this Day 3 document.</w:t>
      </w:r>
    </w:p>
    <w:p>
      <w:pPr>
        <w:pStyle w:val="Heading1"/>
      </w:pPr>
      <w:r>
        <w:t>10. Capacity and performance modelling worksheet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pPr>
              <w:spacing w:after="20"/>
            </w:pPr>
            <w:r>
              <w:rPr>
                <w:sz w:val="14"/>
              </w:rPr>
              <w:t>Metric</w:t>
            </w:r>
          </w:p>
        </w:tc>
        <w:tc>
          <w:tcPr>
            <w:tcW w:type="dxa" w:w="3360"/>
          </w:tcPr>
          <w:p>
            <w:pPr>
              <w:spacing w:after="20"/>
            </w:pPr>
            <w:r>
              <w:rPr>
                <w:sz w:val="14"/>
              </w:rPr>
              <w:t>Source baseline</w:t>
            </w:r>
          </w:p>
        </w:tc>
        <w:tc>
          <w:tcPr>
            <w:tcW w:type="dxa" w:w="3360"/>
          </w:tcPr>
          <w:p>
            <w:pPr>
              <w:spacing w:after="20"/>
            </w:pPr>
            <w:r>
              <w:rPr>
                <w:sz w:val="14"/>
              </w:rPr>
              <w:t>Unknown to confirm / acceptance evidence</w:t>
            </w:r>
          </w:p>
        </w:tc>
      </w:tr>
      <w:tr>
        <w:tc>
          <w:tcPr>
            <w:tcW w:type="dxa" w:w="3360"/>
          </w:tcPr>
          <w:p>
            <w:pPr>
              <w:spacing w:after="20"/>
            </w:pPr>
            <w:r>
              <w:rPr>
                <w:sz w:val="14"/>
              </w:rPr>
              <w:t>Concurrent users</w:t>
            </w:r>
          </w:p>
        </w:tc>
        <w:tc>
          <w:tcPr>
            <w:tcW w:type="dxa" w:w="3360"/>
          </w:tcPr>
          <w:p>
            <w:pPr>
              <w:spacing w:after="20"/>
            </w:pPr>
            <w:r>
              <w:rPr>
                <w:sz w:val="14"/>
              </w:rPr>
              <w:t>≥500,000 (NFR-001)</w:t>
            </w:r>
          </w:p>
        </w:tc>
        <w:tc>
          <w:tcPr>
            <w:tcW w:type="dxa" w:w="3360"/>
          </w:tcPr>
          <w:p>
            <w:pPr>
              <w:spacing w:after="20"/>
            </w:pPr>
            <w:r>
              <w:rPr>
                <w:sz w:val="14"/>
              </w:rPr>
              <w:t>Active sessions vs concurrent requests; user mix; peak duration</w:t>
            </w:r>
          </w:p>
        </w:tc>
      </w:tr>
      <w:tr>
        <w:tc>
          <w:tcPr>
            <w:tcW w:type="dxa" w:w="3360"/>
          </w:tcPr>
          <w:p>
            <w:pPr>
              <w:spacing w:after="20"/>
            </w:pPr>
            <w:r>
              <w:rPr>
                <w:sz w:val="14"/>
              </w:rPr>
              <w:t>Content throughput</w:t>
            </w:r>
          </w:p>
        </w:tc>
        <w:tc>
          <w:tcPr>
            <w:tcW w:type="dxa" w:w="3360"/>
          </w:tcPr>
          <w:p>
            <w:pPr>
              <w:spacing w:after="20"/>
            </w:pPr>
            <w:r>
              <w:rPr>
                <w:sz w:val="14"/>
              </w:rPr>
              <w:t>High volume without degradation (NFR-002)</w:t>
            </w:r>
          </w:p>
        </w:tc>
        <w:tc>
          <w:tcPr>
            <w:tcW w:type="dxa" w:w="3360"/>
          </w:tcPr>
          <w:p>
            <w:pPr>
              <w:spacing w:after="20"/>
            </w:pPr>
            <w:r>
              <w:rPr>
                <w:sz w:val="14"/>
              </w:rPr>
              <w:t>AV bitrates, sessions, object sizes, API TPS, p95/p99</w:t>
            </w:r>
          </w:p>
        </w:tc>
      </w:tr>
      <w:tr>
        <w:tc>
          <w:tcPr>
            <w:tcW w:type="dxa" w:w="3360"/>
          </w:tcPr>
          <w:p>
            <w:pPr>
              <w:spacing w:after="20"/>
            </w:pPr>
            <w:r>
              <w:rPr>
                <w:sz w:val="14"/>
              </w:rPr>
              <w:t>Uptime</w:t>
            </w:r>
          </w:p>
        </w:tc>
        <w:tc>
          <w:tcPr>
            <w:tcW w:type="dxa" w:w="3360"/>
          </w:tcPr>
          <w:p>
            <w:pPr>
              <w:spacing w:after="20"/>
            </w:pPr>
            <w:r>
              <w:rPr>
                <w:sz w:val="14"/>
              </w:rPr>
              <w:t>≥99.5% during O&amp;M (NFR-003)</w:t>
            </w:r>
          </w:p>
        </w:tc>
        <w:tc>
          <w:tcPr>
            <w:tcW w:type="dxa" w:w="3360"/>
          </w:tcPr>
          <w:p>
            <w:pPr>
              <w:spacing w:after="20"/>
            </w:pPr>
            <w:r>
              <w:rPr>
                <w:sz w:val="14"/>
              </w:rPr>
              <w:t>Measurement window, exclusions, service boundary</w:t>
            </w:r>
          </w:p>
        </w:tc>
      </w:tr>
      <w:tr>
        <w:tc>
          <w:tcPr>
            <w:tcW w:type="dxa" w:w="3360"/>
          </w:tcPr>
          <w:p>
            <w:pPr>
              <w:spacing w:after="20"/>
            </w:pPr>
            <w:r>
              <w:rPr>
                <w:sz w:val="14"/>
              </w:rPr>
              <w:t>DR</w:t>
            </w:r>
          </w:p>
        </w:tc>
        <w:tc>
          <w:tcPr>
            <w:tcW w:type="dxa" w:w="3360"/>
          </w:tcPr>
          <w:p>
            <w:pPr>
              <w:spacing w:after="20"/>
            </w:pPr>
            <w:r>
              <w:rPr>
                <w:sz w:val="14"/>
              </w:rPr>
              <w:t>Geo-redundant, RTO ≤4h, RPO ≤24h (NFR-005..007)</w:t>
            </w:r>
          </w:p>
        </w:tc>
        <w:tc>
          <w:tcPr>
            <w:tcW w:type="dxa" w:w="3360"/>
          </w:tcPr>
          <w:p>
            <w:pPr>
              <w:spacing w:after="20"/>
            </w:pPr>
            <w:r>
              <w:rPr>
                <w:sz w:val="14"/>
              </w:rPr>
              <w:t>Primary/DR regions, failover triggers, proof</w:t>
            </w:r>
          </w:p>
        </w:tc>
      </w:tr>
      <w:tr>
        <w:tc>
          <w:tcPr>
            <w:tcW w:type="dxa" w:w="3360"/>
          </w:tcPr>
          <w:p>
            <w:pPr>
              <w:spacing w:after="20"/>
            </w:pPr>
            <w:r>
              <w:rPr>
                <w:sz w:val="14"/>
              </w:rPr>
              <w:t>Data volumes</w:t>
            </w:r>
          </w:p>
        </w:tc>
        <w:tc>
          <w:tcPr>
            <w:tcW w:type="dxa" w:w="3360"/>
          </w:tcPr>
          <w:p>
            <w:pPr>
              <w:spacing w:after="20"/>
            </w:pPr>
            <w:r>
              <w:rPr>
                <w:sz w:val="14"/>
              </w:rPr>
              <w:t>Not specified</w:t>
            </w:r>
          </w:p>
        </w:tc>
        <w:tc>
          <w:tcPr>
            <w:tcW w:type="dxa" w:w="3360"/>
          </w:tcPr>
          <w:p>
            <w:pPr>
              <w:spacing w:after="20"/>
            </w:pPr>
            <w:r>
              <w:rPr>
                <w:sz w:val="14"/>
              </w:rPr>
              <w:t>Users by role, courses, content versions, attempts, log growth</w:t>
            </w:r>
          </w:p>
        </w:tc>
      </w:tr>
      <w:tr>
        <w:tc>
          <w:tcPr>
            <w:tcW w:type="dxa" w:w="3360"/>
          </w:tcPr>
          <w:p>
            <w:pPr>
              <w:spacing w:after="20"/>
            </w:pPr>
            <w:r>
              <w:rPr>
                <w:sz w:val="14"/>
              </w:rPr>
              <w:t>Database workload</w:t>
            </w:r>
          </w:p>
        </w:tc>
        <w:tc>
          <w:tcPr>
            <w:tcW w:type="dxa" w:w="3360"/>
          </w:tcPr>
          <w:p>
            <w:pPr>
              <w:spacing w:after="20"/>
            </w:pPr>
            <w:r>
              <w:rPr>
                <w:sz w:val="14"/>
              </w:rPr>
              <w:t>Not specified</w:t>
            </w:r>
          </w:p>
        </w:tc>
        <w:tc>
          <w:tcPr>
            <w:tcW w:type="dxa" w:w="3360"/>
          </w:tcPr>
          <w:p>
            <w:pPr>
              <w:spacing w:after="20"/>
            </w:pPr>
            <w:r>
              <w:rPr>
                <w:sz w:val="14"/>
              </w:rPr>
              <w:t>Reads/writes by endpoint, hot partitions, contention</w:t>
            </w:r>
          </w:p>
        </w:tc>
      </w:tr>
      <w:tr>
        <w:tc>
          <w:tcPr>
            <w:tcW w:type="dxa" w:w="3360"/>
          </w:tcPr>
          <w:p>
            <w:pPr>
              <w:spacing w:after="20"/>
            </w:pPr>
            <w:r>
              <w:rPr>
                <w:sz w:val="14"/>
              </w:rPr>
              <w:t>Search workload</w:t>
            </w:r>
          </w:p>
        </w:tc>
        <w:tc>
          <w:tcPr>
            <w:tcW w:type="dxa" w:w="3360"/>
          </w:tcPr>
          <w:p>
            <w:pPr>
              <w:spacing w:after="20"/>
            </w:pPr>
            <w:r>
              <w:rPr>
                <w:sz w:val="14"/>
              </w:rPr>
              <w:t>Full-text titles/docs/transcripts (ACD-021..023)</w:t>
            </w:r>
          </w:p>
        </w:tc>
        <w:tc>
          <w:tcPr>
            <w:tcW w:type="dxa" w:w="3360"/>
          </w:tcPr>
          <w:p>
            <w:pPr>
              <w:spacing w:after="20"/>
            </w:pPr>
            <w:r>
              <w:rPr>
                <w:sz w:val="14"/>
              </w:rPr>
              <w:t>Corpus size, index latency, search concurrency</w:t>
            </w:r>
          </w:p>
        </w:tc>
      </w:tr>
      <w:tr>
        <w:tc>
          <w:tcPr>
            <w:tcW w:type="dxa" w:w="3360"/>
          </w:tcPr>
          <w:p>
            <w:pPr>
              <w:spacing w:after="20"/>
            </w:pPr>
            <w:r>
              <w:rPr>
                <w:sz w:val="14"/>
              </w:rPr>
              <w:t>Media workload</w:t>
            </w:r>
          </w:p>
        </w:tc>
        <w:tc>
          <w:tcPr>
            <w:tcW w:type="dxa" w:w="3360"/>
          </w:tcPr>
          <w:p>
            <w:pPr>
              <w:spacing w:after="20"/>
            </w:pPr>
            <w:r>
              <w:rPr>
                <w:sz w:val="14"/>
              </w:rPr>
              <w:t>CDN AV, mobile DRM (NFR-004, MOB-014)</w:t>
            </w:r>
          </w:p>
        </w:tc>
        <w:tc>
          <w:tcPr>
            <w:tcW w:type="dxa" w:w="3360"/>
          </w:tcPr>
          <w:p>
            <w:pPr>
              <w:spacing w:after="20"/>
            </w:pPr>
            <w:r>
              <w:rPr>
                <w:sz w:val="14"/>
              </w:rPr>
              <w:t>Peak streaming concurrency, DRM provider capacity</w:t>
            </w:r>
          </w:p>
        </w:tc>
      </w:tr>
    </w:tbl>
    <w:p>
      <w:r>
        <w:t>A previously discussed 50 million transactions/day figure is a hypothetical sizing scenario, NOT a University requirement.</w:t>
      </w:r>
    </w:p>
    <w:p>
      <w:pPr>
        <w:pStyle w:val="Heading1"/>
      </w:pPr>
      <w:r>
        <w:t>11. Clarification register — Day 3 proposals, not approvals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pPr>
              <w:spacing w:after="20"/>
            </w:pPr>
            <w:r>
              <w:rPr>
                <w:sz w:val="14"/>
              </w:rPr>
              <w:t>Clarification ID</w:t>
            </w:r>
          </w:p>
        </w:tc>
        <w:tc>
          <w:tcPr>
            <w:tcW w:type="dxa" w:w="2520"/>
          </w:tcPr>
          <w:p>
            <w:pPr>
              <w:spacing w:after="20"/>
            </w:pPr>
            <w:r>
              <w:rPr>
                <w:sz w:val="14"/>
              </w:rPr>
              <w:t>Decision required</w:t>
            </w:r>
          </w:p>
        </w:tc>
        <w:tc>
          <w:tcPr>
            <w:tcW w:type="dxa" w:w="2520"/>
          </w:tcPr>
          <w:p>
            <w:pPr>
              <w:spacing w:after="20"/>
            </w:pPr>
            <w:r>
              <w:rPr>
                <w:sz w:val="14"/>
              </w:rPr>
              <w:t>Proposed owner</w:t>
            </w:r>
          </w:p>
        </w:tc>
        <w:tc>
          <w:tcPr>
            <w:tcW w:type="dxa" w:w="2520"/>
          </w:tcPr>
          <w:p>
            <w:pPr>
              <w:spacing w:after="20"/>
            </w:pPr>
            <w:r>
              <w:rPr>
                <w:sz w:val="14"/>
              </w:rPr>
              <w:t>Trace</w:t>
            </w:r>
          </w:p>
        </w:tc>
      </w:tr>
      <w:tr>
        <w:tc>
          <w:tcPr>
            <w:tcW w:type="dxa" w:w="2520"/>
          </w:tcPr>
          <w:p>
            <w:pPr>
              <w:spacing w:after="20"/>
            </w:pPr>
            <w:r>
              <w:rPr>
                <w:sz w:val="14"/>
              </w:rPr>
              <w:t>D3-CL-01</w:t>
            </w:r>
          </w:p>
        </w:tc>
        <w:tc>
          <w:tcPr>
            <w:tcW w:type="dxa" w:w="2520"/>
          </w:tcPr>
          <w:p>
            <w:pPr>
              <w:spacing w:after="20"/>
            </w:pPr>
            <w:r>
              <w:rPr>
                <w:sz w:val="14"/>
              </w:rPr>
              <w:t>University / SPC / Institution parent-child cardinalities and whether hierarchy can change</w:t>
            </w:r>
          </w:p>
        </w:tc>
        <w:tc>
          <w:tcPr>
            <w:tcW w:type="dxa" w:w="2520"/>
          </w:tcPr>
          <w:p>
            <w:pPr>
              <w:spacing w:after="20"/>
            </w:pPr>
            <w:r>
              <w:rPr>
                <w:sz w:val="14"/>
              </w:rPr>
              <w:t>University sponsor</w:t>
            </w:r>
          </w:p>
        </w:tc>
        <w:tc>
          <w:tcPr>
            <w:tcW w:type="dxa" w:w="2520"/>
          </w:tcPr>
          <w:p>
            <w:pPr>
              <w:spacing w:after="20"/>
            </w:pPr>
            <w:r>
              <w:rPr>
                <w:sz w:val="14"/>
              </w:rPr>
              <w:t>IAM-016</w:t>
            </w:r>
          </w:p>
        </w:tc>
      </w:tr>
      <w:tr>
        <w:tc>
          <w:tcPr>
            <w:tcW w:type="dxa" w:w="2520"/>
          </w:tcPr>
          <w:p>
            <w:pPr>
              <w:spacing w:after="20"/>
            </w:pPr>
            <w:r>
              <w:rPr>
                <w:sz w:val="14"/>
              </w:rPr>
              <w:t>D3-CL-02</w:t>
            </w:r>
          </w:p>
        </w:tc>
        <w:tc>
          <w:tcPr>
            <w:tcW w:type="dxa" w:w="2520"/>
          </w:tcPr>
          <w:p>
            <w:pPr>
              <w:spacing w:after="20"/>
            </w:pPr>
            <w:r>
              <w:rPr>
                <w:sz w:val="14"/>
              </w:rPr>
              <w:t>Whether one person may hold multiple roles and roles in multiple institutions</w:t>
            </w:r>
          </w:p>
        </w:tc>
        <w:tc>
          <w:tcPr>
            <w:tcW w:type="dxa" w:w="2520"/>
          </w:tcPr>
          <w:p>
            <w:pPr>
              <w:spacing w:after="20"/>
            </w:pPr>
            <w:r>
              <w:rPr>
                <w:sz w:val="14"/>
              </w:rPr>
              <w:t>University IAM owner</w:t>
            </w:r>
          </w:p>
        </w:tc>
        <w:tc>
          <w:tcPr>
            <w:tcW w:type="dxa" w:w="2520"/>
          </w:tcPr>
          <w:p>
            <w:pPr>
              <w:spacing w:after="20"/>
            </w:pPr>
            <w:r>
              <w:rPr>
                <w:sz w:val="14"/>
              </w:rPr>
              <w:t>IAM-001..008</w:t>
            </w:r>
          </w:p>
        </w:tc>
      </w:tr>
      <w:tr>
        <w:tc>
          <w:tcPr>
            <w:tcW w:type="dxa" w:w="2520"/>
          </w:tcPr>
          <w:p>
            <w:pPr>
              <w:spacing w:after="20"/>
            </w:pPr>
            <w:r>
              <w:rPr>
                <w:sz w:val="14"/>
              </w:rPr>
              <w:t>D3-CL-03</w:t>
            </w:r>
          </w:p>
        </w:tc>
        <w:tc>
          <w:tcPr>
            <w:tcW w:type="dxa" w:w="2520"/>
          </w:tcPr>
          <w:p>
            <w:pPr>
              <w:spacing w:after="20"/>
            </w:pPr>
            <w:r>
              <w:rPr>
                <w:sz w:val="14"/>
              </w:rPr>
              <w:t>Approved permission matrix per role and tenant, including pharmacist access</w:t>
            </w:r>
          </w:p>
        </w:tc>
        <w:tc>
          <w:tcPr>
            <w:tcW w:type="dxa" w:w="2520"/>
          </w:tcPr>
          <w:p>
            <w:pPr>
              <w:spacing w:after="20"/>
            </w:pPr>
            <w:r>
              <w:rPr>
                <w:sz w:val="14"/>
              </w:rPr>
              <w:t>University IAM owner</w:t>
            </w:r>
          </w:p>
        </w:tc>
        <w:tc>
          <w:tcPr>
            <w:tcW w:type="dxa" w:w="2520"/>
          </w:tcPr>
          <w:p>
            <w:pPr>
              <w:spacing w:after="20"/>
            </w:pPr>
            <w:r>
              <w:rPr>
                <w:sz w:val="14"/>
              </w:rPr>
              <w:t>IAM-001..020</w:t>
            </w:r>
          </w:p>
        </w:tc>
      </w:tr>
      <w:tr>
        <w:tc>
          <w:tcPr>
            <w:tcW w:type="dxa" w:w="2520"/>
          </w:tcPr>
          <w:p>
            <w:pPr>
              <w:spacing w:after="20"/>
            </w:pPr>
            <w:r>
              <w:rPr>
                <w:sz w:val="14"/>
              </w:rPr>
              <w:t>D3-CL-04</w:t>
            </w:r>
          </w:p>
        </w:tc>
        <w:tc>
          <w:tcPr>
            <w:tcW w:type="dxa" w:w="2520"/>
          </w:tcPr>
          <w:p>
            <w:pPr>
              <w:spacing w:after="20"/>
            </w:pPr>
            <w:r>
              <w:rPr>
                <w:sz w:val="14"/>
              </w:rPr>
              <w:t>Student enrolment ownership and transfer between institutions</w:t>
            </w:r>
          </w:p>
        </w:tc>
        <w:tc>
          <w:tcPr>
            <w:tcW w:type="dxa" w:w="2520"/>
          </w:tcPr>
          <w:p>
            <w:pPr>
              <w:spacing w:after="20"/>
            </w:pPr>
            <w:r>
              <w:rPr>
                <w:sz w:val="14"/>
              </w:rPr>
              <w:t>Academic SME</w:t>
            </w:r>
          </w:p>
        </w:tc>
        <w:tc>
          <w:tcPr>
            <w:tcW w:type="dxa" w:w="2520"/>
          </w:tcPr>
          <w:p>
            <w:pPr>
              <w:spacing w:after="20"/>
            </w:pPr>
            <w:r>
              <w:rPr>
                <w:sz w:val="14"/>
              </w:rPr>
              <w:t>IAM-016, ASM-017</w:t>
            </w:r>
          </w:p>
        </w:tc>
      </w:tr>
      <w:tr>
        <w:tc>
          <w:tcPr>
            <w:tcW w:type="dxa" w:w="2520"/>
          </w:tcPr>
          <w:p>
            <w:pPr>
              <w:spacing w:after="20"/>
            </w:pPr>
            <w:r>
              <w:rPr>
                <w:sz w:val="14"/>
              </w:rPr>
              <w:t>D3-CL-05</w:t>
            </w:r>
          </w:p>
        </w:tc>
        <w:tc>
          <w:tcPr>
            <w:tcW w:type="dxa" w:w="2520"/>
          </w:tcPr>
          <w:p>
            <w:pPr>
              <w:spacing w:after="20"/>
            </w:pPr>
            <w:r>
              <w:rPr>
                <w:sz w:val="14"/>
              </w:rPr>
              <w:t>Academic taxonomy reuse and relationship between Course and Programme/Subject/Topic</w:t>
            </w:r>
          </w:p>
        </w:tc>
        <w:tc>
          <w:tcPr>
            <w:tcW w:type="dxa" w:w="2520"/>
          </w:tcPr>
          <w:p>
            <w:pPr>
              <w:spacing w:after="20"/>
            </w:pPr>
            <w:r>
              <w:rPr>
                <w:sz w:val="14"/>
              </w:rPr>
              <w:t>Academic SME</w:t>
            </w:r>
          </w:p>
        </w:tc>
        <w:tc>
          <w:tcPr>
            <w:tcW w:type="dxa" w:w="2520"/>
          </w:tcPr>
          <w:p>
            <w:pPr>
              <w:spacing w:after="20"/>
            </w:pPr>
            <w:r>
              <w:rPr>
                <w:sz w:val="14"/>
              </w:rPr>
              <w:t>ACD-001..005</w:t>
            </w:r>
          </w:p>
        </w:tc>
      </w:tr>
      <w:tr>
        <w:tc>
          <w:tcPr>
            <w:tcW w:type="dxa" w:w="2520"/>
          </w:tcPr>
          <w:p>
            <w:pPr>
              <w:spacing w:after="20"/>
            </w:pPr>
            <w:r>
              <w:rPr>
                <w:sz w:val="14"/>
              </w:rPr>
              <w:t>D3-CL-06</w:t>
            </w:r>
          </w:p>
        </w:tc>
        <w:tc>
          <w:tcPr>
            <w:tcW w:type="dxa" w:w="2520"/>
          </w:tcPr>
          <w:p>
            <w:pPr>
              <w:spacing w:after="20"/>
            </w:pPr>
            <w:r>
              <w:rPr>
                <w:sz w:val="14"/>
              </w:rPr>
              <w:t>Prerequisite equivalence, overrides and cycle prevention</w:t>
            </w:r>
          </w:p>
        </w:tc>
        <w:tc>
          <w:tcPr>
            <w:tcW w:type="dxa" w:w="2520"/>
          </w:tcPr>
          <w:p>
            <w:pPr>
              <w:spacing w:after="20"/>
            </w:pPr>
            <w:r>
              <w:rPr>
                <w:sz w:val="14"/>
              </w:rPr>
              <w:t>Academic SME</w:t>
            </w:r>
          </w:p>
        </w:tc>
        <w:tc>
          <w:tcPr>
            <w:tcW w:type="dxa" w:w="2520"/>
          </w:tcPr>
          <w:p>
            <w:pPr>
              <w:spacing w:after="20"/>
            </w:pPr>
            <w:r>
              <w:rPr>
                <w:sz w:val="14"/>
              </w:rPr>
              <w:t>ACD-006</w:t>
            </w:r>
          </w:p>
        </w:tc>
      </w:tr>
      <w:tr>
        <w:tc>
          <w:tcPr>
            <w:tcW w:type="dxa" w:w="2520"/>
          </w:tcPr>
          <w:p>
            <w:pPr>
              <w:spacing w:after="20"/>
            </w:pPr>
            <w:r>
              <w:rPr>
                <w:sz w:val="14"/>
              </w:rPr>
              <w:t>D3-CL-07</w:t>
            </w:r>
          </w:p>
        </w:tc>
        <w:tc>
          <w:tcPr>
            <w:tcW w:type="dxa" w:w="2520"/>
          </w:tcPr>
          <w:p>
            <w:pPr>
              <w:spacing w:after="20"/>
            </w:pPr>
            <w:r>
              <w:rPr>
                <w:sz w:val="14"/>
              </w:rPr>
              <w:t>Content approver authority, publish/rollback, version immutability</w:t>
            </w:r>
          </w:p>
        </w:tc>
        <w:tc>
          <w:tcPr>
            <w:tcW w:type="dxa" w:w="2520"/>
          </w:tcPr>
          <w:p>
            <w:pPr>
              <w:spacing w:after="20"/>
            </w:pPr>
            <w:r>
              <w:rPr>
                <w:sz w:val="14"/>
              </w:rPr>
              <w:t>Content SME</w:t>
            </w:r>
          </w:p>
        </w:tc>
        <w:tc>
          <w:tcPr>
            <w:tcW w:type="dxa" w:w="2520"/>
          </w:tcPr>
          <w:p>
            <w:pPr>
              <w:spacing w:after="20"/>
            </w:pPr>
            <w:r>
              <w:rPr>
                <w:sz w:val="14"/>
              </w:rPr>
              <w:t>ACD-007..009</w:t>
            </w:r>
          </w:p>
        </w:tc>
      </w:tr>
      <w:tr>
        <w:tc>
          <w:tcPr>
            <w:tcW w:type="dxa" w:w="2520"/>
          </w:tcPr>
          <w:p>
            <w:pPr>
              <w:spacing w:after="20"/>
            </w:pPr>
            <w:r>
              <w:rPr>
                <w:sz w:val="14"/>
              </w:rPr>
              <w:t>D3-CL-08</w:t>
            </w:r>
          </w:p>
        </w:tc>
        <w:tc>
          <w:tcPr>
            <w:tcW w:type="dxa" w:w="2520"/>
          </w:tcPr>
          <w:p>
            <w:pPr>
              <w:spacing w:after="20"/>
            </w:pPr>
            <w:r>
              <w:rPr>
                <w:sz w:val="14"/>
              </w:rPr>
              <w:t>Live class attendance source, scheduling conflict rules, recording retention</w:t>
            </w:r>
          </w:p>
        </w:tc>
        <w:tc>
          <w:tcPr>
            <w:tcW w:type="dxa" w:w="2520"/>
          </w:tcPr>
          <w:p>
            <w:pPr>
              <w:spacing w:after="20"/>
            </w:pPr>
            <w:r>
              <w:rPr>
                <w:sz w:val="14"/>
              </w:rPr>
              <w:t>Academic/IT SME</w:t>
            </w:r>
          </w:p>
        </w:tc>
        <w:tc>
          <w:tcPr>
            <w:tcW w:type="dxa" w:w="2520"/>
          </w:tcPr>
          <w:p>
            <w:pPr>
              <w:spacing w:after="20"/>
            </w:pPr>
            <w:r>
              <w:rPr>
                <w:sz w:val="14"/>
              </w:rPr>
              <w:t>ACD-010..019, ASM-001</w:t>
            </w:r>
          </w:p>
        </w:tc>
      </w:tr>
      <w:tr>
        <w:tc>
          <w:tcPr>
            <w:tcW w:type="dxa" w:w="2520"/>
          </w:tcPr>
          <w:p>
            <w:pPr>
              <w:spacing w:after="20"/>
            </w:pPr>
            <w:r>
              <w:rPr>
                <w:sz w:val="14"/>
              </w:rPr>
              <w:t>D3-CL-09</w:t>
            </w:r>
          </w:p>
        </w:tc>
        <w:tc>
          <w:tcPr>
            <w:tcW w:type="dxa" w:w="2520"/>
          </w:tcPr>
          <w:p>
            <w:pPr>
              <w:spacing w:after="20"/>
            </w:pPr>
            <w:r>
              <w:rPr>
                <w:sz w:val="14"/>
              </w:rPr>
              <w:t>Question/SME reviewer authorization, AI data-sharing and audit expectations</w:t>
            </w:r>
          </w:p>
        </w:tc>
        <w:tc>
          <w:tcPr>
            <w:tcW w:type="dxa" w:w="2520"/>
          </w:tcPr>
          <w:p>
            <w:pPr>
              <w:spacing w:after="20"/>
            </w:pPr>
            <w:r>
              <w:rPr>
                <w:sz w:val="14"/>
              </w:rPr>
              <w:t>Assessment SME</w:t>
            </w:r>
          </w:p>
        </w:tc>
        <w:tc>
          <w:tcPr>
            <w:tcW w:type="dxa" w:w="2520"/>
          </w:tcPr>
          <w:p>
            <w:pPr>
              <w:spacing w:after="20"/>
            </w:pPr>
            <w:r>
              <w:rPr>
                <w:sz w:val="14"/>
              </w:rPr>
              <w:t>ASM-005..007</w:t>
            </w:r>
          </w:p>
        </w:tc>
      </w:tr>
      <w:tr>
        <w:tc>
          <w:tcPr>
            <w:tcW w:type="dxa" w:w="2520"/>
          </w:tcPr>
          <w:p>
            <w:pPr>
              <w:spacing w:after="20"/>
            </w:pPr>
            <w:r>
              <w:rPr>
                <w:sz w:val="14"/>
              </w:rPr>
              <w:t>D3-CL-10</w:t>
            </w:r>
          </w:p>
        </w:tc>
        <w:tc>
          <w:tcPr>
            <w:tcW w:type="dxa" w:w="2520"/>
          </w:tcPr>
          <w:p>
            <w:pPr>
              <w:spacing w:after="20"/>
            </w:pPr>
            <w:r>
              <w:rPr>
                <w:sz w:val="14"/>
              </w:rPr>
              <w:t>Assessment attempt, retake, grading, correction and result-release rules</w:t>
            </w:r>
          </w:p>
        </w:tc>
        <w:tc>
          <w:tcPr>
            <w:tcW w:type="dxa" w:w="2520"/>
          </w:tcPr>
          <w:p>
            <w:pPr>
              <w:spacing w:after="20"/>
            </w:pPr>
            <w:r>
              <w:rPr>
                <w:sz w:val="14"/>
              </w:rPr>
              <w:t>Assessment SME</w:t>
            </w:r>
          </w:p>
        </w:tc>
        <w:tc>
          <w:tcPr>
            <w:tcW w:type="dxa" w:w="2520"/>
          </w:tcPr>
          <w:p>
            <w:pPr>
              <w:spacing w:after="20"/>
            </w:pPr>
            <w:r>
              <w:rPr>
                <w:sz w:val="14"/>
              </w:rPr>
              <w:t>ASM-008..013</w:t>
            </w:r>
          </w:p>
        </w:tc>
      </w:tr>
      <w:tr>
        <w:tc>
          <w:tcPr>
            <w:tcW w:type="dxa" w:w="2520"/>
          </w:tcPr>
          <w:p>
            <w:pPr>
              <w:spacing w:after="20"/>
            </w:pPr>
            <w:r>
              <w:rPr>
                <w:sz w:val="14"/>
              </w:rPr>
              <w:t>D3-CL-11</w:t>
            </w:r>
          </w:p>
        </w:tc>
        <w:tc>
          <w:tcPr>
            <w:tcW w:type="dxa" w:w="2520"/>
          </w:tcPr>
          <w:p>
            <w:pPr>
              <w:spacing w:after="20"/>
            </w:pPr>
            <w:r>
              <w:rPr>
                <w:sz w:val="14"/>
              </w:rPr>
              <w:t>Lifetime record meaning, correction, archival and migration</w:t>
            </w:r>
          </w:p>
        </w:tc>
        <w:tc>
          <w:tcPr>
            <w:tcW w:type="dxa" w:w="2520"/>
          </w:tcPr>
          <w:p>
            <w:pPr>
              <w:spacing w:after="20"/>
            </w:pPr>
            <w:r>
              <w:rPr>
                <w:sz w:val="14"/>
              </w:rPr>
              <w:t>Registrar</w:t>
            </w:r>
          </w:p>
        </w:tc>
        <w:tc>
          <w:tcPr>
            <w:tcW w:type="dxa" w:w="2520"/>
          </w:tcPr>
          <w:p>
            <w:pPr>
              <w:spacing w:after="20"/>
            </w:pPr>
            <w:r>
              <w:rPr>
                <w:sz w:val="14"/>
              </w:rPr>
              <w:t>ASM-017</w:t>
            </w:r>
          </w:p>
        </w:tc>
      </w:tr>
      <w:tr>
        <w:tc>
          <w:tcPr>
            <w:tcW w:type="dxa" w:w="2520"/>
          </w:tcPr>
          <w:p>
            <w:pPr>
              <w:spacing w:after="20"/>
            </w:pPr>
            <w:r>
              <w:rPr>
                <w:sz w:val="14"/>
              </w:rPr>
              <w:t>D3-CL-12</w:t>
            </w:r>
          </w:p>
        </w:tc>
        <w:tc>
          <w:tcPr>
            <w:tcW w:type="dxa" w:w="2520"/>
          </w:tcPr>
          <w:p>
            <w:pPr>
              <w:spacing w:after="20"/>
            </w:pPr>
            <w:r>
              <w:rPr>
                <w:sz w:val="14"/>
              </w:rPr>
              <w:t>Certificate revocation/reissue, QR public data fields, signing authority</w:t>
            </w:r>
          </w:p>
        </w:tc>
        <w:tc>
          <w:tcPr>
            <w:tcW w:type="dxa" w:w="2520"/>
          </w:tcPr>
          <w:p>
            <w:pPr>
              <w:spacing w:after="20"/>
            </w:pPr>
            <w:r>
              <w:rPr>
                <w:sz w:val="14"/>
              </w:rPr>
              <w:t>Registrar</w:t>
            </w:r>
          </w:p>
        </w:tc>
        <w:tc>
          <w:tcPr>
            <w:tcW w:type="dxa" w:w="2520"/>
          </w:tcPr>
          <w:p>
            <w:pPr>
              <w:spacing w:after="20"/>
            </w:pPr>
            <w:r>
              <w:rPr>
                <w:sz w:val="14"/>
              </w:rPr>
              <w:t>ASM-018..023</w:t>
            </w:r>
          </w:p>
        </w:tc>
      </w:tr>
      <w:tr>
        <w:tc>
          <w:tcPr>
            <w:tcW w:type="dxa" w:w="2520"/>
          </w:tcPr>
          <w:p>
            <w:pPr>
              <w:spacing w:after="20"/>
            </w:pPr>
            <w:r>
              <w:rPr>
                <w:sz w:val="14"/>
              </w:rPr>
              <w:t>D3-CL-13</w:t>
            </w:r>
          </w:p>
        </w:tc>
        <w:tc>
          <w:tcPr>
            <w:tcW w:type="dxa" w:w="2520"/>
          </w:tcPr>
          <w:p>
            <w:pPr>
              <w:spacing w:after="20"/>
            </w:pPr>
            <w:r>
              <w:rPr>
                <w:sz w:val="14"/>
              </w:rPr>
              <w:t>Report metric definitions, MPR format, SLA calculations and data freshness</w:t>
            </w:r>
          </w:p>
        </w:tc>
        <w:tc>
          <w:tcPr>
            <w:tcW w:type="dxa" w:w="2520"/>
          </w:tcPr>
          <w:p>
            <w:pPr>
              <w:spacing w:after="20"/>
            </w:pPr>
            <w:r>
              <w:rPr>
                <w:sz w:val="14"/>
              </w:rPr>
              <w:t>University reporting owner</w:t>
            </w:r>
          </w:p>
        </w:tc>
        <w:tc>
          <w:tcPr>
            <w:tcW w:type="dxa" w:w="2520"/>
          </w:tcPr>
          <w:p>
            <w:pPr>
              <w:spacing w:after="20"/>
            </w:pPr>
            <w:r>
              <w:rPr>
                <w:sz w:val="14"/>
              </w:rPr>
              <w:t>COM-001..009</w:t>
            </w:r>
          </w:p>
        </w:tc>
      </w:tr>
      <w:tr>
        <w:tc>
          <w:tcPr>
            <w:tcW w:type="dxa" w:w="2520"/>
          </w:tcPr>
          <w:p>
            <w:pPr>
              <w:spacing w:after="20"/>
            </w:pPr>
            <w:r>
              <w:rPr>
                <w:sz w:val="14"/>
              </w:rPr>
              <w:t>D3-CL-14</w:t>
            </w:r>
          </w:p>
        </w:tc>
        <w:tc>
          <w:tcPr>
            <w:tcW w:type="dxa" w:w="2520"/>
          </w:tcPr>
          <w:p>
            <w:pPr>
              <w:spacing w:after="20"/>
            </w:pPr>
            <w:r>
              <w:rPr>
                <w:sz w:val="14"/>
              </w:rPr>
              <w:t>Notification preference precedence, provider retries, retention and consent</w:t>
            </w:r>
          </w:p>
        </w:tc>
        <w:tc>
          <w:tcPr>
            <w:tcW w:type="dxa" w:w="2520"/>
          </w:tcPr>
          <w:p>
            <w:pPr>
              <w:spacing w:after="20"/>
            </w:pPr>
            <w:r>
              <w:rPr>
                <w:sz w:val="14"/>
              </w:rPr>
              <w:t>University communications owner</w:t>
            </w:r>
          </w:p>
        </w:tc>
        <w:tc>
          <w:tcPr>
            <w:tcW w:type="dxa" w:w="2520"/>
          </w:tcPr>
          <w:p>
            <w:pPr>
              <w:spacing w:after="20"/>
            </w:pPr>
            <w:r>
              <w:rPr>
                <w:sz w:val="14"/>
              </w:rPr>
              <w:t>COM-014..021</w:t>
            </w:r>
          </w:p>
        </w:tc>
      </w:tr>
      <w:tr>
        <w:tc>
          <w:tcPr>
            <w:tcW w:type="dxa" w:w="2520"/>
          </w:tcPr>
          <w:p>
            <w:pPr>
              <w:spacing w:after="20"/>
            </w:pPr>
            <w:r>
              <w:rPr>
                <w:sz w:val="14"/>
              </w:rPr>
              <w:t>D3-CL-15</w:t>
            </w:r>
          </w:p>
        </w:tc>
        <w:tc>
          <w:tcPr>
            <w:tcW w:type="dxa" w:w="2520"/>
          </w:tcPr>
          <w:p>
            <w:pPr>
              <w:spacing w:after="20"/>
            </w:pPr>
            <w:r>
              <w:rPr>
                <w:sz w:val="14"/>
              </w:rPr>
              <w:t>Mobile offline scope, cache expiry, synchronization and conflict resolution</w:t>
            </w:r>
          </w:p>
        </w:tc>
        <w:tc>
          <w:tcPr>
            <w:tcW w:type="dxa" w:w="2520"/>
          </w:tcPr>
          <w:p>
            <w:pPr>
              <w:spacing w:after="20"/>
            </w:pPr>
            <w:r>
              <w:rPr>
                <w:sz w:val="14"/>
              </w:rPr>
              <w:t>Mobile/product owner</w:t>
            </w:r>
          </w:p>
        </w:tc>
        <w:tc>
          <w:tcPr>
            <w:tcW w:type="dxa" w:w="2520"/>
          </w:tcPr>
          <w:p>
            <w:pPr>
              <w:spacing w:after="20"/>
            </w:pPr>
            <w:r>
              <w:rPr>
                <w:sz w:val="14"/>
              </w:rPr>
              <w:t>MOB-014..028</w:t>
            </w:r>
          </w:p>
        </w:tc>
      </w:tr>
      <w:tr>
        <w:tc>
          <w:tcPr>
            <w:tcW w:type="dxa" w:w="2520"/>
          </w:tcPr>
          <w:p>
            <w:pPr>
              <w:spacing w:after="20"/>
            </w:pPr>
            <w:r>
              <w:rPr>
                <w:sz w:val="14"/>
              </w:rPr>
              <w:t>D3-CL-16</w:t>
            </w:r>
          </w:p>
        </w:tc>
        <w:tc>
          <w:tcPr>
            <w:tcW w:type="dxa" w:w="2520"/>
          </w:tcPr>
          <w:p>
            <w:pPr>
              <w:spacing w:after="20"/>
            </w:pPr>
            <w:r>
              <w:rPr>
                <w:sz w:val="14"/>
              </w:rPr>
              <w:t>Concurrency workload definition, API latency targets, content volumes</w:t>
            </w:r>
          </w:p>
        </w:tc>
        <w:tc>
          <w:tcPr>
            <w:tcW w:type="dxa" w:w="2520"/>
          </w:tcPr>
          <w:p>
            <w:pPr>
              <w:spacing w:after="20"/>
            </w:pPr>
            <w:r>
              <w:rPr>
                <w:sz w:val="14"/>
              </w:rPr>
              <w:t>University technical owner</w:t>
            </w:r>
          </w:p>
        </w:tc>
        <w:tc>
          <w:tcPr>
            <w:tcW w:type="dxa" w:w="2520"/>
          </w:tcPr>
          <w:p>
            <w:pPr>
              <w:spacing w:after="20"/>
            </w:pPr>
            <w:r>
              <w:rPr>
                <w:sz w:val="14"/>
              </w:rPr>
              <w:t>NFR-001..002</w:t>
            </w:r>
          </w:p>
        </w:tc>
      </w:tr>
      <w:tr>
        <w:tc>
          <w:tcPr>
            <w:tcW w:type="dxa" w:w="2520"/>
          </w:tcPr>
          <w:p>
            <w:pPr>
              <w:spacing w:after="20"/>
            </w:pPr>
            <w:r>
              <w:rPr>
                <w:sz w:val="14"/>
              </w:rPr>
              <w:t>D3-CL-17</w:t>
            </w:r>
          </w:p>
        </w:tc>
        <w:tc>
          <w:tcPr>
            <w:tcW w:type="dxa" w:w="2520"/>
          </w:tcPr>
          <w:p>
            <w:pPr>
              <w:spacing w:after="20"/>
            </w:pPr>
            <w:r>
              <w:rPr>
                <w:sz w:val="14"/>
              </w:rPr>
              <w:t>Provider contracts/sandbox credentials for SSO, live class, DigiLocker, messaging, DRM</w:t>
            </w:r>
          </w:p>
        </w:tc>
        <w:tc>
          <w:tcPr>
            <w:tcW w:type="dxa" w:w="2520"/>
          </w:tcPr>
          <w:p>
            <w:pPr>
              <w:spacing w:after="20"/>
            </w:pPr>
            <w:r>
              <w:rPr>
                <w:sz w:val="14"/>
              </w:rPr>
              <w:t>Integration owners</w:t>
            </w:r>
          </w:p>
        </w:tc>
        <w:tc>
          <w:tcPr>
            <w:tcW w:type="dxa" w:w="2520"/>
          </w:tcPr>
          <w:p>
            <w:pPr>
              <w:spacing w:after="20"/>
            </w:pPr>
            <w:r>
              <w:rPr>
                <w:sz w:val="14"/>
              </w:rPr>
              <w:t>IAM-015, ACD-010, ASM-023, COM-018</w:t>
            </w:r>
          </w:p>
        </w:tc>
      </w:tr>
      <w:tr>
        <w:tc>
          <w:tcPr>
            <w:tcW w:type="dxa" w:w="2520"/>
          </w:tcPr>
          <w:p>
            <w:pPr>
              <w:spacing w:after="20"/>
            </w:pPr>
            <w:r>
              <w:rPr>
                <w:sz w:val="14"/>
              </w:rPr>
              <w:t>D3-CL-18</w:t>
            </w:r>
          </w:p>
        </w:tc>
        <w:tc>
          <w:tcPr>
            <w:tcW w:type="dxa" w:w="2520"/>
          </w:tcPr>
          <w:p>
            <w:pPr>
              <w:spacing w:after="20"/>
            </w:pPr>
            <w:r>
              <w:rPr>
                <w:sz w:val="14"/>
              </w:rPr>
              <w:t>Data classification, retention schedule (except explicit obligations), deletion and legal holds</w:t>
            </w:r>
          </w:p>
        </w:tc>
        <w:tc>
          <w:tcPr>
            <w:tcW w:type="dxa" w:w="2520"/>
          </w:tcPr>
          <w:p>
            <w:pPr>
              <w:spacing w:after="20"/>
            </w:pPr>
            <w:r>
              <w:rPr>
                <w:sz w:val="14"/>
              </w:rPr>
              <w:t>University security/legal</w:t>
            </w:r>
          </w:p>
        </w:tc>
        <w:tc>
          <w:tcPr>
            <w:tcW w:type="dxa" w:w="2520"/>
          </w:tcPr>
          <w:p>
            <w:pPr>
              <w:spacing w:after="20"/>
            </w:pPr>
            <w:r>
              <w:rPr>
                <w:sz w:val="14"/>
              </w:rPr>
              <w:t>SEC-015..016, ASM-017</w:t>
            </w:r>
          </w:p>
        </w:tc>
      </w:tr>
      <w:tr>
        <w:tc>
          <w:tcPr>
            <w:tcW w:type="dxa" w:w="2520"/>
          </w:tcPr>
          <w:p>
            <w:pPr>
              <w:spacing w:after="20"/>
            </w:pPr>
            <w:r>
              <w:rPr>
                <w:sz w:val="14"/>
              </w:rPr>
              <w:t>D3-CL-19</w:t>
            </w:r>
          </w:p>
        </w:tc>
        <w:tc>
          <w:tcPr>
            <w:tcW w:type="dxa" w:w="2520"/>
          </w:tcPr>
          <w:p>
            <w:pPr>
              <w:spacing w:after="20"/>
            </w:pPr>
            <w:r>
              <w:rPr>
                <w:sz w:val="14"/>
              </w:rPr>
              <w:t>Payment scope: title/service label exists, but no defined payment business workflow</w:t>
            </w:r>
          </w:p>
        </w:tc>
        <w:tc>
          <w:tcPr>
            <w:tcW w:type="dxa" w:w="2520"/>
          </w:tcPr>
          <w:p>
            <w:pPr>
              <w:spacing w:after="20"/>
            </w:pPr>
            <w:r>
              <w:rPr>
                <w:sz w:val="14"/>
              </w:rPr>
              <w:t>University business owner</w:t>
            </w:r>
          </w:p>
        </w:tc>
        <w:tc>
          <w:tcPr>
            <w:tcW w:type="dxa" w:w="2520"/>
          </w:tcPr>
          <w:p>
            <w:pPr>
              <w:spacing w:after="20"/>
            </w:pPr>
            <w:r>
              <w:rPr>
                <w:sz w:val="14"/>
              </w:rPr>
              <w:t>§6 heading, §8.3</w:t>
            </w:r>
          </w:p>
        </w:tc>
      </w:tr>
      <w:tr>
        <w:tc>
          <w:tcPr>
            <w:tcW w:type="dxa" w:w="2520"/>
          </w:tcPr>
          <w:p>
            <w:pPr>
              <w:spacing w:after="20"/>
            </w:pPr>
            <w:r>
              <w:rPr>
                <w:sz w:val="14"/>
              </w:rPr>
              <w:t>D3-CL-20</w:t>
            </w:r>
          </w:p>
        </w:tc>
        <w:tc>
          <w:tcPr>
            <w:tcW w:type="dxa" w:w="2520"/>
          </w:tcPr>
          <w:p>
            <w:pPr>
              <w:spacing w:after="20"/>
            </w:pPr>
            <w:r>
              <w:rPr>
                <w:sz w:val="14"/>
              </w:rPr>
              <w:t>Formal approval of 120-working-day plan against source 12-week roadmap</w:t>
            </w:r>
          </w:p>
        </w:tc>
        <w:tc>
          <w:tcPr>
            <w:tcW w:type="dxa" w:w="2520"/>
          </w:tcPr>
          <w:p>
            <w:pPr>
              <w:spacing w:after="20"/>
            </w:pPr>
            <w:r>
              <w:rPr>
                <w:sz w:val="14"/>
              </w:rPr>
              <w:t>University sponsor / PMO</w:t>
            </w:r>
          </w:p>
        </w:tc>
        <w:tc>
          <w:tcPr>
            <w:tcW w:type="dxa" w:w="2520"/>
          </w:tcPr>
          <w:p>
            <w:pPr>
              <w:spacing w:after="20"/>
            </w:pPr>
            <w:r>
              <w:rPr>
                <w:sz w:val="14"/>
              </w:rPr>
              <w:t>§10</w:t>
            </w:r>
          </w:p>
        </w:tc>
      </w:tr>
      <w:tr>
        <w:tc>
          <w:tcPr>
            <w:tcW w:type="dxa" w:w="2520"/>
          </w:tcPr>
          <w:p>
            <w:pPr>
              <w:spacing w:after="20"/>
            </w:pPr>
            <w:r>
              <w:rPr>
                <w:sz w:val="14"/>
              </w:rPr>
              <w:t>D3-CL-21</w:t>
            </w:r>
          </w:p>
        </w:tc>
        <w:tc>
          <w:tcPr>
            <w:tcW w:type="dxa" w:w="2520"/>
          </w:tcPr>
          <w:p>
            <w:pPr>
              <w:spacing w:after="20"/>
            </w:pPr>
            <w:r>
              <w:rPr>
                <w:sz w:val="14"/>
              </w:rPr>
              <w:t>Who approves ERD, schema changes and organization-scoped data access</w:t>
            </w:r>
          </w:p>
        </w:tc>
        <w:tc>
          <w:tcPr>
            <w:tcW w:type="dxa" w:w="2520"/>
          </w:tcPr>
          <w:p>
            <w:pPr>
              <w:spacing w:after="20"/>
            </w:pPr>
            <w:r>
              <w:rPr>
                <w:sz w:val="14"/>
              </w:rPr>
              <w:t>University sponsor / architecture board</w:t>
            </w:r>
          </w:p>
        </w:tc>
        <w:tc>
          <w:tcPr>
            <w:tcW w:type="dxa" w:w="2520"/>
          </w:tcPr>
          <w:p>
            <w:pPr>
              <w:spacing w:after="20"/>
            </w:pPr>
            <w:r>
              <w:rPr>
                <w:sz w:val="14"/>
              </w:rPr>
              <w:t>IAM-016..017</w:t>
            </w:r>
          </w:p>
        </w:tc>
      </w:tr>
      <w:tr>
        <w:tc>
          <w:tcPr>
            <w:tcW w:type="dxa" w:w="2520"/>
          </w:tcPr>
          <w:p>
            <w:pPr>
              <w:spacing w:after="20"/>
            </w:pPr>
            <w:r>
              <w:rPr>
                <w:sz w:val="14"/>
              </w:rPr>
              <w:t>D3-CL-22</w:t>
            </w:r>
          </w:p>
        </w:tc>
        <w:tc>
          <w:tcPr>
            <w:tcW w:type="dxa" w:w="2520"/>
          </w:tcPr>
          <w:p>
            <w:pPr>
              <w:spacing w:after="20"/>
            </w:pPr>
            <w:r>
              <w:rPr>
                <w:sz w:val="14"/>
              </w:rPr>
              <w:t>Role-specific data access and reporting for Registered Pharmacist</w:t>
            </w:r>
          </w:p>
        </w:tc>
        <w:tc>
          <w:tcPr>
            <w:tcW w:type="dxa" w:w="2520"/>
          </w:tcPr>
          <w:p>
            <w:pPr>
              <w:spacing w:after="20"/>
            </w:pPr>
            <w:r>
              <w:rPr>
                <w:sz w:val="14"/>
              </w:rPr>
              <w:t>University business owner</w:t>
            </w:r>
          </w:p>
        </w:tc>
        <w:tc>
          <w:tcPr>
            <w:tcW w:type="dxa" w:w="2520"/>
          </w:tcPr>
          <w:p>
            <w:pPr>
              <w:spacing w:after="20"/>
            </w:pPr>
            <w:r>
              <w:rPr>
                <w:sz w:val="14"/>
              </w:rPr>
              <w:t>IAM-006..008, COM-001..005</w:t>
            </w:r>
          </w:p>
        </w:tc>
      </w:tr>
    </w:tbl>
    <w:p>
      <w:r>
        <w:t>All D3-CL items are OPEN. They are additional questions, not replacements for Day 2’s existing 16 clarification IDs. Deduplicate and cross-reference before issuing a consolidated University query list.</w:t>
      </w:r>
    </w:p>
    <w:p>
      <w:pPr>
        <w:pStyle w:val="Heading1"/>
      </w:pPr>
      <w:r>
        <w:t>12. Data design quality gates and verification evidence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pPr>
              <w:spacing w:after="20"/>
            </w:pPr>
            <w:r>
              <w:rPr>
                <w:sz w:val="14"/>
              </w:rPr>
              <w:t>Gate / test</w:t>
            </w:r>
          </w:p>
        </w:tc>
        <w:tc>
          <w:tcPr>
            <w:tcW w:type="dxa" w:w="3360"/>
          </w:tcPr>
          <w:p>
            <w:pPr>
              <w:spacing w:after="20"/>
            </w:pPr>
            <w:r>
              <w:rPr>
                <w:sz w:val="14"/>
              </w:rPr>
              <w:t>Expected evidence</w:t>
            </w:r>
          </w:p>
        </w:tc>
        <w:tc>
          <w:tcPr>
            <w:tcW w:type="dxa" w:w="3360"/>
          </w:tcPr>
          <w:p>
            <w:pPr>
              <w:spacing w:after="20"/>
            </w:pPr>
            <w:r>
              <w:rPr>
                <w:sz w:val="14"/>
              </w:rPr>
              <w:t>Status</w:t>
            </w:r>
          </w:p>
        </w:tc>
      </w:tr>
      <w:tr>
        <w:tc>
          <w:tcPr>
            <w:tcW w:type="dxa" w:w="3360"/>
          </w:tcPr>
          <w:p>
            <w:pPr>
              <w:spacing w:after="20"/>
            </w:pPr>
            <w:r>
              <w:rPr>
                <w:sz w:val="14"/>
              </w:rPr>
              <w:t>Traceability</w:t>
            </w:r>
          </w:p>
        </w:tc>
        <w:tc>
          <w:tcPr>
            <w:tcW w:type="dxa" w:w="3360"/>
          </w:tcPr>
          <w:p>
            <w:pPr>
              <w:spacing w:after="20"/>
            </w:pPr>
            <w:r>
              <w:rPr>
                <w:sz w:val="14"/>
              </w:rPr>
              <w:t>Every candidate object links to RTM IDs; no unsupported new functionality</w:t>
            </w:r>
          </w:p>
        </w:tc>
        <w:tc>
          <w:tcPr>
            <w:tcW w:type="dxa" w:w="3360"/>
          </w:tcPr>
          <w:p>
            <w:pPr>
              <w:spacing w:after="20"/>
            </w:pPr>
            <w:r>
              <w:rPr>
                <w:sz w:val="14"/>
              </w:rPr>
              <w:t>Draft</w:t>
            </w:r>
          </w:p>
        </w:tc>
      </w:tr>
      <w:tr>
        <w:tc>
          <w:tcPr>
            <w:tcW w:type="dxa" w:w="3360"/>
          </w:tcPr>
          <w:p>
            <w:pPr>
              <w:spacing w:after="20"/>
            </w:pPr>
            <w:r>
              <w:rPr>
                <w:sz w:val="14"/>
              </w:rPr>
              <w:t>Organization model</w:t>
            </w:r>
          </w:p>
        </w:tc>
        <w:tc>
          <w:tcPr>
            <w:tcW w:type="dxa" w:w="3360"/>
          </w:tcPr>
          <w:p>
            <w:pPr>
              <w:spacing w:after="20"/>
            </w:pPr>
            <w:r>
              <w:rPr>
                <w:sz w:val="14"/>
              </w:rPr>
              <w:t>Approved cardinality and user–role–tenant matrix</w:t>
            </w:r>
          </w:p>
        </w:tc>
        <w:tc>
          <w:tcPr>
            <w:tcW w:type="dxa" w:w="3360"/>
          </w:tcPr>
          <w:p>
            <w:pPr>
              <w:spacing w:after="20"/>
            </w:pPr>
            <w:r>
              <w:rPr>
                <w:sz w:val="14"/>
              </w:rPr>
              <w:t>Blocked by clarifications</w:t>
            </w:r>
          </w:p>
        </w:tc>
      </w:tr>
      <w:tr>
        <w:tc>
          <w:tcPr>
            <w:tcW w:type="dxa" w:w="3360"/>
          </w:tcPr>
          <w:p>
            <w:pPr>
              <w:spacing w:after="20"/>
            </w:pPr>
            <w:r>
              <w:rPr>
                <w:sz w:val="14"/>
              </w:rPr>
              <w:t>Logical ERD</w:t>
            </w:r>
          </w:p>
        </w:tc>
        <w:tc>
          <w:tcPr>
            <w:tcW w:type="dxa" w:w="3360"/>
          </w:tcPr>
          <w:p>
            <w:pPr>
              <w:spacing w:after="20"/>
            </w:pPr>
            <w:r>
              <w:rPr>
                <w:sz w:val="14"/>
              </w:rPr>
              <w:t>Entities, relationships, optionality and constraints reviewed by SMEs</w:t>
            </w:r>
          </w:p>
        </w:tc>
        <w:tc>
          <w:tcPr>
            <w:tcW w:type="dxa" w:w="3360"/>
          </w:tcPr>
          <w:p>
            <w:pPr>
              <w:spacing w:after="20"/>
            </w:pPr>
            <w:r>
              <w:rPr>
                <w:sz w:val="14"/>
              </w:rPr>
              <w:t>Draft</w:t>
            </w:r>
          </w:p>
        </w:tc>
      </w:tr>
      <w:tr>
        <w:tc>
          <w:tcPr>
            <w:tcW w:type="dxa" w:w="3360"/>
          </w:tcPr>
          <w:p>
            <w:pPr>
              <w:spacing w:after="20"/>
            </w:pPr>
            <w:r>
              <w:rPr>
                <w:sz w:val="14"/>
              </w:rPr>
              <w:t>Privacy/security</w:t>
            </w:r>
          </w:p>
        </w:tc>
        <w:tc>
          <w:tcPr>
            <w:tcW w:type="dxa" w:w="3360"/>
          </w:tcPr>
          <w:p>
            <w:pPr>
              <w:spacing w:after="20"/>
            </w:pPr>
            <w:r>
              <w:rPr>
                <w:sz w:val="14"/>
              </w:rPr>
              <w:t>Data classification, access and India residency reviewed</w:t>
            </w:r>
          </w:p>
        </w:tc>
        <w:tc>
          <w:tcPr>
            <w:tcW w:type="dxa" w:w="3360"/>
          </w:tcPr>
          <w:p>
            <w:pPr>
              <w:spacing w:after="20"/>
            </w:pPr>
            <w:r>
              <w:rPr>
                <w:sz w:val="14"/>
              </w:rPr>
              <w:t>Pending</w:t>
            </w:r>
          </w:p>
        </w:tc>
      </w:tr>
      <w:tr>
        <w:tc>
          <w:tcPr>
            <w:tcW w:type="dxa" w:w="3360"/>
          </w:tcPr>
          <w:p>
            <w:pPr>
              <w:spacing w:after="20"/>
            </w:pPr>
            <w:r>
              <w:rPr>
                <w:sz w:val="14"/>
              </w:rPr>
              <w:t>Audit</w:t>
            </w:r>
          </w:p>
        </w:tc>
        <w:tc>
          <w:tcPr>
            <w:tcW w:type="dxa" w:w="3360"/>
          </w:tcPr>
          <w:p>
            <w:pPr>
              <w:spacing w:after="20"/>
            </w:pPr>
            <w:r>
              <w:rPr>
                <w:sz w:val="14"/>
              </w:rPr>
              <w:t>5-year tamper-evident evidence design reviewed</w:t>
            </w:r>
          </w:p>
        </w:tc>
        <w:tc>
          <w:tcPr>
            <w:tcW w:type="dxa" w:w="3360"/>
          </w:tcPr>
          <w:p>
            <w:pPr>
              <w:spacing w:after="20"/>
            </w:pPr>
            <w:r>
              <w:rPr>
                <w:sz w:val="14"/>
              </w:rPr>
              <w:t>Pending</w:t>
            </w:r>
          </w:p>
        </w:tc>
      </w:tr>
      <w:tr>
        <w:tc>
          <w:tcPr>
            <w:tcW w:type="dxa" w:w="3360"/>
          </w:tcPr>
          <w:p>
            <w:pPr>
              <w:spacing w:after="20"/>
            </w:pPr>
            <w:r>
              <w:rPr>
                <w:sz w:val="14"/>
              </w:rPr>
              <w:t>Performance</w:t>
            </w:r>
          </w:p>
        </w:tc>
        <w:tc>
          <w:tcPr>
            <w:tcW w:type="dxa" w:w="3360"/>
          </w:tcPr>
          <w:p>
            <w:pPr>
              <w:spacing w:after="20"/>
            </w:pPr>
            <w:r>
              <w:rPr>
                <w:sz w:val="14"/>
              </w:rPr>
              <w:t>500k workload model and representative query/load proof plan</w:t>
            </w:r>
          </w:p>
        </w:tc>
        <w:tc>
          <w:tcPr>
            <w:tcW w:type="dxa" w:w="3360"/>
          </w:tcPr>
          <w:p>
            <w:pPr>
              <w:spacing w:after="20"/>
            </w:pPr>
            <w:r>
              <w:rPr>
                <w:sz w:val="14"/>
              </w:rPr>
              <w:t>Pending</w:t>
            </w:r>
          </w:p>
        </w:tc>
      </w:tr>
      <w:tr>
        <w:tc>
          <w:tcPr>
            <w:tcW w:type="dxa" w:w="3360"/>
          </w:tcPr>
          <w:p>
            <w:pPr>
              <w:spacing w:after="20"/>
            </w:pPr>
            <w:r>
              <w:rPr>
                <w:sz w:val="14"/>
              </w:rPr>
              <w:t>Integration</w:t>
            </w:r>
          </w:p>
        </w:tc>
        <w:tc>
          <w:tcPr>
            <w:tcW w:type="dxa" w:w="3360"/>
          </w:tcPr>
          <w:p>
            <w:pPr>
              <w:spacing w:after="20"/>
            </w:pPr>
            <w:r>
              <w:rPr>
                <w:sz w:val="14"/>
              </w:rPr>
              <w:t>Provider ownership, contracts and data flows reviewed</w:t>
            </w:r>
          </w:p>
        </w:tc>
        <w:tc>
          <w:tcPr>
            <w:tcW w:type="dxa" w:w="3360"/>
          </w:tcPr>
          <w:p>
            <w:pPr>
              <w:spacing w:after="20"/>
            </w:pPr>
            <w:r>
              <w:rPr>
                <w:sz w:val="14"/>
              </w:rPr>
              <w:t>Pending</w:t>
            </w:r>
          </w:p>
        </w:tc>
      </w:tr>
      <w:tr>
        <w:tc>
          <w:tcPr>
            <w:tcW w:type="dxa" w:w="3360"/>
          </w:tcPr>
          <w:p>
            <w:pPr>
              <w:spacing w:after="20"/>
            </w:pPr>
            <w:r>
              <w:rPr>
                <w:sz w:val="14"/>
              </w:rPr>
              <w:t>Change control</w:t>
            </w:r>
          </w:p>
        </w:tc>
        <w:tc>
          <w:tcPr>
            <w:tcW w:type="dxa" w:w="3360"/>
          </w:tcPr>
          <w:p>
            <w:pPr>
              <w:spacing w:after="20"/>
            </w:pPr>
            <w:r>
              <w:rPr>
                <w:sz w:val="14"/>
              </w:rPr>
              <w:t>Day 2 IDs preserved; D3 decisions signed before physical model</w:t>
            </w:r>
          </w:p>
        </w:tc>
        <w:tc>
          <w:tcPr>
            <w:tcW w:type="dxa" w:w="3360"/>
          </w:tcPr>
          <w:p>
            <w:pPr>
              <w:spacing w:after="20"/>
            </w:pPr>
            <w:r>
              <w:rPr>
                <w:sz w:val="14"/>
              </w:rPr>
              <w:t>Pending</w:t>
            </w:r>
          </w:p>
        </w:tc>
      </w:tr>
    </w:tbl>
    <w:p>
      <w:pPr>
        <w:pStyle w:val="Heading1"/>
      </w:pPr>
      <w:r>
        <w:t>13. Proposed Day 3 working-session agenda</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pPr>
              <w:spacing w:after="20"/>
            </w:pPr>
            <w:r>
              <w:rPr>
                <w:sz w:val="14"/>
              </w:rPr>
              <w:t>Session</w:t>
            </w:r>
          </w:p>
        </w:tc>
        <w:tc>
          <w:tcPr>
            <w:tcW w:type="dxa" w:w="3360"/>
          </w:tcPr>
          <w:p>
            <w:pPr>
              <w:spacing w:after="20"/>
            </w:pPr>
            <w:r>
              <w:rPr>
                <w:sz w:val="14"/>
              </w:rPr>
              <w:t>Working objective</w:t>
            </w:r>
          </w:p>
        </w:tc>
        <w:tc>
          <w:tcPr>
            <w:tcW w:type="dxa" w:w="3360"/>
          </w:tcPr>
          <w:p>
            <w:pPr>
              <w:spacing w:after="20"/>
            </w:pPr>
            <w:r>
              <w:rPr>
                <w:sz w:val="14"/>
              </w:rPr>
              <w:t>Output</w:t>
            </w:r>
          </w:p>
        </w:tc>
      </w:tr>
      <w:tr>
        <w:tc>
          <w:tcPr>
            <w:tcW w:type="dxa" w:w="3360"/>
          </w:tcPr>
          <w:p>
            <w:pPr>
              <w:spacing w:after="20"/>
            </w:pPr>
            <w:r>
              <w:rPr>
                <w:sz w:val="14"/>
              </w:rPr>
              <w:t>1 — Baseline control</w:t>
            </w:r>
          </w:p>
        </w:tc>
        <w:tc>
          <w:tcPr>
            <w:tcW w:type="dxa" w:w="3360"/>
          </w:tcPr>
          <w:p>
            <w:pPr>
              <w:spacing w:after="20"/>
            </w:pPr>
            <w:r>
              <w:rPr>
                <w:sz w:val="14"/>
              </w:rPr>
              <w:t>Verify original 152 atomic RTM entries and Day 2 clarification register</w:t>
            </w:r>
          </w:p>
        </w:tc>
        <w:tc>
          <w:tcPr>
            <w:tcW w:type="dxa" w:w="3360"/>
          </w:tcPr>
          <w:p>
            <w:pPr>
              <w:spacing w:after="20"/>
            </w:pPr>
            <w:r>
              <w:rPr>
                <w:sz w:val="14"/>
              </w:rPr>
              <w:t>Signed comparison checklist</w:t>
            </w:r>
          </w:p>
        </w:tc>
      </w:tr>
      <w:tr>
        <w:tc>
          <w:tcPr>
            <w:tcW w:type="dxa" w:w="3360"/>
          </w:tcPr>
          <w:p>
            <w:pPr>
              <w:spacing w:after="20"/>
            </w:pPr>
            <w:r>
              <w:rPr>
                <w:sz w:val="14"/>
              </w:rPr>
              <w:t>2 — Identity / tenancy</w:t>
            </w:r>
          </w:p>
        </w:tc>
        <w:tc>
          <w:tcPr>
            <w:tcW w:type="dxa" w:w="3360"/>
          </w:tcPr>
          <w:p>
            <w:pPr>
              <w:spacing w:after="20"/>
            </w:pPr>
            <w:r>
              <w:rPr>
                <w:sz w:val="14"/>
              </w:rPr>
              <w:t>Confirm University/SPC/Institution, six roles, membership and data boundaries</w:t>
            </w:r>
          </w:p>
        </w:tc>
        <w:tc>
          <w:tcPr>
            <w:tcW w:type="dxa" w:w="3360"/>
          </w:tcPr>
          <w:p>
            <w:pPr>
              <w:spacing w:after="20"/>
            </w:pPr>
            <w:r>
              <w:rPr>
                <w:sz w:val="14"/>
              </w:rPr>
              <w:t>Candidate relationship matrix + open decisions</w:t>
            </w:r>
          </w:p>
        </w:tc>
      </w:tr>
      <w:tr>
        <w:tc>
          <w:tcPr>
            <w:tcW w:type="dxa" w:w="3360"/>
          </w:tcPr>
          <w:p>
            <w:pPr>
              <w:spacing w:after="20"/>
            </w:pPr>
            <w:r>
              <w:rPr>
                <w:sz w:val="14"/>
              </w:rPr>
              <w:t>3 — Academic / content</w:t>
            </w:r>
          </w:p>
        </w:tc>
        <w:tc>
          <w:tcPr>
            <w:tcW w:type="dxa" w:w="3360"/>
          </w:tcPr>
          <w:p>
            <w:pPr>
              <w:spacing w:after="20"/>
            </w:pPr>
            <w:r>
              <w:rPr>
                <w:sz w:val="14"/>
              </w:rPr>
              <w:t>Walk taxonomy, course, versions, live classes, library</w:t>
            </w:r>
          </w:p>
        </w:tc>
        <w:tc>
          <w:tcPr>
            <w:tcW w:type="dxa" w:w="3360"/>
          </w:tcPr>
          <w:p>
            <w:pPr>
              <w:spacing w:after="20"/>
            </w:pPr>
            <w:r>
              <w:rPr>
                <w:sz w:val="14"/>
              </w:rPr>
              <w:t>Logical object catalogue and ownership</w:t>
            </w:r>
          </w:p>
        </w:tc>
      </w:tr>
      <w:tr>
        <w:tc>
          <w:tcPr>
            <w:tcW w:type="dxa" w:w="3360"/>
          </w:tcPr>
          <w:p>
            <w:pPr>
              <w:spacing w:after="20"/>
            </w:pPr>
            <w:r>
              <w:rPr>
                <w:sz w:val="14"/>
              </w:rPr>
              <w:t>4 — Assessment / credentials</w:t>
            </w:r>
          </w:p>
        </w:tc>
        <w:tc>
          <w:tcPr>
            <w:tcW w:type="dxa" w:w="3360"/>
          </w:tcPr>
          <w:p>
            <w:pPr>
              <w:spacing w:after="20"/>
            </w:pPr>
            <w:r>
              <w:rPr>
                <w:sz w:val="14"/>
              </w:rPr>
              <w:t>Walk questions, SME review, grades, academic records, certificates</w:t>
            </w:r>
          </w:p>
        </w:tc>
        <w:tc>
          <w:tcPr>
            <w:tcW w:type="dxa" w:w="3360"/>
          </w:tcPr>
          <w:p>
            <w:pPr>
              <w:spacing w:after="20"/>
            </w:pPr>
            <w:r>
              <w:rPr>
                <w:sz w:val="14"/>
              </w:rPr>
              <w:t>Data lifecycle and evidence rules</w:t>
            </w:r>
          </w:p>
        </w:tc>
      </w:tr>
      <w:tr>
        <w:tc>
          <w:tcPr>
            <w:tcW w:type="dxa" w:w="3360"/>
          </w:tcPr>
          <w:p>
            <w:pPr>
              <w:spacing w:after="20"/>
            </w:pPr>
            <w:r>
              <w:rPr>
                <w:sz w:val="14"/>
              </w:rPr>
              <w:t>5 — Cross-cutting</w:t>
            </w:r>
          </w:p>
        </w:tc>
        <w:tc>
          <w:tcPr>
            <w:tcW w:type="dxa" w:w="3360"/>
          </w:tcPr>
          <w:p>
            <w:pPr>
              <w:spacing w:after="20"/>
            </w:pPr>
            <w:r>
              <w:rPr>
                <w:sz w:val="14"/>
              </w:rPr>
              <w:t>Review notification, analytics, mobile offline, audit, residency</w:t>
            </w:r>
          </w:p>
        </w:tc>
        <w:tc>
          <w:tcPr>
            <w:tcW w:type="dxa" w:w="3360"/>
          </w:tcPr>
          <w:p>
            <w:pPr>
              <w:spacing w:after="20"/>
            </w:pPr>
            <w:r>
              <w:rPr>
                <w:sz w:val="14"/>
              </w:rPr>
              <w:t>Data flows and risk log</w:t>
            </w:r>
          </w:p>
        </w:tc>
      </w:tr>
      <w:tr>
        <w:tc>
          <w:tcPr>
            <w:tcW w:type="dxa" w:w="3360"/>
          </w:tcPr>
          <w:p>
            <w:pPr>
              <w:spacing w:after="20"/>
            </w:pPr>
            <w:r>
              <w:rPr>
                <w:sz w:val="14"/>
              </w:rPr>
              <w:t>6 — Governance</w:t>
            </w:r>
          </w:p>
        </w:tc>
        <w:tc>
          <w:tcPr>
            <w:tcW w:type="dxa" w:w="3360"/>
          </w:tcPr>
          <w:p>
            <w:pPr>
              <w:spacing w:after="20"/>
            </w:pPr>
            <w:r>
              <w:rPr>
                <w:sz w:val="14"/>
              </w:rPr>
              <w:t>Assign D3 clarifications, review impact, authorize Day 4 design activity</w:t>
            </w:r>
          </w:p>
        </w:tc>
        <w:tc>
          <w:tcPr>
            <w:tcW w:type="dxa" w:w="3360"/>
          </w:tcPr>
          <w:p>
            <w:pPr>
              <w:spacing w:after="20"/>
            </w:pPr>
            <w:r>
              <w:rPr>
                <w:sz w:val="14"/>
              </w:rPr>
              <w:t>Meeting minutes; approval/no-go record</w:t>
            </w:r>
          </w:p>
        </w:tc>
      </w:tr>
    </w:tbl>
    <w:p>
      <w:pPr>
        <w:pStyle w:val="Heading1"/>
      </w:pPr>
      <w:r>
        <w:t>14. Decision and approval record</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pPr>
              <w:spacing w:after="20"/>
            </w:pPr>
            <w:r>
              <w:rPr>
                <w:sz w:val="14"/>
              </w:rPr>
              <w:t>Decision ID</w:t>
            </w:r>
          </w:p>
        </w:tc>
        <w:tc>
          <w:tcPr>
            <w:tcW w:type="dxa" w:w="2520"/>
          </w:tcPr>
          <w:p>
            <w:pPr>
              <w:spacing w:after="20"/>
            </w:pPr>
            <w:r>
              <w:rPr>
                <w:sz w:val="14"/>
              </w:rPr>
              <w:t>Decision statement</w:t>
            </w:r>
          </w:p>
        </w:tc>
        <w:tc>
          <w:tcPr>
            <w:tcW w:type="dxa" w:w="2520"/>
          </w:tcPr>
          <w:p>
            <w:pPr>
              <w:spacing w:after="20"/>
            </w:pPr>
            <w:r>
              <w:rPr>
                <w:sz w:val="14"/>
              </w:rPr>
              <w:t>Status</w:t>
            </w:r>
          </w:p>
        </w:tc>
        <w:tc>
          <w:tcPr>
            <w:tcW w:type="dxa" w:w="2520"/>
          </w:tcPr>
          <w:p>
            <w:pPr>
              <w:spacing w:after="20"/>
            </w:pPr>
            <w:r>
              <w:rPr>
                <w:sz w:val="14"/>
              </w:rPr>
              <w:t>Approver / date</w:t>
            </w:r>
          </w:p>
        </w:tc>
      </w:tr>
      <w:tr>
        <w:tc>
          <w:tcPr>
            <w:tcW w:type="dxa" w:w="2520"/>
          </w:tcPr>
          <w:p>
            <w:pPr>
              <w:spacing w:after="20"/>
            </w:pPr>
            <w:r>
              <w:rPr>
                <w:sz w:val="14"/>
              </w:rPr>
              <w:t>D3-DEC-01</w:t>
            </w:r>
          </w:p>
        </w:tc>
        <w:tc>
          <w:tcPr>
            <w:tcW w:type="dxa" w:w="2520"/>
          </w:tcPr>
          <w:p>
            <w:pPr>
              <w:spacing w:after="20"/>
            </w:pPr>
            <w:r>
              <w:rPr>
                <w:sz w:val="14"/>
              </w:rPr>
              <w:t>Logical object catalogue accepted as working model</w:t>
            </w:r>
          </w:p>
        </w:tc>
        <w:tc>
          <w:tcPr>
            <w:tcW w:type="dxa" w:w="2520"/>
          </w:tcPr>
          <w:p>
            <w:pPr>
              <w:spacing w:after="20"/>
            </w:pPr>
            <w:r>
              <w:rPr>
                <w:sz w:val="14"/>
              </w:rPr>
              <w:t>PROPOSED</w:t>
            </w:r>
          </w:p>
        </w:tc>
        <w:tc>
          <w:tcPr>
            <w:tcW w:type="dxa" w:w="2520"/>
          </w:tcPr>
          <w:p>
            <w:pPr>
              <w:spacing w:after="20"/>
            </w:pPr>
            <w:r>
              <w:rPr>
                <w:sz w:val="14"/>
              </w:rPr>
              <w:t>Pending</w:t>
            </w:r>
          </w:p>
        </w:tc>
      </w:tr>
      <w:tr>
        <w:tc>
          <w:tcPr>
            <w:tcW w:type="dxa" w:w="2520"/>
          </w:tcPr>
          <w:p>
            <w:pPr>
              <w:spacing w:after="20"/>
            </w:pPr>
            <w:r>
              <w:rPr>
                <w:sz w:val="14"/>
              </w:rPr>
              <w:t>D3-DEC-02</w:t>
            </w:r>
          </w:p>
        </w:tc>
        <w:tc>
          <w:tcPr>
            <w:tcW w:type="dxa" w:w="2520"/>
          </w:tcPr>
          <w:p>
            <w:pPr>
              <w:spacing w:after="20"/>
            </w:pPr>
            <w:r>
              <w:rPr>
                <w:sz w:val="14"/>
              </w:rPr>
              <w:t>Organization and role cardinalities confirmed</w:t>
            </w:r>
          </w:p>
        </w:tc>
        <w:tc>
          <w:tcPr>
            <w:tcW w:type="dxa" w:w="2520"/>
          </w:tcPr>
          <w:p>
            <w:pPr>
              <w:spacing w:after="20"/>
            </w:pPr>
            <w:r>
              <w:rPr>
                <w:sz w:val="14"/>
              </w:rPr>
              <w:t>OPEN</w:t>
            </w:r>
          </w:p>
        </w:tc>
        <w:tc>
          <w:tcPr>
            <w:tcW w:type="dxa" w:w="2520"/>
          </w:tcPr>
          <w:p>
            <w:pPr>
              <w:spacing w:after="20"/>
            </w:pPr>
            <w:r>
              <w:rPr>
                <w:sz w:val="14"/>
              </w:rPr>
              <w:t>Pending</w:t>
            </w:r>
          </w:p>
        </w:tc>
      </w:tr>
      <w:tr>
        <w:tc>
          <w:tcPr>
            <w:tcW w:type="dxa" w:w="2520"/>
          </w:tcPr>
          <w:p>
            <w:pPr>
              <w:spacing w:after="20"/>
            </w:pPr>
            <w:r>
              <w:rPr>
                <w:sz w:val="14"/>
              </w:rPr>
              <w:t>D3-DEC-03</w:t>
            </w:r>
          </w:p>
        </w:tc>
        <w:tc>
          <w:tcPr>
            <w:tcW w:type="dxa" w:w="2520"/>
          </w:tcPr>
          <w:p>
            <w:pPr>
              <w:spacing w:after="20"/>
            </w:pPr>
            <w:r>
              <w:rPr>
                <w:sz w:val="14"/>
              </w:rPr>
              <w:t>Data ownership boundaries accepted</w:t>
            </w:r>
          </w:p>
        </w:tc>
        <w:tc>
          <w:tcPr>
            <w:tcW w:type="dxa" w:w="2520"/>
          </w:tcPr>
          <w:p>
            <w:pPr>
              <w:spacing w:after="20"/>
            </w:pPr>
            <w:r>
              <w:rPr>
                <w:sz w:val="14"/>
              </w:rPr>
              <w:t>PROPOSED</w:t>
            </w:r>
          </w:p>
        </w:tc>
        <w:tc>
          <w:tcPr>
            <w:tcW w:type="dxa" w:w="2520"/>
          </w:tcPr>
          <w:p>
            <w:pPr>
              <w:spacing w:after="20"/>
            </w:pPr>
            <w:r>
              <w:rPr>
                <w:sz w:val="14"/>
              </w:rPr>
              <w:t>Pending</w:t>
            </w:r>
          </w:p>
        </w:tc>
      </w:tr>
      <w:tr>
        <w:tc>
          <w:tcPr>
            <w:tcW w:type="dxa" w:w="2520"/>
          </w:tcPr>
          <w:p>
            <w:pPr>
              <w:spacing w:after="20"/>
            </w:pPr>
            <w:r>
              <w:rPr>
                <w:sz w:val="14"/>
              </w:rPr>
              <w:t>D3-DEC-04</w:t>
            </w:r>
          </w:p>
        </w:tc>
        <w:tc>
          <w:tcPr>
            <w:tcW w:type="dxa" w:w="2520"/>
          </w:tcPr>
          <w:p>
            <w:pPr>
              <w:spacing w:after="20"/>
            </w:pPr>
            <w:r>
              <w:rPr>
                <w:sz w:val="14"/>
              </w:rPr>
              <w:t>Privacy, audit and India residency design constraints confirmed</w:t>
            </w:r>
          </w:p>
        </w:tc>
        <w:tc>
          <w:tcPr>
            <w:tcW w:type="dxa" w:w="2520"/>
          </w:tcPr>
          <w:p>
            <w:pPr>
              <w:spacing w:after="20"/>
            </w:pPr>
            <w:r>
              <w:rPr>
                <w:sz w:val="14"/>
              </w:rPr>
              <w:t>OPEN</w:t>
            </w:r>
          </w:p>
        </w:tc>
        <w:tc>
          <w:tcPr>
            <w:tcW w:type="dxa" w:w="2520"/>
          </w:tcPr>
          <w:p>
            <w:pPr>
              <w:spacing w:after="20"/>
            </w:pPr>
            <w:r>
              <w:rPr>
                <w:sz w:val="14"/>
              </w:rPr>
              <w:t>Pending</w:t>
            </w:r>
          </w:p>
        </w:tc>
      </w:tr>
      <w:tr>
        <w:tc>
          <w:tcPr>
            <w:tcW w:type="dxa" w:w="2520"/>
          </w:tcPr>
          <w:p>
            <w:pPr>
              <w:spacing w:after="20"/>
            </w:pPr>
            <w:r>
              <w:rPr>
                <w:sz w:val="14"/>
              </w:rPr>
              <w:t>D3-DEC-05</w:t>
            </w:r>
          </w:p>
        </w:tc>
        <w:tc>
          <w:tcPr>
            <w:tcW w:type="dxa" w:w="2520"/>
          </w:tcPr>
          <w:p>
            <w:pPr>
              <w:spacing w:after="20"/>
            </w:pPr>
            <w:r>
              <w:rPr>
                <w:sz w:val="14"/>
              </w:rPr>
              <w:t>Proceed to detailed ERD / API contracts on Day 4</w:t>
            </w:r>
          </w:p>
        </w:tc>
        <w:tc>
          <w:tcPr>
            <w:tcW w:type="dxa" w:w="2520"/>
          </w:tcPr>
          <w:p>
            <w:pPr>
              <w:spacing w:after="20"/>
            </w:pPr>
            <w:r>
              <w:rPr>
                <w:sz w:val="14"/>
              </w:rPr>
              <w:t>NOT AUTHORIZED</w:t>
            </w:r>
          </w:p>
        </w:tc>
        <w:tc>
          <w:tcPr>
            <w:tcW w:type="dxa" w:w="2520"/>
          </w:tcPr>
          <w:p>
            <w:pPr>
              <w:spacing w:after="20"/>
            </w:pPr>
            <w:r>
              <w:rPr>
                <w:sz w:val="14"/>
              </w:rPr>
              <w:t>Pending</w:t>
            </w:r>
          </w:p>
        </w:tc>
      </w:tr>
    </w:tbl>
    <w:p>
      <w:pPr>
        <w:pStyle w:val="Heading1"/>
      </w:pPr>
      <w:r>
        <w:t>15. Day 3 exit assessment and next-day handoff</w:t>
      </w:r>
    </w:p>
    <w:p>
      <w:r>
        <w:t>Day 3 output is a REVIEWABLE conceptual data baseline, not a final physical ERD. Until the organization cardinalities, role grants, academic hierarchy and critical lifecycle rules are clarified, schema design must remain provisional.</w:t>
      </w:r>
    </w:p>
    <w:p>
      <w:r>
        <w:t>Day 4 proposed handoff: formal logical ERD with optionality and cardinality markers, first-pass API resource catalogue, data ownership matrix, and clarified open-question register. No implementation GO decision is implied.</w:t>
      </w:r>
    </w:p>
    <w:p>
      <w:pPr>
        <w:pStyle w:val="Heading1"/>
      </w:pPr>
      <w:r>
        <w:t>Appendix A — Source-to-design crosswalk</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pPr>
              <w:spacing w:after="20"/>
            </w:pPr>
            <w:r>
              <w:rPr>
                <w:sz w:val="14"/>
              </w:rPr>
              <w:t>University source</w:t>
            </w:r>
          </w:p>
        </w:tc>
        <w:tc>
          <w:tcPr>
            <w:tcW w:type="dxa" w:w="3360"/>
          </w:tcPr>
          <w:p>
            <w:pPr>
              <w:spacing w:after="20"/>
            </w:pPr>
            <w:r>
              <w:rPr>
                <w:sz w:val="14"/>
              </w:rPr>
              <w:t>Day 2 RTM</w:t>
            </w:r>
          </w:p>
        </w:tc>
        <w:tc>
          <w:tcPr>
            <w:tcW w:type="dxa" w:w="3360"/>
          </w:tcPr>
          <w:p>
            <w:pPr>
              <w:spacing w:after="20"/>
            </w:pPr>
            <w:r>
              <w:rPr>
                <w:sz w:val="14"/>
              </w:rPr>
              <w:t>Day 3 coverage</w:t>
            </w:r>
          </w:p>
        </w:tc>
      </w:tr>
      <w:tr>
        <w:tc>
          <w:tcPr>
            <w:tcW w:type="dxa" w:w="3360"/>
          </w:tcPr>
          <w:p>
            <w:pPr>
              <w:spacing w:after="20"/>
            </w:pPr>
            <w:r>
              <w:rPr>
                <w:sz w:val="14"/>
              </w:rPr>
              <w:t>§2, §8.1</w:t>
            </w:r>
          </w:p>
        </w:tc>
        <w:tc>
          <w:tcPr>
            <w:tcW w:type="dxa" w:w="3360"/>
          </w:tcPr>
          <w:p>
            <w:pPr>
              <w:spacing w:after="20"/>
            </w:pPr>
            <w:r>
              <w:rPr>
                <w:sz w:val="14"/>
              </w:rPr>
              <w:t>NFR-001..010</w:t>
            </w:r>
          </w:p>
        </w:tc>
        <w:tc>
          <w:tcPr>
            <w:tcW w:type="dxa" w:w="3360"/>
          </w:tcPr>
          <w:p>
            <w:pPr>
              <w:spacing w:after="20"/>
            </w:pPr>
            <w:r>
              <w:rPr>
                <w:sz w:val="14"/>
              </w:rPr>
              <w:t>Capacity, DR, workload and persistence constraints</w:t>
            </w:r>
          </w:p>
        </w:tc>
      </w:tr>
      <w:tr>
        <w:tc>
          <w:tcPr>
            <w:tcW w:type="dxa" w:w="3360"/>
          </w:tcPr>
          <w:p>
            <w:pPr>
              <w:spacing w:after="20"/>
            </w:pPr>
            <w:r>
              <w:rPr>
                <w:sz w:val="14"/>
              </w:rPr>
              <w:t>§3, §8.1</w:t>
            </w:r>
          </w:p>
        </w:tc>
        <w:tc>
          <w:tcPr>
            <w:tcW w:type="dxa" w:w="3360"/>
          </w:tcPr>
          <w:p>
            <w:pPr>
              <w:spacing w:after="20"/>
            </w:pPr>
            <w:r>
              <w:rPr>
                <w:sz w:val="14"/>
              </w:rPr>
              <w:t>IAM-001..020</w:t>
            </w:r>
          </w:p>
        </w:tc>
        <w:tc>
          <w:tcPr>
            <w:tcW w:type="dxa" w:w="3360"/>
          </w:tcPr>
          <w:p>
            <w:pPr>
              <w:spacing w:after="20"/>
            </w:pPr>
            <w:r>
              <w:rPr>
                <w:sz w:val="14"/>
              </w:rPr>
              <w:t>Identity, organizations, roles, permissions, SSO</w:t>
            </w:r>
          </w:p>
        </w:tc>
      </w:tr>
      <w:tr>
        <w:tc>
          <w:tcPr>
            <w:tcW w:type="dxa" w:w="3360"/>
          </w:tcPr>
          <w:p>
            <w:pPr>
              <w:spacing w:after="20"/>
            </w:pPr>
            <w:r>
              <w:rPr>
                <w:sz w:val="14"/>
              </w:rPr>
              <w:t>§4, §8.1</w:t>
            </w:r>
          </w:p>
        </w:tc>
        <w:tc>
          <w:tcPr>
            <w:tcW w:type="dxa" w:w="3360"/>
          </w:tcPr>
          <w:p>
            <w:pPr>
              <w:spacing w:after="20"/>
            </w:pPr>
            <w:r>
              <w:rPr>
                <w:sz w:val="14"/>
              </w:rPr>
              <w:t>ACD-001..023</w:t>
            </w:r>
          </w:p>
        </w:tc>
        <w:tc>
          <w:tcPr>
            <w:tcW w:type="dxa" w:w="3360"/>
          </w:tcPr>
          <w:p>
            <w:pPr>
              <w:spacing w:after="20"/>
            </w:pPr>
            <w:r>
              <w:rPr>
                <w:sz w:val="14"/>
              </w:rPr>
              <w:t>Academic taxonomy, content, sessions, library</w:t>
            </w:r>
          </w:p>
        </w:tc>
      </w:tr>
      <w:tr>
        <w:tc>
          <w:tcPr>
            <w:tcW w:type="dxa" w:w="3360"/>
          </w:tcPr>
          <w:p>
            <w:pPr>
              <w:spacing w:after="20"/>
            </w:pPr>
            <w:r>
              <w:rPr>
                <w:sz w:val="14"/>
              </w:rPr>
              <w:t>§5, §8.1</w:t>
            </w:r>
          </w:p>
        </w:tc>
        <w:tc>
          <w:tcPr>
            <w:tcW w:type="dxa" w:w="3360"/>
          </w:tcPr>
          <w:p>
            <w:pPr>
              <w:spacing w:after="20"/>
            </w:pPr>
            <w:r>
              <w:rPr>
                <w:sz w:val="14"/>
              </w:rPr>
              <w:t>ASM-001..023</w:t>
            </w:r>
          </w:p>
        </w:tc>
        <w:tc>
          <w:tcPr>
            <w:tcW w:type="dxa" w:w="3360"/>
          </w:tcPr>
          <w:p>
            <w:pPr>
              <w:spacing w:after="20"/>
            </w:pPr>
            <w:r>
              <w:rPr>
                <w:sz w:val="14"/>
              </w:rPr>
              <w:t>Attendance, question bank, assessments, credentials</w:t>
            </w:r>
          </w:p>
        </w:tc>
      </w:tr>
      <w:tr>
        <w:tc>
          <w:tcPr>
            <w:tcW w:type="dxa" w:w="3360"/>
          </w:tcPr>
          <w:p>
            <w:pPr>
              <w:spacing w:after="20"/>
            </w:pPr>
            <w:r>
              <w:rPr>
                <w:sz w:val="14"/>
              </w:rPr>
              <w:t>§6, §8.1</w:t>
            </w:r>
          </w:p>
        </w:tc>
        <w:tc>
          <w:tcPr>
            <w:tcW w:type="dxa" w:w="3360"/>
          </w:tcPr>
          <w:p>
            <w:pPr>
              <w:spacing w:after="20"/>
            </w:pPr>
            <w:r>
              <w:rPr>
                <w:sz w:val="14"/>
              </w:rPr>
              <w:t>COM-001..022</w:t>
            </w:r>
          </w:p>
        </w:tc>
        <w:tc>
          <w:tcPr>
            <w:tcW w:type="dxa" w:w="3360"/>
          </w:tcPr>
          <w:p>
            <w:pPr>
              <w:spacing w:after="20"/>
            </w:pPr>
            <w:r>
              <w:rPr>
                <w:sz w:val="14"/>
              </w:rPr>
              <w:t>Reports, engagement, notifications</w:t>
            </w:r>
          </w:p>
        </w:tc>
      </w:tr>
      <w:tr>
        <w:tc>
          <w:tcPr>
            <w:tcW w:type="dxa" w:w="3360"/>
          </w:tcPr>
          <w:p>
            <w:pPr>
              <w:spacing w:after="20"/>
            </w:pPr>
            <w:r>
              <w:rPr>
                <w:sz w:val="14"/>
              </w:rPr>
              <w:t>§8–9</w:t>
            </w:r>
          </w:p>
        </w:tc>
        <w:tc>
          <w:tcPr>
            <w:tcW w:type="dxa" w:w="3360"/>
          </w:tcPr>
          <w:p>
            <w:pPr>
              <w:spacing w:after="20"/>
            </w:pPr>
            <w:r>
              <w:rPr>
                <w:sz w:val="14"/>
              </w:rPr>
              <w:t>MOB-001..028</w:t>
            </w:r>
          </w:p>
        </w:tc>
        <w:tc>
          <w:tcPr>
            <w:tcW w:type="dxa" w:w="3360"/>
          </w:tcPr>
          <w:p>
            <w:pPr>
              <w:spacing w:after="20"/>
            </w:pPr>
            <w:r>
              <w:rPr>
                <w:sz w:val="14"/>
              </w:rPr>
              <w:t>Web/mobile parity, media, offline, device security</w:t>
            </w:r>
          </w:p>
        </w:tc>
      </w:tr>
      <w:tr>
        <w:tc>
          <w:tcPr>
            <w:tcW w:type="dxa" w:w="3360"/>
          </w:tcPr>
          <w:p>
            <w:pPr>
              <w:spacing w:after="20"/>
            </w:pPr>
            <w:r>
              <w:rPr>
                <w:sz w:val="14"/>
              </w:rPr>
              <w:t>§7, §9.6</w:t>
            </w:r>
          </w:p>
        </w:tc>
        <w:tc>
          <w:tcPr>
            <w:tcW w:type="dxa" w:w="3360"/>
          </w:tcPr>
          <w:p>
            <w:pPr>
              <w:spacing w:after="20"/>
            </w:pPr>
            <w:r>
              <w:rPr>
                <w:sz w:val="14"/>
              </w:rPr>
              <w:t>SEC-001..016</w:t>
            </w:r>
          </w:p>
        </w:tc>
        <w:tc>
          <w:tcPr>
            <w:tcW w:type="dxa" w:w="3360"/>
          </w:tcPr>
          <w:p>
            <w:pPr>
              <w:spacing w:after="20"/>
            </w:pPr>
            <w:r>
              <w:rPr>
                <w:sz w:val="14"/>
              </w:rPr>
              <w:t>Compliance, residency, audit</w:t>
            </w:r>
          </w:p>
        </w:tc>
      </w:tr>
      <w:tr>
        <w:tc>
          <w:tcPr>
            <w:tcW w:type="dxa" w:w="3360"/>
          </w:tcPr>
          <w:p>
            <w:pPr>
              <w:spacing w:after="20"/>
            </w:pPr>
            <w:r>
              <w:rPr>
                <w:sz w:val="14"/>
              </w:rPr>
              <w:t>§8.3, §10</w:t>
            </w:r>
          </w:p>
        </w:tc>
        <w:tc>
          <w:tcPr>
            <w:tcW w:type="dxa" w:w="3360"/>
          </w:tcPr>
          <w:p>
            <w:pPr>
              <w:spacing w:after="20"/>
            </w:pPr>
            <w:r>
              <w:rPr>
                <w:sz w:val="14"/>
              </w:rPr>
              <w:t>OPS-001..010</w:t>
            </w:r>
          </w:p>
        </w:tc>
        <w:tc>
          <w:tcPr>
            <w:tcW w:type="dxa" w:w="3360"/>
          </w:tcPr>
          <w:p>
            <w:pPr>
              <w:spacing w:after="20"/>
            </w:pPr>
            <w:r>
              <w:rPr>
                <w:sz w:val="14"/>
              </w:rPr>
              <w:t>Operational and acceptance evidence</w:t>
            </w:r>
          </w:p>
        </w:tc>
      </w:tr>
    </w:tbl>
    <w:p>
      <w:pPr>
        <w:pStyle w:val="Heading1"/>
      </w:pPr>
      <w:r>
        <w:t>Appendix B — Explicit non-scope additions avoided</w:t>
      </w:r>
    </w:p>
    <w:p>
      <w:r>
        <w:t>No payment gateway, settlement, tuition fees, RAG, AI tutor, extra seventh role, chargeback product feature, new learning analytics algorithm, fixed TPS target or data retention period beyond the University’s stated obligations has been introduced.</w:t>
      </w:r>
    </w:p>
    <w:p>
      <w:r>
        <w:t>End of Day 3 draft — UNIVERSITY LMS. Human review required before any approval or build commitment.</w:t>
      </w:r>
    </w:p>
    <w:sectPr w:rsidR="00FC693F" w:rsidRPr="0006063C" w:rsidSect="00034616">
      <w:headerReference w:type="default" r:id="rId9"/>
      <w:footerReference w:type="default" r:id="rId10"/>
      <w:pgSz w:w="12240" w:h="15840"/>
      <w:pgMar w:top="936" w:right="1080" w:bottom="72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v0.1 • Not approved • Internal design working paper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UNIVERSITY LMS  |  DELIVERY GOVERNANCE  |  DAY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4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45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