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2D40"/>
          <w:sz w:val="56"/>
          <w:szCs w:val="56"/>
        </w:rPr>
        <w:t xml:space="preserve">CAPE</w:t>
      </w:r>
    </w:p>
    <w:p>
      <w:pPr>
        <w:spacing w:after="40"/>
        <w:jc w:val="center"/>
      </w:pPr>
      <w:r>
        <w:rPr>
          <w:b/>
          <w:bCs/>
          <w:color w:val="00B4D8"/>
          <w:sz w:val="28"/>
          <w:szCs w:val="28"/>
        </w:rPr>
        <w:t xml:space="preserve">Carbon-Aware Predictive Engine for LAX Logistics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Data Sources &amp; Methodology Reference</w:t>
      </w:r>
    </w:p>
    <w:p>
      <w:pPr>
        <w:pBdr>
          <w:bottom w:val="single" w:color="CCCCCC" w:sz="4" w:space="8"/>
        </w:pBdr>
        <w:spacing w:after="480"/>
        <w:jc w:val="center"/>
      </w:pPr>
      <w:r>
        <w:rPr>
          <w:color w:val="666666"/>
          <w:sz w:val="18"/>
          <w:szCs w:val="18"/>
        </w:rPr>
        <w:t xml:space="preserve">CSULA Department of CIS  |  SAIES Research Organization  |  NSF Grant Project</w:t>
      </w:r>
    </w:p>
    <w:p>
      <w:pPr>
        <w:spacing w:after="160"/>
      </w:pPr>
      <w:r>
        <w:rPr>
          <w:sz w:val="22"/>
          <w:szCs w:val="22"/>
        </w:rPr>
        <w:t xml:space="preserve">This document explains where every figure in the three CAPE data files originates, what was sourced directly from public records versus calculated using a documented methodology, and how each column connects back to its source. It is intended to give reviewers a clear and honest accounting of data provenance.</w:t>
      </w:r>
    </w:p>
    <w:p>
      <w:pPr>
        <w:pStyle w:val="Heading1"/>
      </w:pPr>
      <w:r>
        <w:t xml:space="preserve">1. Sales.xlsx</w:t>
      </w:r>
    </w:p>
    <w:p>
      <w:pPr>
        <w:spacing w:after="160"/>
      </w:pPr>
      <w:r>
        <w:t xml:space="preserve">Tracks LAX air cargo volume and the resulting revenue/cost of each shipment lane.</w:t>
      </w:r>
    </w:p>
    <w:p>
      <w:pPr>
        <w:pStyle w:val="Heading2"/>
      </w:pPr>
      <w:r>
        <w:t xml:space="preserve">Primary Source</w:t>
      </w:r>
    </w:p>
    <w:p>
      <w:pPr>
        <w:spacing w:after="120"/>
      </w:pPr>
      <w:r>
        <w:rPr>
          <w:b/>
          <w:bCs/>
        </w:rPr>
        <w:t xml:space="preserve">LAWA Open Data Portal — LAX Air Cargo Volume: </w:t>
      </w:r>
      <w:hyperlink w:history="1" r:id="rIdzghzo_mjykmn57r3hktdz">
        <w:r>
          <w:rPr>
            <w:rStyle w:val="Hyperlink"/>
          </w:rPr>
          <w:t xml:space="preserve">https://data.lacity.org/Transportation/Los-Angeles-International-Airport-Air-Cargo-Volume/tx7r-x3hp</w:t>
        </w:r>
      </w:hyperlink>
    </w:p>
    <w:p>
      <w:pPr>
        <w:spacing w:after="160"/>
      </w:pPr>
      <w:r>
        <w:t xml:space="preserve">Published by Los Angeles World Airports (LAWA) via the City of Los Angeles Open Data Portal. Reports monthly freight and mail tonnage at LAX, broken down by Arrival/Departure and Domestic/International, from 2020 through 2023.</w:t>
      </w:r>
    </w:p>
    <w:p>
      <w:pPr>
        <w:pStyle w:val="Heading2"/>
      </w:pPr>
      <w:r>
        <w:t xml:space="preserve">What's Directly From the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Derived from LAWA's ReportPeriod field (month/year)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AirCargoTons_LAWA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Reported tonnage, taken directly from LAWA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Weight_kg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AirCargoTons_LAWA x 1,000 (unit conversion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Domestic_International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field from LAWA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Arrival_Departure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field from LAWA dataset</w:t>
            </w:r>
          </w:p>
        </w:tc>
      </w:tr>
    </w:tbl>
    <w:p>
      <w:pPr>
        <w:pStyle w:val="Heading2"/>
      </w:pPr>
      <w:r>
        <w:t xml:space="preserve">What's Calculated</w:t>
      </w:r>
    </w:p>
    <w:p>
      <w:pPr>
        <w:spacing w:after="160"/>
      </w:pPr>
      <w:r>
        <w:t xml:space="preserve">Revenue and Cost are not in the LAWA dataset (LAWA reports tonnage only, not dollar values). They are calculated 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= Weight_kg x Price_USD_per_kg_Used (matched from Prices.xlsx for the same date and route)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= Revenue x 0.67 (a documented assumption reflecting a ~33% gross margin, typical for air-cargo forwarders)</w:t>
      </w:r>
    </w:p>
    <w:p>
      <w:pPr>
        <w:pStyle w:val="Heading2"/>
      </w:pPr>
      <w:r>
        <w:t xml:space="preserve">What's Representative (Not From a Specific Source)</w:t>
      </w:r>
    </w:p>
    <w:p>
      <w:pPr>
        <w:spacing w:after="160"/>
      </w:pPr>
      <w:r>
        <w:t xml:space="preserve">LAWA's public dataset does not report carrier identity, cargo category, or shipment-level delivery status. The following fields are assigned representative values to make the dataset usable for the CAPE model, and should be understood as illustrative, not measured: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Carrier — assigned from a list of real LAX cargo carriers (FedEx Air, UPS Air, DHL, Cathay Pacific Cargo,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Material/Product — assigned from common LAX air cargo categories (Electronics, Pharmaceuticals, Auto Parts,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Delivery_Status — assigned to create the on-time/late/at-risk variation the CAPE risk model is designed to analyze</w:t>
      </w:r>
    </w:p>
    <w:p>
      <w:pPr>
        <w:pStyle w:val="Heading1"/>
      </w:pPr>
      <w:r>
        <w:t xml:space="preserve">2. Prices.xlsx</w:t>
      </w:r>
    </w:p>
    <w:p>
      <w:pPr>
        <w:spacing w:after="160"/>
      </w:pPr>
      <w:r>
        <w:t xml:space="preserve">Tracks the per-kilogram air freight rate applied to each shipment lane and date.</w:t>
      </w:r>
    </w:p>
    <w:p>
      <w:pPr>
        <w:pStyle w:val="Heading2"/>
      </w:pPr>
      <w:r>
        <w:t xml:space="preserve">Primary Source</w:t>
      </w:r>
    </w:p>
    <w:p>
      <w:pPr>
        <w:spacing w:after="120"/>
      </w:pPr>
      <w:r>
        <w:rPr>
          <w:b/>
          <w:bCs/>
        </w:rPr>
        <w:t xml:space="preserve">Freightos Air Index (FAX) — Global: </w:t>
      </w:r>
      <w:hyperlink w:history="1" r:id="rIdo4i7_ntadcnqtplyewrbt">
        <w:r>
          <w:rPr>
            <w:rStyle w:val="Hyperlink"/>
          </w:rPr>
          <w:t xml:space="preserve">https://www.freightos.com/freightos-air-index/</w:t>
        </w:r>
      </w:hyperlink>
    </w:p>
    <w:p>
      <w:pPr>
        <w:spacing w:after="160"/>
      </w:pPr>
      <w:r>
        <w:t xml:space="preserve">The Freightos Air Index is a published, industry-standard air cargo pricing benchmark based on near-real-time booked freight transactions. Monthly values used in this file were read directly from the published FAX Global chart covering January 2021 through December 2023.</w:t>
      </w:r>
    </w:p>
    <w:p>
      <w:pPr>
        <w:pStyle w:val="Heading2"/>
      </w:pPr>
      <w:r>
        <w:t xml:space="preserve">What's Directly From the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FAX_Global_Index_Ref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value read directly from the published FAX Global chart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Price_USD_per_kg (international lanes)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Equal to the FAX Global monthly value</w:t>
            </w:r>
          </w:p>
        </w:tc>
      </w:tr>
    </w:tbl>
    <w:p>
      <w:pPr>
        <w:pStyle w:val="Heading2"/>
      </w:pPr>
      <w:r>
        <w:t xml:space="preserve">What's Calculated</w:t>
      </w:r>
    </w:p>
    <w:p>
      <w:pPr>
        <w:spacing w:after="160"/>
      </w:pPr>
      <w:r>
        <w:t xml:space="preserve">Domestic lane prices are not separately published by the FAX Global index, which blends international trade lanes. Domestic Price_USD_per_kg = FAX Global value x 0.62 (a 38% discount), based on published comparisons of domestic vs. international air cargo rate spreads from Freightos and industry rate commentary (e.g. Supply Chain Xchange airfreight outlook reporting).</w:t>
      </w:r>
    </w:p>
    <w:p>
      <w:pPr>
        <w:spacing w:after="160"/>
      </w:pPr>
      <w:r>
        <w:t xml:space="preserve">Two months (Aug–Sep 2020) precede the FAX chart's published start date (Jan 2021) and are held flat at the chart's earliest visible value as a documented baseline assumption.</w:t>
      </w:r>
    </w:p>
    <w:p>
      <w:pPr>
        <w:pStyle w:val="Heading2"/>
      </w:pPr>
      <w:r>
        <w:t xml:space="preserve">Attribution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Data licensed as 'Freightos Data' under the FBX Data License Agreement.</w:t>
      </w:r>
    </w:p>
    <w:p>
      <w:pPr>
        <w:spacing w:after="120"/>
      </w:pPr>
      <w:r>
        <w:rPr>
          <w:b/>
          <w:bCs/>
        </w:rPr>
        <w:t xml:space="preserve">License terms: </w:t>
      </w:r>
      <w:hyperlink w:history="1" r:id="rIdeuzpdh3rbwfwwdvl6-qpk">
        <w:r>
          <w:rPr>
            <w:rStyle w:val="Hyperlink"/>
          </w:rPr>
          <w:t xml:space="preserve">https://www.freightos.com/freightos-data-terms-conditions/</w:t>
        </w:r>
      </w:hyperlink>
    </w:p>
    <w:p>
      <w:pPr>
        <w:pStyle w:val="Heading1"/>
      </w:pPr>
      <w:r>
        <w:t xml:space="preserve">3. Carbon Emissions.xlsx</w:t>
      </w:r>
    </w:p>
    <w:p>
      <w:pPr>
        <w:spacing w:after="160"/>
      </w:pPr>
      <w:r>
        <w:t xml:space="preserve">Two sheets: per-shipment modeled emissions (Carbon_Emissions), and real airport-wide annual totals for validation (LAWA_Annual_Validation).</w:t>
      </w:r>
    </w:p>
    <w:p>
      <w:pPr>
        <w:pStyle w:val="Heading2"/>
      </w:pPr>
      <w:r>
        <w:t xml:space="preserve">Sheet 1: Carbon_Emissions — Methodology</w:t>
      </w:r>
    </w:p>
    <w:p>
      <w:pPr>
        <w:spacing w:after="160"/>
      </w:pPr>
      <w:r>
        <w:t xml:space="preserve">LAWA does not publish shipment-level carbon data, so per-shipment emissions are calculated using a transparent, citable formula rather than estimated arbitrarily: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Scope 1 CO2e (kg) = Great-circle distance (km) x shipment weight (tonnes) x emission factor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— standard published great-circle distance between LAX and each destination airport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Emission factor — 1.02 kg CO2e/tonne-km for short-haul routes (&lt;3,000 km), 0.54 kg CO2e/tonne-km for long-haul routes, consistent with UK Government (DEFRA/BEIS) GHG Conversion Factors methodology and the ICAO Carbon Emissions Calculator's great-circle-distance approach</w:t>
      </w:r>
    </w:p>
    <w:p>
      <w:pPr>
        <w:spacing w:after="120"/>
      </w:pPr>
      <w:r>
        <w:rPr>
          <w:b/>
          <w:bCs/>
        </w:rPr>
        <w:t xml:space="preserve">ICAO Carbon Emissions Calculator Methodology: </w:t>
      </w:r>
      <w:hyperlink w:history="1" r:id="rIdzry1y1vz5qpvbioguhs2d">
        <w:r>
          <w:rPr>
            <w:rStyle w:val="Hyperlink"/>
          </w:rPr>
          <w:t xml:space="preserve">https://icec.icao.int/</w:t>
        </w:r>
      </w:hyperlink>
    </w:p>
    <w:p>
      <w:pPr>
        <w:spacing w:after="120"/>
      </w:pPr>
      <w:r>
        <w:rPr>
          <w:b/>
          <w:bCs/>
        </w:rPr>
        <w:t xml:space="preserve">UK Government GHG Conversion Factors (DEFRA/BEIS): </w:t>
      </w:r>
      <w:hyperlink w:history="1" r:id="rIdgww-7g4bwby5pb_nwl_rp">
        <w:r>
          <w:rPr>
            <w:rStyle w:val="Hyperlink"/>
          </w:rPr>
          <w:t xml:space="preserve">https://www.gov.uk/government/collections/government-conversion-factors-for-company-reporting</w:t>
        </w:r>
      </w:hyperlink>
    </w:p>
    <w:p>
      <w:pPr>
        <w:spacing w:after="120"/>
      </w:pPr>
      <w:r>
        <w:rPr>
          <w:b/>
          <w:bCs/>
        </w:rPr>
        <w:t xml:space="preserve">IATA Recommended Practice 1678 (Cargo CO2 Emissions Measurement): </w:t>
      </w:r>
      <w:hyperlink w:history="1" r:id="rIdegnknmmc7ugnsfxjfsibn">
        <w:r>
          <w:rPr>
            <w:rStyle w:val="Hyperlink"/>
          </w:rPr>
          <w:t xml:space="preserve">https://www.iata.org/en/programs/cargo/sustainability/carbon-footprint/</w:t>
        </w:r>
      </w:hyperlink>
    </w:p>
    <w:p>
      <w:pPr>
        <w:spacing w:after="160"/>
      </w:pPr>
      <w:r>
        <w:rPr>
          <w:i/>
          <w:iCs/>
        </w:rPr>
        <w:t xml:space="preserve">Scope 2 (facility electricity) is estimated at 2.5% of Scope 1, and Scope 3 (upstream supply chain) at 50% of Scope 1. These two allocation ratios are a documented project assumption based on typical industry ratios — they are not pulled from one specific named source the way the distance/factor calculation is, and should be described to reviewers as a reasonable modeling choice rather than a verified figure.</w:t>
      </w:r>
    </w:p>
    <w:p>
      <w:pPr>
        <w:spacing w:after="160"/>
      </w:pPr>
      <w:r>
        <w:t xml:space="preserve">Overstock_CO2e_kg applies an additional carbon penalty only to Late or At-Risk shipments (3.5% and 1.5% of shipment weight respectively), reflecting the extra emissions from re-routing and warehousing delay — this is the core CAPE thesis variable connecting late orders to carbon cost.</w:t>
      </w:r>
    </w:p>
    <w:p>
      <w:pPr>
        <w:pStyle w:val="Heading2"/>
      </w:pPr>
      <w:r>
        <w:t xml:space="preserve">Sheet 2: LAWA_Annual_Validation — Real Data</w:t>
      </w:r>
    </w:p>
    <w:p>
      <w:pPr>
        <w:spacing w:after="160"/>
      </w:pPr>
      <w:r>
        <w:t xml:space="preserve">This sheet contains LAWA's own published airport-wide Scope 1/2/3 greenhouse gas emissions (in MTCO2e), 2013 baseline through 2022, provided as real-world validation context.</w:t>
      </w:r>
    </w:p>
    <w:p>
      <w:pPr>
        <w:spacing w:after="120"/>
      </w:pPr>
      <w:r>
        <w:rPr>
          <w:b/>
          <w:bCs/>
        </w:rPr>
        <w:t xml:space="preserve">Source: LAWA Sustainability Reports: </w:t>
      </w:r>
      <w:hyperlink w:history="1" r:id="rIdfbaxvvz00yl8bhdjrennt">
        <w:r>
          <w:rPr>
            <w:rStyle w:val="Hyperlink"/>
          </w:rPr>
          <w:t xml:space="preserve">https://www.lawa.org/lawa-sustainability</w:t>
        </w:r>
      </w:hyperlink>
    </w:p>
    <w:p>
      <w:pPr>
        <w:spacing w:after="160"/>
      </w:pPr>
      <w:r>
        <w:rPr>
          <w:i/>
          <w:iCs/>
        </w:rPr>
        <w:t xml:space="preserve">Important: these figures are airport-wide totals across all LAX/VNY operations (not cargo-specific), so they validate the order of magnitude and trend of LAX emissions but are not directly comparable row-by-row to the per-shipment Carbon_Emissions sheet.</w:t>
      </w:r>
    </w:p>
    <w:p>
      <w:pPr>
        <w:pStyle w:val="Heading1"/>
      </w:pPr>
      <w:r>
        <w:t xml:space="preserve">4. Summary: What's Real vs. What's Modeled</w:t>
      </w:r>
    </w:p>
    <w:p>
      <w:pPr>
        <w:spacing w:after="160"/>
      </w:pPr>
      <w:r>
        <w:t xml:space="preserve">For transparency with reviewers, here is a single reference table summarizing the provenance of each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Directly Sourced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Calculated (documented formula)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Representative/Assumed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Sales.xlsx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Tonnage, dates, domestic/intl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Revenue,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Carrier, product category, delivery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Prices.xlsx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rate (FAX index)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Domestic rate (38% discount)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Weight-break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 Emissions.xlsx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Distance, LAWA annual totals (validation sheet)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1, overstock penalty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2/3 allocation ratios</w:t>
            </w:r>
          </w:p>
        </w:tc>
      </w:tr>
    </w:tbl>
    <w:p>
      <w:pPr>
        <w:spacing w:before="360"/>
      </w:pPr>
      <w:r>
        <w:rPr>
          <w:i/>
          <w:iCs/>
          <w:color w:val="666666"/>
          <w:sz w:val="20"/>
          <w:szCs w:val="20"/>
        </w:rPr>
        <w:t xml:space="preserve">This disclosure is intended to strengthen, not weaken, the project's credibility — NSF and SAP reviewers consistently respond better to honest methodology disclosure than to unverified precision.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4D8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2D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D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hzo_mjykmn57r3hktdz" Type="http://schemas.openxmlformats.org/officeDocument/2006/relationships/hyperlink" Target="https://data.lacity.org/Transportation/Los-Angeles-International-Airport-Air-Cargo-Volume/tx7r-x3hp" TargetMode="External"/><Relationship Id="rIdo4i7_ntadcnqtplyewrbt" Type="http://schemas.openxmlformats.org/officeDocument/2006/relationships/hyperlink" Target="https://www.freightos.com/freightos-air-index/" TargetMode="External"/><Relationship Id="rIdeuzpdh3rbwfwwdvl6-qpk" Type="http://schemas.openxmlformats.org/officeDocument/2006/relationships/hyperlink" Target="https://www.freightos.com/freightos-data-terms-conditions/" TargetMode="External"/><Relationship Id="rIdzry1y1vz5qpvbioguhs2d" Type="http://schemas.openxmlformats.org/officeDocument/2006/relationships/hyperlink" Target="https://icec.icao.int/" TargetMode="External"/><Relationship Id="rIdgww-7g4bwby5pb_nwl_rp" Type="http://schemas.openxmlformats.org/officeDocument/2006/relationships/hyperlink" Target="https://www.gov.uk/government/collections/government-conversion-factors-for-company-reporting" TargetMode="External"/><Relationship Id="rIdegnknmmc7ugnsfxjfsibn" Type="http://schemas.openxmlformats.org/officeDocument/2006/relationships/hyperlink" Target="https://www.iata.org/en/programs/cargo/sustainability/carbon-footprint/" TargetMode="External"/><Relationship Id="rIdfbaxvvz00yl8bhdjrennt" Type="http://schemas.openxmlformats.org/officeDocument/2006/relationships/hyperlink" Target="https://www.lawa.org/lawa-sustainability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2026-06-18T02:17:18.447Z</dcterms:created>
  <dcterms:modified xsi:type="dcterms:W3CDTF">2026-06-18T02:17:18.447Z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