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67B95" w14:textId="77777777" w:rsidR="003D4BDB" w:rsidRPr="002433ED" w:rsidRDefault="002433ED" w:rsidP="00CA50EE">
      <w:pPr>
        <w:jc w:val="center"/>
        <w:outlineLvl w:val="0"/>
        <w:rPr>
          <w:sz w:val="24"/>
          <w:szCs w:val="24"/>
        </w:rPr>
      </w:pPr>
      <w:r w:rsidRPr="002433ED">
        <w:rPr>
          <w:sz w:val="24"/>
          <w:szCs w:val="24"/>
        </w:rPr>
        <w:t>PROPOSITIONS</w:t>
      </w:r>
    </w:p>
    <w:p w14:paraId="163FE79C" w14:textId="77777777" w:rsidR="002433ED" w:rsidRDefault="002433ED" w:rsidP="00CA50EE">
      <w:pPr>
        <w:jc w:val="center"/>
        <w:outlineLvl w:val="0"/>
        <w:rPr>
          <w:sz w:val="24"/>
          <w:szCs w:val="24"/>
        </w:rPr>
      </w:pPr>
      <w:proofErr w:type="gramStart"/>
      <w:r>
        <w:rPr>
          <w:sz w:val="24"/>
          <w:szCs w:val="24"/>
        </w:rPr>
        <w:t>accompanying</w:t>
      </w:r>
      <w:proofErr w:type="gramEnd"/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doctoral</w:t>
      </w:r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dissertation</w:t>
      </w:r>
    </w:p>
    <w:p w14:paraId="2CA51567" w14:textId="77777777" w:rsidR="002433ED" w:rsidRPr="002433ED" w:rsidRDefault="002433ED" w:rsidP="00DD51D8">
      <w:pPr>
        <w:rPr>
          <w:sz w:val="24"/>
          <w:szCs w:val="24"/>
        </w:rPr>
      </w:pPr>
    </w:p>
    <w:p w14:paraId="5432E011" w14:textId="77777777" w:rsidR="002433ED" w:rsidRPr="00844D72" w:rsidRDefault="007C001E" w:rsidP="00CA50EE">
      <w:pPr>
        <w:jc w:val="center"/>
        <w:outlineLvl w:val="0"/>
        <w:rPr>
          <w:sz w:val="32"/>
          <w:szCs w:val="32"/>
        </w:rPr>
      </w:pPr>
      <w:r w:rsidRPr="00844D72">
        <w:rPr>
          <w:sz w:val="32"/>
          <w:szCs w:val="32"/>
        </w:rPr>
        <w:t>Ubiquitous</w:t>
      </w:r>
      <w:r w:rsidR="00CA50EE">
        <w:rPr>
          <w:sz w:val="32"/>
          <w:szCs w:val="32"/>
        </w:rPr>
        <w:t xml:space="preserve"> </w:t>
      </w:r>
      <w:r w:rsidRPr="00844D72">
        <w:rPr>
          <w:sz w:val="32"/>
          <w:szCs w:val="32"/>
        </w:rPr>
        <w:t>Technology</w:t>
      </w:r>
      <w:r w:rsidR="00CA50EE">
        <w:rPr>
          <w:sz w:val="32"/>
          <w:szCs w:val="32"/>
        </w:rPr>
        <w:t xml:space="preserve"> </w:t>
      </w:r>
      <w:r w:rsidRPr="00844D72">
        <w:rPr>
          <w:sz w:val="32"/>
          <w:szCs w:val="32"/>
        </w:rPr>
        <w:t>For</w:t>
      </w:r>
      <w:r w:rsidR="00CA50EE">
        <w:rPr>
          <w:sz w:val="32"/>
          <w:szCs w:val="32"/>
        </w:rPr>
        <w:t xml:space="preserve"> </w:t>
      </w:r>
      <w:r w:rsidRPr="00844D72">
        <w:rPr>
          <w:sz w:val="32"/>
          <w:szCs w:val="32"/>
        </w:rPr>
        <w:t>Lifelong</w:t>
      </w:r>
      <w:r w:rsidR="00CA50EE">
        <w:rPr>
          <w:sz w:val="32"/>
          <w:szCs w:val="32"/>
        </w:rPr>
        <w:t xml:space="preserve"> </w:t>
      </w:r>
      <w:r w:rsidRPr="00844D72">
        <w:rPr>
          <w:sz w:val="32"/>
          <w:szCs w:val="32"/>
        </w:rPr>
        <w:t>Learners</w:t>
      </w:r>
    </w:p>
    <w:p w14:paraId="3ECAC93D" w14:textId="77777777" w:rsidR="007C001E" w:rsidRPr="00844D72" w:rsidRDefault="007C001E" w:rsidP="00CA50EE">
      <w:pPr>
        <w:jc w:val="center"/>
        <w:outlineLvl w:val="0"/>
        <w:rPr>
          <w:b/>
          <w:sz w:val="24"/>
          <w:szCs w:val="24"/>
        </w:rPr>
      </w:pPr>
      <w:r w:rsidRPr="00844D72">
        <w:rPr>
          <w:b/>
          <w:sz w:val="24"/>
          <w:szCs w:val="24"/>
        </w:rPr>
        <w:t>Bernardo</w:t>
      </w:r>
      <w:r w:rsidR="00CA50EE">
        <w:rPr>
          <w:b/>
          <w:sz w:val="24"/>
          <w:szCs w:val="24"/>
        </w:rPr>
        <w:t xml:space="preserve"> </w:t>
      </w:r>
      <w:r w:rsidRPr="00844D72">
        <w:rPr>
          <w:b/>
          <w:sz w:val="24"/>
          <w:szCs w:val="24"/>
        </w:rPr>
        <w:t>Tabuenca</w:t>
      </w:r>
    </w:p>
    <w:p w14:paraId="0496F391" w14:textId="77777777" w:rsidR="007C001E" w:rsidRPr="002433ED" w:rsidRDefault="007C001E" w:rsidP="00CA50EE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Friday</w:t>
      </w:r>
      <w:r w:rsidR="003E725D">
        <w:rPr>
          <w:sz w:val="24"/>
          <w:szCs w:val="24"/>
        </w:rPr>
        <w:t>,</w:t>
      </w:r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7C001E">
        <w:rPr>
          <w:sz w:val="24"/>
          <w:szCs w:val="24"/>
          <w:vertAlign w:val="superscript"/>
        </w:rPr>
        <w:t>th</w:t>
      </w:r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July</w:t>
      </w:r>
      <w:r w:rsidR="00CA50EE">
        <w:rPr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14:paraId="2E0AC350" w14:textId="77777777" w:rsidR="002433ED" w:rsidRPr="002433ED" w:rsidRDefault="002433ED">
      <w:pPr>
        <w:rPr>
          <w:sz w:val="24"/>
          <w:szCs w:val="24"/>
        </w:rPr>
      </w:pPr>
    </w:p>
    <w:p w14:paraId="66DDA8A3" w14:textId="77777777" w:rsidR="004106A8" w:rsidRDefault="004106A8" w:rsidP="004106A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Lifelong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like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never-ending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personal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revolution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which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each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individual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constantly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adapts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routines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according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affordances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given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by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environment,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available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tools,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occasional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constrains,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or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previous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knowledge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specific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topic.</w:t>
      </w:r>
    </w:p>
    <w:p w14:paraId="609B50A0" w14:textId="77777777" w:rsidR="004106A8" w:rsidRPr="000F6E35" w:rsidRDefault="004106A8" w:rsidP="004106A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F6E35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F6E35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F6E35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p w14:paraId="2C6573D6" w14:textId="77777777" w:rsidR="002E1B64" w:rsidRDefault="00D20BB1" w:rsidP="00DD51D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bookmarkStart w:id="0" w:name="_GoBack"/>
      <w:bookmarkEnd w:id="0"/>
      <w:r w:rsidRPr="00885EB0">
        <w:rPr>
          <w:rFonts w:eastAsiaTheme="minorEastAsia" w:cs="Arial"/>
          <w:sz w:val="24"/>
          <w:szCs w:val="24"/>
          <w:lang w:eastAsia="ja-JP"/>
        </w:rPr>
        <w:t>Lifelong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has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become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necessity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for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all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citizens.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need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develop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skills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competences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throughout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lives,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not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for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personal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885EB0" w:rsidRPr="00885EB0">
        <w:rPr>
          <w:rFonts w:eastAsiaTheme="minorEastAsia" w:cs="Arial"/>
          <w:sz w:val="24"/>
          <w:szCs w:val="24"/>
          <w:lang w:eastAsia="ja-JP"/>
        </w:rPr>
        <w:t>fulfillment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ability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actively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engage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with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society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which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live,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but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for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ability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successful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constantly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changing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world.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</w:p>
    <w:p w14:paraId="4B19A505" w14:textId="77777777" w:rsidR="00D20BB1" w:rsidRPr="000E338C" w:rsidRDefault="00D20BB1" w:rsidP="002E1B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E338C">
        <w:rPr>
          <w:rFonts w:eastAsiaTheme="minorEastAsia" w:cs="Arial"/>
          <w:i/>
          <w:sz w:val="24"/>
          <w:szCs w:val="24"/>
          <w:lang w:eastAsia="ja-JP"/>
        </w:rPr>
        <w:t>(European</w:t>
      </w:r>
      <w:r w:rsidR="00CA50EE" w:rsidRPr="000E338C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E338C">
        <w:rPr>
          <w:rFonts w:eastAsiaTheme="minorEastAsia" w:cs="Arial"/>
          <w:i/>
          <w:sz w:val="24"/>
          <w:szCs w:val="24"/>
          <w:lang w:eastAsia="ja-JP"/>
        </w:rPr>
        <w:t>Commission,</w:t>
      </w:r>
      <w:r w:rsidR="00CA50EE" w:rsidRPr="000E338C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E338C">
        <w:rPr>
          <w:rFonts w:eastAsiaTheme="minorEastAsia" w:cs="Arial"/>
          <w:i/>
          <w:sz w:val="24"/>
          <w:szCs w:val="24"/>
          <w:lang w:eastAsia="ja-JP"/>
        </w:rPr>
        <w:t>2007)</w:t>
      </w:r>
    </w:p>
    <w:p w14:paraId="31DC8736" w14:textId="77777777" w:rsidR="00D20BB1" w:rsidRDefault="00D20BB1" w:rsidP="00CA50E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Nowadays,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most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people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change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their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career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throughout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their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lives,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many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times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independently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what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learned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during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their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formal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education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period.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Therefore,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necessity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continually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keep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our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skills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sharp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D51D8">
        <w:rPr>
          <w:rFonts w:eastAsiaTheme="minorEastAsia" w:cs="Arial"/>
          <w:sz w:val="24"/>
          <w:szCs w:val="24"/>
          <w:lang w:eastAsia="ja-JP"/>
        </w:rPr>
        <w:t>up-to-</w:t>
      </w:r>
      <w:r w:rsidRPr="00885EB0">
        <w:rPr>
          <w:rFonts w:eastAsiaTheme="minorEastAsia" w:cs="Arial"/>
          <w:sz w:val="24"/>
          <w:szCs w:val="24"/>
          <w:lang w:eastAsia="ja-JP"/>
        </w:rPr>
        <w:t>date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becomes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increasingly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important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rapidly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changing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job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market.</w:t>
      </w:r>
    </w:p>
    <w:p w14:paraId="743BE6A6" w14:textId="77777777" w:rsidR="00DD51D8" w:rsidRPr="000E338C" w:rsidRDefault="00DD51D8" w:rsidP="00DD51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E338C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E338C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="00CA50EE" w:rsidRPr="000E338C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E338C">
        <w:rPr>
          <w:rFonts w:eastAsiaTheme="minorEastAsia" w:cs="Arial"/>
          <w:i/>
          <w:sz w:val="24"/>
          <w:szCs w:val="24"/>
          <w:lang w:eastAsia="ja-JP"/>
        </w:rPr>
        <w:t>thesis)</w:t>
      </w:r>
    </w:p>
    <w:p w14:paraId="390C6BCF" w14:textId="217DBAF1" w:rsidR="003E725D" w:rsidRDefault="00D20BB1" w:rsidP="00CA50E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ability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pursue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persist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3E725D" w:rsidRPr="00885EB0">
        <w:rPr>
          <w:rFonts w:eastAsiaTheme="minorEastAsia" w:cs="Arial"/>
          <w:sz w:val="24"/>
          <w:szCs w:val="24"/>
          <w:lang w:eastAsia="ja-JP"/>
        </w:rPr>
        <w:t>organize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one’s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own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including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through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effective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management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of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time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information</w:t>
      </w:r>
      <w:r w:rsidR="000E338C">
        <w:rPr>
          <w:rFonts w:eastAsiaTheme="minorEastAsia" w:cs="Arial"/>
          <w:sz w:val="24"/>
          <w:szCs w:val="24"/>
          <w:lang w:eastAsia="ja-JP"/>
        </w:rPr>
        <w:t>.</w:t>
      </w:r>
    </w:p>
    <w:p w14:paraId="2C90C7A1" w14:textId="77777777" w:rsidR="00D20BB1" w:rsidRPr="000944B7" w:rsidRDefault="00D20BB1" w:rsidP="003E72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944B7">
        <w:rPr>
          <w:rFonts w:eastAsiaTheme="minorEastAsia" w:cs="Arial"/>
          <w:i/>
          <w:sz w:val="24"/>
          <w:szCs w:val="24"/>
          <w:lang w:eastAsia="ja-JP"/>
        </w:rPr>
        <w:t>(European</w:t>
      </w:r>
      <w:r w:rsidR="00CA50EE" w:rsidRPr="000944B7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944B7">
        <w:rPr>
          <w:rFonts w:eastAsiaTheme="minorEastAsia" w:cs="Arial"/>
          <w:i/>
          <w:sz w:val="24"/>
          <w:szCs w:val="24"/>
          <w:lang w:eastAsia="ja-JP"/>
        </w:rPr>
        <w:t>Commission,</w:t>
      </w:r>
      <w:r w:rsidR="00CA50EE" w:rsidRPr="000944B7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944B7">
        <w:rPr>
          <w:rFonts w:eastAsiaTheme="minorEastAsia" w:cs="Arial"/>
          <w:i/>
          <w:sz w:val="24"/>
          <w:szCs w:val="24"/>
          <w:lang w:eastAsia="ja-JP"/>
        </w:rPr>
        <w:t>2007)</w:t>
      </w:r>
    </w:p>
    <w:p w14:paraId="494746C0" w14:textId="29D32CC3" w:rsidR="00B47026" w:rsidRDefault="00D20BB1" w:rsidP="006C185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Self-</w:t>
      </w:r>
      <w:r w:rsidR="003E725D">
        <w:rPr>
          <w:rFonts w:eastAsiaTheme="minorEastAsia" w:cs="Arial"/>
          <w:sz w:val="24"/>
          <w:szCs w:val="24"/>
          <w:lang w:eastAsia="ja-JP"/>
        </w:rPr>
        <w:t>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egulated </w:t>
      </w:r>
      <w:r w:rsidRPr="00CA50EE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EE05E1">
        <w:rPr>
          <w:rFonts w:eastAsiaTheme="minorEastAsia" w:cs="Arial"/>
          <w:sz w:val="24"/>
          <w:szCs w:val="24"/>
          <w:lang w:eastAsia="ja-JP"/>
        </w:rPr>
        <w:t xml:space="preserve">is </w:t>
      </w:r>
      <w:r w:rsidR="00B47026">
        <w:rPr>
          <w:rFonts w:eastAsiaTheme="minorEastAsia" w:cs="Arial"/>
          <w:sz w:val="24"/>
          <w:szCs w:val="24"/>
          <w:lang w:eastAsia="ja-JP"/>
        </w:rPr>
        <w:t xml:space="preserve">correlated </w:t>
      </w:r>
      <w:r w:rsidR="001E1F9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students’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proactive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actions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aimed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acquiring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applying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information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or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skills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that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involve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setting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goals,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self-monitoring,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managing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time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regulating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one’s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effort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towards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CA50EE">
        <w:rPr>
          <w:rFonts w:eastAsiaTheme="minorEastAsia" w:cs="Arial"/>
          <w:sz w:val="24"/>
          <w:szCs w:val="24"/>
          <w:lang w:eastAsia="ja-JP"/>
        </w:rPr>
        <w:t>goal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="006C1850" w:rsidRPr="00CA50EE">
        <w:rPr>
          <w:rFonts w:eastAsiaTheme="minorEastAsia" w:cs="Arial"/>
          <w:sz w:val="24"/>
          <w:szCs w:val="24"/>
          <w:lang w:eastAsia="ja-JP"/>
        </w:rPr>
        <w:t>fulfillment</w:t>
      </w:r>
      <w:r w:rsidR="00F709BE">
        <w:rPr>
          <w:rFonts w:eastAsiaTheme="minorEastAsia" w:cs="Arial"/>
          <w:sz w:val="24"/>
          <w:szCs w:val="24"/>
          <w:lang w:eastAsia="ja-JP"/>
        </w:rPr>
        <w:t>.</w:t>
      </w:r>
    </w:p>
    <w:p w14:paraId="4E7216BB" w14:textId="77777777" w:rsidR="00D20BB1" w:rsidRPr="000944B7" w:rsidRDefault="00D20BB1" w:rsidP="00B470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944B7">
        <w:rPr>
          <w:rFonts w:eastAsiaTheme="minorEastAsia" w:cs="Arial"/>
          <w:i/>
          <w:sz w:val="24"/>
          <w:szCs w:val="24"/>
          <w:lang w:eastAsia="ja-JP"/>
        </w:rPr>
        <w:t>(Candy</w:t>
      </w:r>
      <w:r w:rsidR="00CA50EE" w:rsidRPr="000944B7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944B7">
        <w:rPr>
          <w:rFonts w:eastAsiaTheme="minorEastAsia" w:cs="Arial"/>
          <w:i/>
          <w:sz w:val="24"/>
          <w:szCs w:val="24"/>
          <w:lang w:eastAsia="ja-JP"/>
        </w:rPr>
        <w:t>and</w:t>
      </w:r>
      <w:r w:rsidR="00CA50EE" w:rsidRPr="000944B7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Pr="000944B7">
        <w:rPr>
          <w:rFonts w:eastAsiaTheme="minorEastAsia" w:cs="Arial"/>
          <w:i/>
          <w:sz w:val="24"/>
          <w:szCs w:val="24"/>
          <w:lang w:eastAsia="ja-JP"/>
        </w:rPr>
        <w:t>Brookfield,</w:t>
      </w:r>
      <w:r w:rsidR="00CA50EE" w:rsidRPr="000944B7">
        <w:rPr>
          <w:rFonts w:eastAsiaTheme="minorEastAsia" w:cs="Arial"/>
          <w:i/>
          <w:sz w:val="24"/>
          <w:szCs w:val="24"/>
          <w:lang w:eastAsia="ja-JP"/>
        </w:rPr>
        <w:t xml:space="preserve"> </w:t>
      </w:r>
      <w:r w:rsidR="00421CE8" w:rsidRPr="000944B7">
        <w:rPr>
          <w:rFonts w:eastAsiaTheme="minorEastAsia" w:cs="Arial"/>
          <w:i/>
          <w:sz w:val="24"/>
          <w:szCs w:val="24"/>
          <w:lang w:eastAsia="ja-JP"/>
        </w:rPr>
        <w:t>1991)</w:t>
      </w:r>
    </w:p>
    <w:p w14:paraId="09DEDBC1" w14:textId="77777777" w:rsidR="00D20BB1" w:rsidRDefault="00D20BB1" w:rsidP="0062643F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Digital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competence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involves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confident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critical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use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of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technology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work,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communicate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personal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social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life.</w:t>
      </w:r>
    </w:p>
    <w:p w14:paraId="45A12A18" w14:textId="77777777" w:rsidR="00421CE8" w:rsidRPr="000F6E35" w:rsidRDefault="00421CE8" w:rsidP="00421CE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F6E35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F6E35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F6E35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p w14:paraId="534B5062" w14:textId="4D7A6970" w:rsidR="0062643F" w:rsidRPr="00D64C03" w:rsidRDefault="002A0BB4" w:rsidP="00A675B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D64C03">
        <w:rPr>
          <w:rFonts w:eastAsiaTheme="minorEastAsia" w:cs="Arial"/>
          <w:sz w:val="24"/>
          <w:szCs w:val="24"/>
          <w:lang w:eastAsia="ja-JP"/>
        </w:rPr>
        <w:t xml:space="preserve">Lifelong learners constantly re-design their </w:t>
      </w:r>
      <w:r w:rsidR="00D64C03" w:rsidRPr="00D64C03">
        <w:rPr>
          <w:rFonts w:eastAsiaTheme="minorEastAsia" w:cs="Arial"/>
          <w:sz w:val="24"/>
          <w:szCs w:val="24"/>
          <w:lang w:eastAsia="ja-JP"/>
        </w:rPr>
        <w:t xml:space="preserve">learning environments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in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recognition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of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the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places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5E5479" w:rsidRPr="00D64C03">
        <w:rPr>
          <w:rFonts w:eastAsiaTheme="minorEastAsia" w:cs="Arial"/>
          <w:sz w:val="24"/>
          <w:szCs w:val="24"/>
          <w:lang w:eastAsia="ja-JP"/>
        </w:rPr>
        <w:t>in which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they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perform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interactions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with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B6F7F" w:rsidRPr="00D64C03">
        <w:rPr>
          <w:rFonts w:eastAsiaTheme="minorEastAsia" w:cs="Arial"/>
          <w:sz w:val="24"/>
          <w:szCs w:val="24"/>
          <w:lang w:eastAsia="ja-JP"/>
        </w:rPr>
        <w:t xml:space="preserve">people,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spaces,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64C03" w:rsidRPr="00D64C03">
        <w:rPr>
          <w:rFonts w:eastAsiaTheme="minorEastAsia" w:cs="Arial"/>
          <w:sz w:val="24"/>
          <w:szCs w:val="24"/>
          <w:lang w:eastAsia="ja-JP"/>
        </w:rPr>
        <w:t>artifacts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and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resources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through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which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people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achieve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their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  <w:r w:rsidR="00D20BB1" w:rsidRPr="00D64C03">
        <w:rPr>
          <w:rFonts w:eastAsiaTheme="minorEastAsia" w:cs="Arial"/>
          <w:sz w:val="24"/>
          <w:szCs w:val="24"/>
          <w:lang w:eastAsia="ja-JP"/>
        </w:rPr>
        <w:t>work.</w:t>
      </w:r>
      <w:r w:rsidR="00CA50EE" w:rsidRPr="00D64C03">
        <w:rPr>
          <w:rFonts w:eastAsiaTheme="minorEastAsia" w:cs="Arial"/>
          <w:sz w:val="24"/>
          <w:szCs w:val="24"/>
          <w:lang w:eastAsia="ja-JP"/>
        </w:rPr>
        <w:t xml:space="preserve"> </w:t>
      </w:r>
    </w:p>
    <w:p w14:paraId="0B579ED7" w14:textId="77777777" w:rsidR="00A675BA" w:rsidRPr="000F6E35" w:rsidRDefault="00A675BA" w:rsidP="00A675B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F6E35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F6E35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F6E35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p w14:paraId="3E6804E1" w14:textId="77777777" w:rsidR="00D20BB1" w:rsidRDefault="00D20BB1" w:rsidP="00BB05E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Lifelong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learners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are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intrinsically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interested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identify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patterns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their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experiences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scaffold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their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autobiography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learner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to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better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distribute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activities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forthcoming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goals.</w:t>
      </w:r>
    </w:p>
    <w:p w14:paraId="5364D3F6" w14:textId="3794A284" w:rsidR="00BB05E2" w:rsidRPr="000F6E35" w:rsidRDefault="00BB05E2" w:rsidP="00BB05E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F6E35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F6E35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F6E35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p w14:paraId="3C61D917" w14:textId="77777777" w:rsidR="00864A45" w:rsidRDefault="00864A45" w:rsidP="00864A4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mobile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device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probably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only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artifact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coexisting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with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the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learner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in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all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scattered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learning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moments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and</w:t>
      </w:r>
      <w:r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learni</w:t>
      </w:r>
      <w:r>
        <w:rPr>
          <w:rFonts w:eastAsiaTheme="minorEastAsia" w:cs="Arial"/>
          <w:sz w:val="24"/>
          <w:szCs w:val="24"/>
          <w:lang w:eastAsia="ja-JP"/>
        </w:rPr>
        <w:t xml:space="preserve">ng contexts throughout the day. </w:t>
      </w:r>
    </w:p>
    <w:p w14:paraId="10D22EC2" w14:textId="77777777" w:rsidR="00864A45" w:rsidRPr="000E338C" w:rsidRDefault="00864A45" w:rsidP="00864A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E338C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E338C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E338C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p w14:paraId="2002345E" w14:textId="25690F94" w:rsidR="00D20BB1" w:rsidRDefault="00D20BB1" w:rsidP="006775C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 w:cs="Arial"/>
          <w:sz w:val="24"/>
          <w:szCs w:val="24"/>
          <w:lang w:eastAsia="ja-JP"/>
        </w:rPr>
      </w:pPr>
      <w:r w:rsidRPr="00885EB0">
        <w:rPr>
          <w:rFonts w:eastAsiaTheme="minorEastAsia" w:cs="Arial"/>
          <w:sz w:val="24"/>
          <w:szCs w:val="24"/>
          <w:lang w:eastAsia="ja-JP"/>
        </w:rPr>
        <w:t>Looking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backward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one’s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proofErr w:type="gramStart"/>
      <w:r w:rsidRPr="00885EB0">
        <w:rPr>
          <w:rFonts w:eastAsiaTheme="minorEastAsia" w:cs="Arial"/>
          <w:sz w:val="24"/>
          <w:szCs w:val="24"/>
          <w:lang w:eastAsia="ja-JP"/>
        </w:rPr>
        <w:t>life</w:t>
      </w:r>
      <w:proofErr w:type="gramEnd"/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learner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is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not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a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deep-rooted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habit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of</w:t>
      </w:r>
      <w:r w:rsidR="00CA50EE">
        <w:rPr>
          <w:rFonts w:eastAsiaTheme="minorEastAsia" w:cs="Arial"/>
          <w:sz w:val="24"/>
          <w:szCs w:val="24"/>
          <w:lang w:eastAsia="ja-JP"/>
        </w:rPr>
        <w:t xml:space="preserve"> </w:t>
      </w:r>
      <w:r w:rsidRPr="00885EB0">
        <w:rPr>
          <w:rFonts w:eastAsiaTheme="minorEastAsia" w:cs="Arial"/>
          <w:sz w:val="24"/>
          <w:szCs w:val="24"/>
          <w:lang w:eastAsia="ja-JP"/>
        </w:rPr>
        <w:t>students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. </w:t>
      </w:r>
      <w:r w:rsidR="006164F5">
        <w:rPr>
          <w:rFonts w:eastAsiaTheme="minorEastAsia" w:cs="Arial"/>
          <w:sz w:val="24"/>
          <w:szCs w:val="24"/>
          <w:lang w:eastAsia="ja-JP"/>
        </w:rPr>
        <w:t>I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is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a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challenge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to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find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ways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to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provide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students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with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opportunities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to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mentally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evoke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what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they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have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learned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throughout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the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day,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so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that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this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experience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can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be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turned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into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a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deliberate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object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of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attention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and</w:t>
      </w:r>
      <w:r w:rsidR="00956438">
        <w:rPr>
          <w:rFonts w:eastAsiaTheme="minorEastAsia" w:cs="Arial"/>
          <w:sz w:val="24"/>
          <w:szCs w:val="24"/>
          <w:lang w:eastAsia="ja-JP"/>
        </w:rPr>
        <w:t xml:space="preserve"> </w:t>
      </w:r>
      <w:r w:rsidR="00956438" w:rsidRPr="00885EB0">
        <w:rPr>
          <w:rFonts w:eastAsiaTheme="minorEastAsia" w:cs="Arial"/>
          <w:sz w:val="24"/>
          <w:szCs w:val="24"/>
          <w:lang w:eastAsia="ja-JP"/>
        </w:rPr>
        <w:t>reflection</w:t>
      </w:r>
      <w:r w:rsidR="00F709BE">
        <w:rPr>
          <w:rFonts w:eastAsiaTheme="minorEastAsia" w:cs="Arial"/>
          <w:sz w:val="24"/>
          <w:szCs w:val="24"/>
          <w:lang w:eastAsia="ja-JP"/>
        </w:rPr>
        <w:t>.</w:t>
      </w:r>
    </w:p>
    <w:p w14:paraId="5864BC17" w14:textId="38898F92" w:rsidR="00D20BB1" w:rsidRPr="000F6E35" w:rsidRDefault="006775CC" w:rsidP="000F6E3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right"/>
        <w:rPr>
          <w:rFonts w:eastAsiaTheme="minorEastAsia" w:cs="Arial"/>
          <w:i/>
          <w:sz w:val="24"/>
          <w:szCs w:val="24"/>
          <w:lang w:eastAsia="ja-JP"/>
        </w:rPr>
      </w:pPr>
      <w:r w:rsidRPr="000F6E35">
        <w:rPr>
          <w:rFonts w:eastAsiaTheme="minorEastAsia" w:cs="Arial"/>
          <w:i/>
          <w:sz w:val="24"/>
          <w:szCs w:val="24"/>
          <w:lang w:eastAsia="ja-JP"/>
        </w:rPr>
        <w:t>(</w:t>
      </w:r>
      <w:proofErr w:type="gramStart"/>
      <w:r w:rsidRPr="000F6E35">
        <w:rPr>
          <w:rFonts w:eastAsiaTheme="minorEastAsia" w:cs="Arial"/>
          <w:i/>
          <w:sz w:val="24"/>
          <w:szCs w:val="24"/>
          <w:lang w:eastAsia="ja-JP"/>
        </w:rPr>
        <w:t>this</w:t>
      </w:r>
      <w:proofErr w:type="gramEnd"/>
      <w:r w:rsidRPr="000F6E35">
        <w:rPr>
          <w:rFonts w:eastAsiaTheme="minorEastAsia" w:cs="Arial"/>
          <w:i/>
          <w:sz w:val="24"/>
          <w:szCs w:val="24"/>
          <w:lang w:eastAsia="ja-JP"/>
        </w:rPr>
        <w:t xml:space="preserve"> thesis)</w:t>
      </w:r>
    </w:p>
    <w:sectPr w:rsidR="00D20BB1" w:rsidRPr="000F6E35" w:rsidSect="00361A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6F43E9"/>
    <w:multiLevelType w:val="hybridMultilevel"/>
    <w:tmpl w:val="2CC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155E"/>
    <w:multiLevelType w:val="hybridMultilevel"/>
    <w:tmpl w:val="F30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B1"/>
    <w:rsid w:val="000944B7"/>
    <w:rsid w:val="000C2F56"/>
    <w:rsid w:val="000E338C"/>
    <w:rsid w:val="000F6E35"/>
    <w:rsid w:val="001E1F90"/>
    <w:rsid w:val="002433ED"/>
    <w:rsid w:val="002A0BB4"/>
    <w:rsid w:val="002A6755"/>
    <w:rsid w:val="002E1B64"/>
    <w:rsid w:val="00361A1A"/>
    <w:rsid w:val="003D4BDB"/>
    <w:rsid w:val="003E725D"/>
    <w:rsid w:val="004106A8"/>
    <w:rsid w:val="00421CE8"/>
    <w:rsid w:val="00461EC3"/>
    <w:rsid w:val="00474A46"/>
    <w:rsid w:val="00596A54"/>
    <w:rsid w:val="005A3E03"/>
    <w:rsid w:val="005E5479"/>
    <w:rsid w:val="006164F5"/>
    <w:rsid w:val="0062643F"/>
    <w:rsid w:val="006775CC"/>
    <w:rsid w:val="006C1850"/>
    <w:rsid w:val="007908FF"/>
    <w:rsid w:val="007B7B49"/>
    <w:rsid w:val="007C001E"/>
    <w:rsid w:val="00805472"/>
    <w:rsid w:val="00844D72"/>
    <w:rsid w:val="00864A45"/>
    <w:rsid w:val="00885EB0"/>
    <w:rsid w:val="0095092B"/>
    <w:rsid w:val="00956438"/>
    <w:rsid w:val="009B6F7F"/>
    <w:rsid w:val="00A675BA"/>
    <w:rsid w:val="00B47026"/>
    <w:rsid w:val="00BB05E2"/>
    <w:rsid w:val="00C244CA"/>
    <w:rsid w:val="00CA50EE"/>
    <w:rsid w:val="00D20BB1"/>
    <w:rsid w:val="00D64C03"/>
    <w:rsid w:val="00DD51D8"/>
    <w:rsid w:val="00EE05E1"/>
    <w:rsid w:val="00F10F5B"/>
    <w:rsid w:val="00F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45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5B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autoRedefine/>
    <w:qFormat/>
    <w:rsid w:val="00F10F5B"/>
    <w:pPr>
      <w:keepNext/>
      <w:spacing w:before="160" w:after="160"/>
      <w:outlineLvl w:val="0"/>
    </w:pPr>
    <w:rPr>
      <w:b/>
      <w:smallCaps/>
    </w:rPr>
  </w:style>
  <w:style w:type="paragraph" w:styleId="Heading3">
    <w:name w:val="heading 3"/>
    <w:basedOn w:val="Normal"/>
    <w:next w:val="Normal"/>
    <w:link w:val="Heading3Char"/>
    <w:autoRedefine/>
    <w:qFormat/>
    <w:rsid w:val="00F10F5B"/>
    <w:pPr>
      <w:keepNext/>
      <w:spacing w:before="240" w:after="60"/>
      <w:outlineLvl w:val="2"/>
    </w:pPr>
    <w:rPr>
      <w:bCs/>
      <w:i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0F5B"/>
    <w:rPr>
      <w:rFonts w:ascii="Times New Roman" w:eastAsia="Times New Roman" w:hAnsi="Times New Roman" w:cs="Times New Roman"/>
      <w:b/>
      <w:smallCaps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F10F5B"/>
    <w:rPr>
      <w:rFonts w:ascii="Times New Roman" w:eastAsia="Times New Roman" w:hAnsi="Times New Roman" w:cs="Times New Roman"/>
      <w:bCs/>
      <w:i/>
      <w:sz w:val="20"/>
      <w:szCs w:val="26"/>
      <w:lang w:val="en-GB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C3"/>
    <w:rPr>
      <w:rFonts w:ascii="Lucida Grande" w:eastAsia="Times New Roman" w:hAnsi="Lucida Grande" w:cs="Lucida Grande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8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5B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autoRedefine/>
    <w:qFormat/>
    <w:rsid w:val="00F10F5B"/>
    <w:pPr>
      <w:keepNext/>
      <w:spacing w:before="160" w:after="160"/>
      <w:outlineLvl w:val="0"/>
    </w:pPr>
    <w:rPr>
      <w:b/>
      <w:smallCaps/>
    </w:rPr>
  </w:style>
  <w:style w:type="paragraph" w:styleId="Heading3">
    <w:name w:val="heading 3"/>
    <w:basedOn w:val="Normal"/>
    <w:next w:val="Normal"/>
    <w:link w:val="Heading3Char"/>
    <w:autoRedefine/>
    <w:qFormat/>
    <w:rsid w:val="00F10F5B"/>
    <w:pPr>
      <w:keepNext/>
      <w:spacing w:before="240" w:after="60"/>
      <w:outlineLvl w:val="2"/>
    </w:pPr>
    <w:rPr>
      <w:bCs/>
      <w:i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0F5B"/>
    <w:rPr>
      <w:rFonts w:ascii="Times New Roman" w:eastAsia="Times New Roman" w:hAnsi="Times New Roman" w:cs="Times New Roman"/>
      <w:b/>
      <w:smallCaps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F10F5B"/>
    <w:rPr>
      <w:rFonts w:ascii="Times New Roman" w:eastAsia="Times New Roman" w:hAnsi="Times New Roman" w:cs="Times New Roman"/>
      <w:bCs/>
      <w:i/>
      <w:sz w:val="20"/>
      <w:szCs w:val="26"/>
      <w:lang w:val="en-GB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C3"/>
    <w:rPr>
      <w:rFonts w:ascii="Lucida Grande" w:eastAsia="Times New Roman" w:hAnsi="Lucida Grande" w:cs="Lucida Grande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8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389</Words>
  <Characters>2218</Characters>
  <Application>Microsoft Macintosh Word</Application>
  <DocSecurity>0</DocSecurity>
  <Lines>18</Lines>
  <Paragraphs>5</Paragraphs>
  <ScaleCrop>false</ScaleCrop>
  <Company>ou.nl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Tabuenca</dc:creator>
  <cp:keywords/>
  <dc:description/>
  <cp:lastModifiedBy>Bernardo Tabuenca</cp:lastModifiedBy>
  <cp:revision>7</cp:revision>
  <dcterms:created xsi:type="dcterms:W3CDTF">2015-06-01T10:06:00Z</dcterms:created>
  <dcterms:modified xsi:type="dcterms:W3CDTF">2015-06-01T10:51:00Z</dcterms:modified>
</cp:coreProperties>
</file>