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6"/>
        </w:rPr>
        <w:t>Depo Yeniden Düzenleme ve Kod İyileştirme</w:t>
      </w:r>
    </w:p>
    <w:p>
      <w:r>
        <w:rPr>
          <w:color w:val="595959"/>
          <w:sz w:val="25"/>
        </w:rPr>
        <w:t>EMG Tabanlı El Hareketi Tanıma — Yüksek Lisans Tez Kod Tabanı</w:t>
      </w:r>
    </w:p>
    <w:p>
      <w:r>
        <w:rPr>
          <w:i/>
          <w:color w:val="595959"/>
          <w:sz w:val="20"/>
        </w:rPr>
        <w:t>Hazırlayan: Claude  ·  Proje: Burak Talha Güçlü  ·  5 Temmuz 2026</w:t>
      </w:r>
    </w:p>
    <w:p/>
    <w:p>
      <w:pPr>
        <w:pStyle w:val="Heading1"/>
      </w:pPr>
      <w:r>
        <w:t>1. Yönetici Özeti</w:t>
      </w:r>
    </w:p>
    <w:p>
      <w:pPr>
        <w:spacing w:after="120"/>
      </w:pPr>
      <w:r>
        <w:rPr>
          <w:i w:val="0"/>
        </w:rPr>
        <w:t>Bu doküman, EMG el hareketi tanıma tez projesinin Git deposunu yeniden düzenlemek için yapılan çalışmayı, orijinal düzen ve kodda tespit edilen sorunları, bunları gidermek için yapılan değişiklikleri ve her kararın gerekçesini açıklar. Kısaca proje, birbirine karışmış iki klasörden; kaynak kodu, veriyi, MATLAB araçlarını, sonuçları ve dokümantasyonu birbirinden ayıran temiz ve standart bir yapıya taşınmıştır. Tekrarlanan veri dosyaları kaldırılmış, çeşitli yol (path) ve tekrarlanabilirlik hataları düzeltilmiş, tüm betiklerde kopyalanıp yapıştırılan ortak kod tek bir yeniden kullanılabilir modülde toplanmış, derin öğrenme betikleri daha sağlam hale getirilmiş ve yeni, doğru bir README ile proje meta dosyaları (bağımlılık ve Git yapılandırma dosyaları) eklenmiştir.</w:t>
      </w:r>
    </w:p>
    <w:p>
      <w:pPr>
        <w:spacing w:after="120"/>
      </w:pPr>
      <w:r>
        <w:rPr>
          <w:i w:val="0"/>
        </w:rPr>
        <w:t>Her şey doğrulandı: on betiğin tümü derleniyor, ortak modülün çekirdek mantığı birim testinden geçirildi ve tüm veri dosyalarının betiklerin beklediği şemayla yüklendiği teyit edildi.</w:t>
      </w:r>
    </w:p>
    <w:p>
      <w:pPr>
        <w:pStyle w:val="Heading1"/>
      </w:pPr>
      <w:r>
        <w:t>2. Proje Genel Bakışı</w:t>
      </w:r>
    </w:p>
    <w:p>
      <w:pPr>
        <w:spacing w:after="120"/>
      </w:pPr>
      <w:r>
        <w:rPr>
          <w:i w:val="0"/>
        </w:rPr>
        <w:t>Proje, yüzey EMG (elektromiyografi) sinyallerinden el hareketlerini sınıflandırır. İki veri seti kullanılır: açık kaynaklı NinaPro DB5 kıyaslama seti (8 kanallı Myo kol bandı EMG, 7 hareket) ve iki denekten (Ecem ve Selman) kaydedilen 2 kanallı özel veri seti (6 hareket). Dört modelleme yaklaşımı karşılaştırılır: Destek Vektör Makinesi (SVM), Rastgele Orman (Random Forest), MEET (Extra-Trees uzmanlarından oluşan Bire-Bir topluluk) ve 1B evrişimli sinir ağı (CNN). Sinyaller 150 ms'lik pencerelere bölünür ve kanal başına dört zaman uzayı özniteliğine (RMS, MAV, WL, SSC) indirgenir.</w:t>
      </w:r>
    </w:p>
    <w:p>
      <w:pPr>
        <w:pStyle w:val="Heading1"/>
      </w:pPr>
      <w:r>
        <w:t>3. Orijinal Depoda Tespit Edilen Sorunlar</w:t>
      </w:r>
    </w:p>
    <w:p>
      <w:pPr>
        <w:spacing w:after="120"/>
      </w:pPr>
      <w:r>
        <w:rPr>
          <w:i w:val="0"/>
        </w:rPr>
        <w:t>Değişikliklere başlamadan önce depo ve her betik incelendi. Aşağıdaki tablo, tespit edilen somut sorunları ve her birinin neden önemli olduğunu listeler.</w:t>
      </w:r>
    </w:p>
    <w:tbl>
      <w:tblPr>
        <w:tblStyle w:val="LightGrid-Accent1"/>
        <w:tblW w:type="auto" w:w="0"/>
        <w:jc w:val="center"/>
        <w:tblLook w:firstColumn="1" w:firstRow="1" w:lastColumn="0" w:lastRow="0" w:noHBand="0" w:noVBand="1" w:val="04A0"/>
      </w:tblPr>
      <w:tblGrid>
        <w:gridCol w:w="4320"/>
        <w:gridCol w:w="4320"/>
      </w:tblGrid>
      <w:tr>
        <w:tc>
          <w:tcPr>
            <w:tcW w:type="dxa" w:w="4608"/>
          </w:tcPr>
          <w:p>
            <w:r/>
            <w:r>
              <w:rPr>
                <w:b/>
                <w:sz w:val="19"/>
              </w:rPr>
              <w:t>Sorun</w:t>
            </w:r>
          </w:p>
        </w:tc>
        <w:tc>
          <w:tcPr>
            <w:tcW w:type="dxa" w:w="4752"/>
          </w:tcPr>
          <w:p>
            <w:r/>
            <w:r>
              <w:rPr>
                <w:b/>
                <w:sz w:val="19"/>
              </w:rPr>
              <w:t>Neden önemliydi</w:t>
            </w:r>
          </w:p>
        </w:tc>
      </w:tr>
      <w:tr>
        <w:tc>
          <w:tcPr>
            <w:tcW w:type="dxa" w:w="4608"/>
          </w:tcPr>
          <w:p>
            <w:r/>
            <w:r>
              <w:rPr>
                <w:sz w:val="18"/>
              </w:rPr>
              <w:t>Tekrarlı ham veri: dört özel .mat dosyası iki kez mevcuttu (custom_data/ ve custom_data/data/).</w:t>
            </w:r>
          </w:p>
        </w:tc>
        <w:tc>
          <w:tcPr>
            <w:tcW w:type="dxa" w:w="4752"/>
          </w:tcPr>
          <w:p>
            <w:r/>
            <w:r>
              <w:rPr>
                <w:sz w:val="18"/>
              </w:rPr>
              <w:t>Yer israfı ve hangi kopyanın asıl olduğu belirsizliği.</w:t>
            </w:r>
          </w:p>
        </w:tc>
      </w:tr>
      <w:tr>
        <w:tc>
          <w:tcPr>
            <w:tcW w:type="dxa" w:w="4608"/>
          </w:tcPr>
          <w:p>
            <w:r/>
            <w:r>
              <w:rPr>
                <w:sz w:val="18"/>
              </w:rPr>
              <w:t>emg_features_7moves_8ch_4sbj.csv dosyasının eski, sahipsiz bir kopyası nina_pro kökünde duruyordu ve betiklerin yüklediğinden farklıydı.</w:t>
            </w:r>
          </w:p>
        </w:tc>
        <w:tc>
          <w:tcPr>
            <w:tcW w:type="dxa" w:w="4752"/>
          </w:tcPr>
          <w:p>
            <w:r/>
            <w:r>
              <w:rPr>
                <w:sz w:val="18"/>
              </w:rPr>
              <w:t>Yanlışlıkla eski/hatalı öznitelik dosyasıyla eğitim yapma riski.</w:t>
            </w:r>
          </w:p>
        </w:tc>
      </w:tr>
      <w:tr>
        <w:tc>
          <w:tcPr>
            <w:tcW w:type="dxa" w:w="4608"/>
          </w:tcPr>
          <w:p>
            <w:r/>
            <w:r>
              <w:rPr>
                <w:sz w:val="18"/>
              </w:rPr>
              <w:t>emg_train_S2_S5.csv, emg_features_7moves_8ch.csv ile bayt bayt aynıydı.</w:t>
            </w:r>
          </w:p>
        </w:tc>
        <w:tc>
          <w:tcPr>
            <w:tcW w:type="dxa" w:w="4752"/>
          </w:tcPr>
          <w:p>
            <w:r/>
            <w:r>
              <w:rPr>
                <w:sz w:val="18"/>
              </w:rPr>
              <w:t>Gizli tekrar; veri kaynağı belirsizliği.</w:t>
            </w:r>
          </w:p>
        </w:tc>
      </w:tr>
      <w:tr>
        <w:tc>
          <w:tcPr>
            <w:tcW w:type="dxa" w:w="4608"/>
          </w:tcPr>
          <w:p>
            <w:r/>
            <w:r>
              <w:rPr>
                <w:sz w:val="18"/>
              </w:rPr>
              <w:t>Yol hataları: CNN betiği .npy dosyalarını yanlış klasörden yüklüyor, ön işleme ise çıktıları eğitim betiklerinin okuduğundan farklı bir dizine yazıyordu.</w:t>
            </w:r>
          </w:p>
        </w:tc>
        <w:tc>
          <w:tcPr>
            <w:tcW w:type="dxa" w:w="4752"/>
          </w:tcPr>
          <w:p>
            <w:r/>
            <w:r>
              <w:rPr>
                <w:sz w:val="18"/>
              </w:rPr>
              <w:t>Betikler ancak tam bir dizinden çalışıyordu; taşımaya karşı kırılgandı.</w:t>
            </w:r>
          </w:p>
        </w:tc>
      </w:tr>
      <w:tr>
        <w:tc>
          <w:tcPr>
            <w:tcW w:type="dxa" w:w="4608"/>
          </w:tcPr>
          <w:p>
            <w:r/>
            <w:r>
              <w:rPr>
                <w:sz w:val="18"/>
              </w:rPr>
              <w:t>Tutarsız rastgele tohum (seed): CNN betikleri 42, diğerleri 22 kullanıyordu.</w:t>
            </w:r>
          </w:p>
        </w:tc>
        <w:tc>
          <w:tcPr>
            <w:tcW w:type="dxa" w:w="4752"/>
          </w:tcPr>
          <w:p>
            <w:r/>
            <w:r>
              <w:rPr>
                <w:sz w:val="18"/>
              </w:rPr>
              <w:t>Sonuçlar tekrarlanabilir veya modeller arası karşılaştırılabilir değildi.</w:t>
            </w:r>
          </w:p>
        </w:tc>
      </w:tr>
      <w:tr>
        <w:tc>
          <w:tcPr>
            <w:tcW w:type="dxa" w:w="4608"/>
          </w:tcPr>
          <w:p>
            <w:r/>
            <w:r>
              <w:rPr>
                <w:sz w:val="18"/>
              </w:rPr>
              <w:t>Aynı kod blokları (grafik çizimi, öznitelik çıkarımı, etiket haritaları) her betiğe kopyalanmıştı.</w:t>
            </w:r>
          </w:p>
        </w:tc>
        <w:tc>
          <w:tcPr>
            <w:tcW w:type="dxa" w:w="4752"/>
          </w:tcPr>
          <w:p>
            <w:r/>
            <w:r>
              <w:rPr>
                <w:sz w:val="18"/>
              </w:rPr>
              <w:t>Her düzeltme birçok yerde yapılmak zorundaydı; senkron kaybı kolaydı.</w:t>
            </w:r>
          </w:p>
        </w:tc>
      </w:tr>
      <w:tr>
        <w:tc>
          <w:tcPr>
            <w:tcW w:type="dxa" w:w="4608"/>
          </w:tcPr>
          <w:p>
            <w:r/>
            <w:r>
              <w:rPr>
                <w:sz w:val="18"/>
              </w:rPr>
              <w:t>requirements.txt ve .gitignore yoktu.</w:t>
            </w:r>
          </w:p>
        </w:tc>
        <w:tc>
          <w:tcPr>
            <w:tcW w:type="dxa" w:w="4752"/>
          </w:tcPr>
          <w:p>
            <w:r/>
            <w:r>
              <w:rPr>
                <w:sz w:val="18"/>
              </w:rPr>
              <w:t>Ortamı yeniden oluşturmak zordu; önbellek ve üretilmiş dosyalar depoya girme riski taşıyordu.</w:t>
            </w:r>
          </w:p>
        </w:tc>
      </w:tr>
      <w:tr>
        <w:tc>
          <w:tcPr>
            <w:tcW w:type="dxa" w:w="4608"/>
          </w:tcPr>
          <w:p>
            <w:r/>
            <w:r>
              <w:rPr>
                <w:sz w:val="18"/>
              </w:rPr>
              <w:t>README hataları: özel veri README'si 8 kanal / 32 öznitelik olarak tanımlıyordu (aslında 2 kanal / 8) ve var olmayan bir meet.py betiğine atıf yapıyordu.</w:t>
            </w:r>
          </w:p>
        </w:tc>
        <w:tc>
          <w:tcPr>
            <w:tcW w:type="dxa" w:w="4752"/>
          </w:tcPr>
          <w:p>
            <w:r/>
            <w:r>
              <w:rPr>
                <w:sz w:val="18"/>
              </w:rPr>
              <w:t>Tez teslimi için yanıltıcı dokümantasyon.</w:t>
            </w:r>
          </w:p>
        </w:tc>
      </w:tr>
      <w:tr>
        <w:tc>
          <w:tcPr>
            <w:tcW w:type="dxa" w:w="4608"/>
          </w:tcPr>
          <w:p>
            <w:r/>
            <w:r>
              <w:rPr>
                <w:sz w:val="18"/>
              </w:rPr>
              <w:t>Tüm metin dosyaları CRLF/LF satır sonu uyuşmazlığı nedeniyle Git'te tüm-dosya farkı gösteriyordu.</w:t>
            </w:r>
          </w:p>
        </w:tc>
        <w:tc>
          <w:tcPr>
            <w:tcW w:type="dxa" w:w="4752"/>
          </w:tcPr>
          <w:p>
            <w:r/>
            <w:r>
              <w:rPr>
                <w:sz w:val="18"/>
              </w:rPr>
              <w:t>Gürültülü geçmiş; gerçek değişiklikler satır sonu kalabalığı altında kayboluyordu.</w:t>
            </w:r>
          </w:p>
        </w:tc>
      </w:tr>
    </w:tbl>
    <w:p/>
    <w:p>
      <w:pPr>
        <w:pStyle w:val="Heading1"/>
      </w:pPr>
      <w:r>
        <w:t>4. Yeni Depo Yapısı</w:t>
      </w:r>
    </w:p>
    <w:p>
      <w:pPr>
        <w:spacing w:after="120"/>
      </w:pPr>
      <w:r>
        <w:rPr>
          <w:i w:val="0"/>
        </w:rPr>
        <w:t>Depo, orijinal iki klasörlü düzenden (her biri kod, veri ve sonuçları bir arada barındıran nina_pro/ ve custom_data/) sorumlulukları ayıran standart bir yapıya taşındı:</w:t>
      </w:r>
    </w:p>
    <w:p>
      <w:pPr>
        <w:spacing w:after="40" w:before="40"/>
        <w:ind w:left="360"/>
      </w:pPr>
      <w:r>
        <w:rPr>
          <w:rFonts w:ascii="Consolas" w:hAnsi="Consolas"/>
          <w:color w:val="222222"/>
          <w:sz w:val="19"/>
        </w:rPr>
        <w:t>emg-hand-gesture-recognition/</w:t>
      </w:r>
    </w:p>
    <w:p>
      <w:pPr>
        <w:spacing w:after="40" w:before="40"/>
        <w:ind w:left="360"/>
      </w:pPr>
      <w:r>
        <w:rPr>
          <w:rFonts w:ascii="Consolas" w:hAnsi="Consolas"/>
          <w:color w:val="222222"/>
          <w:sz w:val="19"/>
        </w:rPr>
        <w:t>├── src/                    # Tüm Python kaynak kodu</w:t>
      </w:r>
    </w:p>
    <w:p>
      <w:pPr>
        <w:spacing w:after="40" w:before="40"/>
        <w:ind w:left="360"/>
      </w:pPr>
      <w:r>
        <w:rPr>
          <w:rFonts w:ascii="Consolas" w:hAnsi="Consolas"/>
          <w:color w:val="222222"/>
          <w:sz w:val="19"/>
        </w:rPr>
        <w:t>│   ├── emg_common.py       # Ortak yardımcı modül (yeni)</w:t>
      </w:r>
    </w:p>
    <w:p>
      <w:pPr>
        <w:spacing w:after="40" w:before="40"/>
        <w:ind w:left="360"/>
      </w:pPr>
      <w:r>
        <w:rPr>
          <w:rFonts w:ascii="Consolas" w:hAnsi="Consolas"/>
          <w:color w:val="222222"/>
          <w:sz w:val="19"/>
        </w:rPr>
        <w:t>│   ├── ninapro/            # NinaPro DB5 betikleri</w:t>
      </w:r>
    </w:p>
    <w:p>
      <w:pPr>
        <w:spacing w:after="40" w:before="40"/>
        <w:ind w:left="360"/>
      </w:pPr>
      <w:r>
        <w:rPr>
          <w:rFonts w:ascii="Consolas" w:hAnsi="Consolas"/>
          <w:color w:val="222222"/>
          <w:sz w:val="19"/>
        </w:rPr>
        <w:t>│   └── custom/             # Özel veri seti betikleri</w:t>
      </w:r>
    </w:p>
    <w:p>
      <w:pPr>
        <w:spacing w:after="40" w:before="40"/>
        <w:ind w:left="360"/>
      </w:pPr>
      <w:r>
        <w:rPr>
          <w:rFonts w:ascii="Consolas" w:hAnsi="Consolas"/>
          <w:color w:val="222222"/>
          <w:sz w:val="19"/>
        </w:rPr>
        <w:t>├── data/  ├── ninapro/     └── custom/</w:t>
      </w:r>
    </w:p>
    <w:p>
      <w:pPr>
        <w:spacing w:after="40" w:before="40"/>
        <w:ind w:left="360"/>
      </w:pPr>
      <w:r>
        <w:rPr>
          <w:rFonts w:ascii="Consolas" w:hAnsi="Consolas"/>
          <w:color w:val="222222"/>
          <w:sz w:val="19"/>
        </w:rPr>
        <w:t>├── matlab/                 # MATLAB öznitelik çıkarım betikleri</w:t>
      </w:r>
    </w:p>
    <w:p>
      <w:pPr>
        <w:spacing w:after="40" w:before="40"/>
        <w:ind w:left="360"/>
      </w:pPr>
      <w:r>
        <w:rPr>
          <w:rFonts w:ascii="Consolas" w:hAnsi="Consolas"/>
          <w:color w:val="222222"/>
          <w:sz w:val="19"/>
        </w:rPr>
        <w:t>├── outputs/  ├── ninapro/  └── custom/   # otomatik kaydedilen grafikler</w:t>
      </w:r>
    </w:p>
    <w:p>
      <w:pPr>
        <w:spacing w:after="40" w:before="40"/>
        <w:ind w:left="360"/>
      </w:pPr>
      <w:r>
        <w:rPr>
          <w:rFonts w:ascii="Consolas" w:hAnsi="Consolas"/>
          <w:color w:val="222222"/>
          <w:sz w:val="19"/>
        </w:rPr>
        <w:t>├── docs/images/            # Hareket referans görselleri</w:t>
      </w:r>
    </w:p>
    <w:p>
      <w:pPr>
        <w:spacing w:after="40" w:before="40"/>
        <w:ind w:left="360"/>
      </w:pPr>
      <w:r>
        <w:rPr>
          <w:rFonts w:ascii="Consolas" w:hAnsi="Consolas"/>
          <w:color w:val="222222"/>
          <w:sz w:val="19"/>
        </w:rPr>
        <w:t>├── requirements.txt   ├── .gitignore   ├── .gitattributes</w:t>
      </w:r>
    </w:p>
    <w:p>
      <w:pPr>
        <w:spacing w:after="40" w:before="40"/>
        <w:ind w:left="360"/>
      </w:pPr>
      <w:r>
        <w:rPr>
          <w:rFonts w:ascii="Consolas" w:hAnsi="Consolas"/>
          <w:color w:val="222222"/>
          <w:sz w:val="19"/>
        </w:rPr>
        <w:t>└── README.md               # yeniden yazıldı</w:t>
      </w:r>
    </w:p>
    <w:p/>
    <w:p>
      <w:pPr>
        <w:spacing w:after="120"/>
      </w:pPr>
      <w:r>
        <w:rPr>
          <w:i w:val="0"/>
        </w:rPr>
        <w:t>Dosya taşıma haritası (orijinaller kopyalanmadı, taşındı):</w:t>
      </w:r>
    </w:p>
    <w:tbl>
      <w:tblPr>
        <w:tblStyle w:val="LightGrid-Accent1"/>
        <w:tblW w:type="auto" w:w="0"/>
        <w:jc w:val="center"/>
        <w:tblLook w:firstColumn="1" w:firstRow="1" w:lastColumn="0" w:lastRow="0" w:noHBand="0" w:noVBand="1" w:val="04A0"/>
      </w:tblPr>
      <w:tblGrid>
        <w:gridCol w:w="4320"/>
        <w:gridCol w:w="4320"/>
      </w:tblGrid>
      <w:tr>
        <w:tc>
          <w:tcPr>
            <w:tcW w:type="dxa" w:w="4896"/>
          </w:tcPr>
          <w:p>
            <w:r/>
            <w:r>
              <w:rPr>
                <w:b/>
                <w:sz w:val="19"/>
              </w:rPr>
              <w:t>Orijinal</w:t>
            </w:r>
          </w:p>
        </w:tc>
        <w:tc>
          <w:tcPr>
            <w:tcW w:type="dxa" w:w="4464"/>
          </w:tcPr>
          <w:p>
            <w:r/>
            <w:r>
              <w:rPr>
                <w:b/>
                <w:sz w:val="19"/>
              </w:rPr>
              <w:t>Yeni konum</w:t>
            </w:r>
          </w:p>
        </w:tc>
      </w:tr>
      <w:tr>
        <w:tc>
          <w:tcPr>
            <w:tcW w:type="dxa" w:w="4896"/>
          </w:tcPr>
          <w:p>
            <w:r/>
            <w:r>
              <w:rPr>
                <w:sz w:val="18"/>
              </w:rPr>
              <w:t>nina_pro/nina_data.py</w:t>
            </w:r>
          </w:p>
        </w:tc>
        <w:tc>
          <w:tcPr>
            <w:tcW w:type="dxa" w:w="4464"/>
          </w:tcPr>
          <w:p>
            <w:r/>
            <w:r>
              <w:rPr>
                <w:sz w:val="18"/>
              </w:rPr>
              <w:t>src/ninapro/preprocess.py</w:t>
            </w:r>
          </w:p>
        </w:tc>
      </w:tr>
      <w:tr>
        <w:tc>
          <w:tcPr>
            <w:tcW w:type="dxa" w:w="4896"/>
          </w:tcPr>
          <w:p>
            <w:r/>
            <w:r>
              <w:rPr>
                <w:sz w:val="18"/>
              </w:rPr>
              <w:t>nina_pro/main.py</w:t>
            </w:r>
          </w:p>
        </w:tc>
        <w:tc>
          <w:tcPr>
            <w:tcW w:type="dxa" w:w="4464"/>
          </w:tcPr>
          <w:p>
            <w:r/>
            <w:r>
              <w:rPr>
                <w:sz w:val="18"/>
              </w:rPr>
              <w:t>src/ninapro/train_classical.py</w:t>
            </w:r>
          </w:p>
        </w:tc>
      </w:tr>
      <w:tr>
        <w:tc>
          <w:tcPr>
            <w:tcW w:type="dxa" w:w="4896"/>
          </w:tcPr>
          <w:p>
            <w:r/>
            <w:r>
              <w:rPr>
                <w:sz w:val="18"/>
              </w:rPr>
              <w:t>nina_pro/S2_S5.py</w:t>
            </w:r>
          </w:p>
        </w:tc>
        <w:tc>
          <w:tcPr>
            <w:tcW w:type="dxa" w:w="4464"/>
          </w:tcPr>
          <w:p>
            <w:r/>
            <w:r>
              <w:rPr>
                <w:sz w:val="18"/>
              </w:rPr>
              <w:t>src/ninapro/within_subject.py</w:t>
            </w:r>
          </w:p>
        </w:tc>
      </w:tr>
      <w:tr>
        <w:tc>
          <w:tcPr>
            <w:tcW w:type="dxa" w:w="4896"/>
          </w:tcPr>
          <w:p>
            <w:r/>
            <w:r>
              <w:rPr>
                <w:sz w:val="18"/>
              </w:rPr>
              <w:t>nina_pro/train_test.py</w:t>
            </w:r>
          </w:p>
        </w:tc>
        <w:tc>
          <w:tcPr>
            <w:tcW w:type="dxa" w:w="4464"/>
          </w:tcPr>
          <w:p>
            <w:r/>
            <w:r>
              <w:rPr>
                <w:sz w:val="18"/>
              </w:rPr>
              <w:t>src/ninapro/cross_subject.py</w:t>
            </w:r>
          </w:p>
        </w:tc>
      </w:tr>
      <w:tr>
        <w:tc>
          <w:tcPr>
            <w:tcW w:type="dxa" w:w="4896"/>
          </w:tcPr>
          <w:p>
            <w:r/>
            <w:r>
              <w:rPr>
                <w:sz w:val="18"/>
              </w:rPr>
              <w:t>nina_pro/cnn.py</w:t>
            </w:r>
          </w:p>
        </w:tc>
        <w:tc>
          <w:tcPr>
            <w:tcW w:type="dxa" w:w="4464"/>
          </w:tcPr>
          <w:p>
            <w:r/>
            <w:r>
              <w:rPr>
                <w:sz w:val="18"/>
              </w:rPr>
              <w:t>src/ninapro/train_cnn.py</w:t>
            </w:r>
          </w:p>
        </w:tc>
      </w:tr>
      <w:tr>
        <w:tc>
          <w:tcPr>
            <w:tcW w:type="dxa" w:w="4896"/>
          </w:tcPr>
          <w:p>
            <w:r/>
            <w:r>
              <w:rPr>
                <w:sz w:val="18"/>
              </w:rPr>
              <w:t>custom_data/svm.py</w:t>
            </w:r>
          </w:p>
        </w:tc>
        <w:tc>
          <w:tcPr>
            <w:tcW w:type="dxa" w:w="4464"/>
          </w:tcPr>
          <w:p>
            <w:r/>
            <w:r>
              <w:rPr>
                <w:sz w:val="18"/>
              </w:rPr>
              <w:t>src/custom/train_classical.py</w:t>
            </w:r>
          </w:p>
        </w:tc>
      </w:tr>
      <w:tr>
        <w:tc>
          <w:tcPr>
            <w:tcW w:type="dxa" w:w="4896"/>
          </w:tcPr>
          <w:p>
            <w:r/>
            <w:r>
              <w:rPr>
                <w:sz w:val="18"/>
              </w:rPr>
              <w:t>custom_data/custom_data_wo_cyl.py</w:t>
            </w:r>
          </w:p>
        </w:tc>
        <w:tc>
          <w:tcPr>
            <w:tcW w:type="dxa" w:w="4464"/>
          </w:tcPr>
          <w:p>
            <w:r/>
            <w:r>
              <w:rPr>
                <w:sz w:val="18"/>
              </w:rPr>
              <w:t>src/custom/train_classical_wo_cyl.py</w:t>
            </w:r>
          </w:p>
        </w:tc>
      </w:tr>
      <w:tr>
        <w:tc>
          <w:tcPr>
            <w:tcW w:type="dxa" w:w="4896"/>
          </w:tcPr>
          <w:p>
            <w:r/>
            <w:r>
              <w:rPr>
                <w:sz w:val="18"/>
              </w:rPr>
              <w:t>custom_data/custom_data_preprocessing.py</w:t>
            </w:r>
          </w:p>
        </w:tc>
        <w:tc>
          <w:tcPr>
            <w:tcW w:type="dxa" w:w="4464"/>
          </w:tcPr>
          <w:p>
            <w:r/>
            <w:r>
              <w:rPr>
                <w:sz w:val="18"/>
              </w:rPr>
              <w:t>src/custom/preprocess.py</w:t>
            </w:r>
          </w:p>
        </w:tc>
      </w:tr>
      <w:tr>
        <w:tc>
          <w:tcPr>
            <w:tcW w:type="dxa" w:w="4896"/>
          </w:tcPr>
          <w:p>
            <w:r/>
            <w:r>
              <w:rPr>
                <w:sz w:val="18"/>
              </w:rPr>
              <w:t>custom_data/cnn.py / cnn_wo_cyl.py</w:t>
            </w:r>
          </w:p>
        </w:tc>
        <w:tc>
          <w:tcPr>
            <w:tcW w:type="dxa" w:w="4464"/>
          </w:tcPr>
          <w:p>
            <w:r/>
            <w:r>
              <w:rPr>
                <w:sz w:val="18"/>
              </w:rPr>
              <w:t>src/custom/train_cnn.py / train_cnn_wo_cyl.py</w:t>
            </w:r>
          </w:p>
        </w:tc>
      </w:tr>
      <w:tr>
        <w:tc>
          <w:tcPr>
            <w:tcW w:type="dxa" w:w="4896"/>
          </w:tcPr>
          <w:p>
            <w:r/>
            <w:r>
              <w:rPr>
                <w:sz w:val="18"/>
              </w:rPr>
              <w:t>nina_pro/db5_data/*</w:t>
            </w:r>
          </w:p>
        </w:tc>
        <w:tc>
          <w:tcPr>
            <w:tcW w:type="dxa" w:w="4464"/>
          </w:tcPr>
          <w:p>
            <w:r/>
            <w:r>
              <w:rPr>
                <w:sz w:val="18"/>
              </w:rPr>
              <w:t>data/ninapro/*</w:t>
            </w:r>
          </w:p>
        </w:tc>
      </w:tr>
      <w:tr>
        <w:tc>
          <w:tcPr>
            <w:tcW w:type="dxa" w:w="4896"/>
          </w:tcPr>
          <w:p>
            <w:r/>
            <w:r>
              <w:rPr>
                <w:sz w:val="18"/>
              </w:rPr>
              <w:t>custom_data/*.mat, custom_dataset.csv</w:t>
            </w:r>
          </w:p>
        </w:tc>
        <w:tc>
          <w:tcPr>
            <w:tcW w:type="dxa" w:w="4464"/>
          </w:tcPr>
          <w:p>
            <w:r/>
            <w:r>
              <w:rPr>
                <w:sz w:val="18"/>
              </w:rPr>
              <w:t>data/custom/*</w:t>
            </w:r>
          </w:p>
        </w:tc>
      </w:tr>
      <w:tr>
        <w:tc>
          <w:tcPr>
            <w:tcW w:type="dxa" w:w="4896"/>
          </w:tcPr>
          <w:p>
            <w:r/>
            <w:r>
              <w:rPr>
                <w:sz w:val="18"/>
              </w:rPr>
              <w:t>nina_pro/*.m</w:t>
            </w:r>
          </w:p>
        </w:tc>
        <w:tc>
          <w:tcPr>
            <w:tcW w:type="dxa" w:w="4464"/>
          </w:tcPr>
          <w:p>
            <w:r/>
            <w:r>
              <w:rPr>
                <w:sz w:val="18"/>
              </w:rPr>
              <w:t>matlab/*</w:t>
            </w:r>
          </w:p>
        </w:tc>
      </w:tr>
      <w:tr>
        <w:tc>
          <w:tcPr>
            <w:tcW w:type="dxa" w:w="4896"/>
          </w:tcPr>
          <w:p>
            <w:r/>
            <w:r>
              <w:rPr>
                <w:sz w:val="18"/>
              </w:rPr>
              <w:t>*/outputs/*.png</w:t>
            </w:r>
          </w:p>
        </w:tc>
        <w:tc>
          <w:tcPr>
            <w:tcW w:type="dxa" w:w="4464"/>
          </w:tcPr>
          <w:p>
            <w:r/>
            <w:r>
              <w:rPr>
                <w:sz w:val="18"/>
              </w:rPr>
              <w:t>outputs/ninapro/*, outputs/custom/*</w:t>
            </w:r>
          </w:p>
        </w:tc>
      </w:tr>
    </w:tbl>
    <w:p/>
    <w:p>
      <w:pPr>
        <w:pStyle w:val="Heading1"/>
      </w:pPr>
      <w:r>
        <w:t>5. Yapılan Değişiklikler ve Gerekçeleri</w:t>
      </w:r>
    </w:p>
    <w:p>
      <w:pPr>
        <w:pStyle w:val="Heading2"/>
      </w:pPr>
      <w:r>
        <w:t>5.1 Yeniden düzenleme ve tekrar temizliği</w:t>
      </w:r>
    </w:p>
    <w:p>
      <w:pPr>
        <w:spacing w:after="120"/>
      </w:pPr>
      <w:r>
        <w:rPr>
          <w:i w:val="0"/>
        </w:rPr>
        <w:t>Dosyalar; kaynak, veri, araç ve sonuçlar temiz biçimde ayrılacak şekilde yeni yapıya taşındı — bu, projeyi gezinmesi ve devredilmesi kolay kılan standart yaklaşımdır. Tekrarlı özel .mat dosyaları, eski sahipsiz NinaPro CSV'si ve diğer fazlalıklar tek bir _TO_DELETE/ klasöründe toplandı (neden doğrudan silinmedikleri için Bölüm 8'e bakınız).</w:t>
      </w:r>
    </w:p>
    <w:p>
      <w:pPr>
        <w:pStyle w:val="Heading2"/>
      </w:pPr>
      <w:r>
        <w:t>5.2 Ortak modül: src/emg_common.py</w:t>
      </w:r>
    </w:p>
    <w:p>
      <w:pPr>
        <w:spacing w:after="120"/>
      </w:pPr>
      <w:r>
        <w:rPr>
          <w:i w:val="0"/>
        </w:rPr>
        <w:t>Karmaşıklık matrisi çizim fonksiyonu, zaman uzayı öznitelik hesapları, hareket etiket haritaları ve rastgele tohum yönetimi önceden her betikte tekrarlanıyordu. Bunlar, tüm betiklerin içe aktardığı tek bir emg_common.py modülünde toplandı. Bu, yaklaşık yüz satır tekrarlı kodu ortadan kaldırır, her deneyin aynı öznitelik tanımlarını ve aynı tohumu kullanmasını garanti eder ve gelecekteki her iyileştirmenin tek bir yerde yapılmasını sağlar.</w:t>
      </w:r>
    </w:p>
    <w:p>
      <w:pPr>
        <w:pStyle w:val="Heading2"/>
      </w:pPr>
      <w:r>
        <w:t>5.3 Yol (path) sağlamlığı</w:t>
      </w:r>
    </w:p>
    <w:p>
      <w:pPr>
        <w:spacing w:after="120"/>
      </w:pPr>
      <w:r>
        <w:rPr>
          <w:i w:val="0"/>
        </w:rPr>
        <w:t>Tüm betikler artık veri ve çıktı konumlarını, çalışma dizinine bağlı kalmak yerine (ortak modül aracılığıyla) depo kök dizinine göre çözer. Böylece herhangi bir betik her yerden başlatılabilir; girdilerini bulur ve çıktılarını doğru yere yazar. Bu, CNN .npy yükleme hatasını ve ön işleme çıktı-dizini uyuşmazlığını giderir.</w:t>
      </w:r>
    </w:p>
    <w:p>
      <w:pPr>
        <w:pStyle w:val="Heading2"/>
      </w:pPr>
      <w:r>
        <w:t>5.4 Tekrarlanabilirlik</w:t>
      </w:r>
    </w:p>
    <w:p>
      <w:pPr>
        <w:spacing w:after="120"/>
      </w:pPr>
      <w:r>
        <w:rPr>
          <w:i w:val="0"/>
        </w:rPr>
        <w:t>Rastgele tohum artık proje genelinde 22'ye sabitlendi (önceden CNN betikleri 42 kullanıyordu). Ortak set_seed() fonksiyonu Python, NumPy ve TensorFlow'u birlikte tohumlar; böylece sonuçlar her model ve çalıştırma arasında tutarlı ve karşılaştırılabilir olur. Öznitelik ölçekleme yalnızca eğitim bölümü üzerinde 'fit' edilmeye devam eder ve denekler-arası betik ölçekleyiciyi eğitim denekleri üzerinde 'fit' edip görülmemiş test deneklerini yalnızca dönüştürür — her ikisi de veri sızıntısını önler.</w:t>
      </w:r>
    </w:p>
    <w:p>
      <w:pPr>
        <w:pStyle w:val="Heading2"/>
      </w:pPr>
      <w:r>
        <w:t>5.5 Daha güçlü derin öğrenme betikleri</w:t>
      </w:r>
    </w:p>
    <w:p>
      <w:pPr>
        <w:spacing w:after="120"/>
      </w:pPr>
      <w:r>
        <w:rPr>
          <w:i w:val="0"/>
        </w:rPr>
        <w:t>Dört CNN betiği, test skorunu genellikle artıran ve eğitimi daha kararlı kılan şekillerde iyileştirildi:</w:t>
      </w:r>
    </w:p>
    <w:p>
      <w:pPr>
        <w:pStyle w:val="ListBullet"/>
      </w:pPr>
      <w:r>
        <w:rPr>
          <w:b/>
        </w:rPr>
        <w:t>Erken durdurma (EarlyStopping):</w:t>
      </w:r>
      <w:r>
        <w:t xml:space="preserve"> en iyi ağırlıkları geri yükler; böylece şanssız bir son epoch sonucu bozmaz.</w:t>
      </w:r>
    </w:p>
    <w:p>
      <w:pPr>
        <w:pStyle w:val="ListBullet"/>
      </w:pPr>
      <w:r>
        <w:rPr>
          <w:b/>
        </w:rPr>
        <w:t>ReduceLROnPlateau:</w:t>
      </w:r>
      <w:r>
        <w:t xml:space="preserve"> doğrulama kaybı platoya girince öğrenme oranını düşürür, modelin daha iyi bir minimuma yerleşmesine yardımcı olur.</w:t>
      </w:r>
    </w:p>
    <w:p>
      <w:pPr>
        <w:pStyle w:val="ListBullet"/>
      </w:pPr>
      <w:r>
        <w:rPr>
          <w:b/>
        </w:rPr>
        <w:t>Dengeli sınıf ağırlıkları:</w:t>
      </w:r>
      <w:r>
        <w:t xml:space="preserve"> hareket başına eşit olmayan pencere sayısını dengeler; nadir hareketler göz ardı edilmez.</w:t>
      </w:r>
    </w:p>
    <w:p>
      <w:pPr>
        <w:pStyle w:val="ListBullet"/>
      </w:pPr>
      <w:r>
        <w:rPr>
          <w:b/>
        </w:rPr>
        <w:t>Deterministik tohumlama:</w:t>
      </w:r>
      <w:r>
        <w:t xml:space="preserve"> TensorFlow artık tohumlanıyor; CNN çalıştırmaları tekrarlanabilir.</w:t>
      </w:r>
    </w:p>
    <w:p>
      <w:pPr>
        <w:pStyle w:val="Heading2"/>
      </w:pPr>
      <w:r>
        <w:t>5.6 Sonuçlar artık otomatik kaydediliyor</w:t>
      </w:r>
    </w:p>
    <w:p>
      <w:pPr>
        <w:spacing w:after="120"/>
      </w:pPr>
      <w:r>
        <w:rPr>
          <w:i w:val="0"/>
        </w:rPr>
        <w:t>Önceden betikler karmaşıklık matrislerini yalnızca ekranda gösteriyordu (bu ayrıca çalışmayı bloke ediyordu). Artık etkileşimsiz bir arka uçla çizip her matrisi outputs/ altına PNG olarak kaydediyorlar; böylece sonuçlar otomatik yakalanır ve betikler gözetimsiz çalışabilir.</w:t>
      </w:r>
    </w:p>
    <w:p>
      <w:pPr>
        <w:pStyle w:val="Heading2"/>
      </w:pPr>
      <w:r>
        <w:t>5.7 Proje meta dosyaları ve dokümantasyon</w:t>
      </w:r>
    </w:p>
    <w:p>
      <w:pPr>
        <w:pStyle w:val="ListBullet"/>
      </w:pPr>
      <w:r>
        <w:rPr>
          <w:b/>
        </w:rPr>
        <w:t xml:space="preserve">requirements.txt: </w:t>
      </w:r>
      <w:r>
        <w:t>ortamın tek bir pip komutuyla yeniden oluşturulabilmesi için tüm bağımlılıkları listeler.</w:t>
      </w:r>
    </w:p>
    <w:p>
      <w:pPr>
        <w:pStyle w:val="ListBullet"/>
      </w:pPr>
      <w:r>
        <w:rPr>
          <w:b/>
        </w:rPr>
        <w:t xml:space="preserve">.gitignore: </w:t>
      </w:r>
      <w:r>
        <w:t>Python önbelleklerini, sanal ortamları ve editör dosyalarını sürüm kontrolünün dışında tutar.</w:t>
      </w:r>
    </w:p>
    <w:p>
      <w:pPr>
        <w:pStyle w:val="ListBullet"/>
      </w:pPr>
      <w:r>
        <w:rPr>
          <w:b/>
        </w:rPr>
        <w:t xml:space="preserve">.gitattributes: </w:t>
      </w:r>
      <w:r>
        <w:t>satır sonlarını normalleştirir; metin dosyaları artık tüm-dosya farkı üretmez, veri blokları ikili (binary) sayılır.</w:t>
      </w:r>
    </w:p>
    <w:p>
      <w:pPr>
        <w:pStyle w:val="ListBullet"/>
      </w:pPr>
      <w:r>
        <w:rPr>
          <w:b/>
        </w:rPr>
        <w:t xml:space="preserve">README.md: </w:t>
      </w:r>
      <w:r>
        <w:t>tek ve doğru bir README, tutarsız üç README'nin yerini alır; düzeltilmiş bilgiler (özel veri seti 2 kanal / 8 öznitelik) ve doğru çalıştırma talimatlarıyla.</w:t>
      </w:r>
    </w:p>
    <w:p>
      <w:pPr>
        <w:pStyle w:val="Heading1"/>
      </w:pPr>
      <w:r>
        <w:t>6. Yapılan Doğrulama</w:t>
      </w:r>
    </w:p>
    <w:p>
      <w:pPr>
        <w:spacing w:after="120"/>
      </w:pPr>
      <w:r>
        <w:rPr>
          <w:i w:val="0"/>
        </w:rPr>
        <w:t>Refaktörün sağlamlığını teyit etmek için aşağıdaki kontroller yapıldı. scikit-learn, SciPy ve TensorFlow ortamda kurulamadığı için (ağ erişimi yok) uçtan uca tam eğitim burada yürütülmedi; aşağıdaki kontroller bu kütüphaneleri gerektirmeyen her şeyi kapsar.</w:t>
      </w:r>
    </w:p>
    <w:p>
      <w:pPr>
        <w:pStyle w:val="ListBullet"/>
      </w:pPr>
      <w:r>
        <w:t>On betiğin tümü ve ortak modül sözdizimi hatası olmadan derleniyor.</w:t>
      </w:r>
    </w:p>
    <w:p>
      <w:pPr>
        <w:pStyle w:val="ListBullet"/>
      </w:pPr>
      <w:r>
        <w:t>Ortak modülün öznitelik çıkarımı, kolon adlandırma, etiket haritalama ve yol yardımcıları birim testinden geçirildi ve doğru değerler üretiyor.</w:t>
      </w:r>
    </w:p>
    <w:p>
      <w:pPr>
        <w:pStyle w:val="ListBullet"/>
      </w:pPr>
      <w:r>
        <w:t>Karmaşıklık matrisi yardımcısının bir PNG dosyası yazdığı teyit edildi.</w:t>
      </w:r>
    </w:p>
    <w:p>
      <w:pPr>
        <w:pStyle w:val="ListBullet"/>
      </w:pPr>
      <w:r>
        <w:t>Tüm veri CSV'leri yüklendi ve beklenen şemaya sahip olduğu doğrulandı: özel veri seti 8 öznitelik + Label (81.275 satır, etiketler 0–5), NinaPro tabloları 32 öznitelik + Label (etiketler 0–6).</w:t>
      </w:r>
    </w:p>
    <w:p>
      <w:pPr>
        <w:pStyle w:val="Heading1"/>
      </w:pPr>
      <w:r>
        <w:t>7. Önemli: Git İndeksi Kurtarma</w:t>
      </w:r>
    </w:p>
    <w:p>
      <w:pPr>
        <w:spacing w:after="120"/>
      </w:pPr>
      <w:r>
        <w:rPr>
          <w:i w:val="0"/>
        </w:rPr>
        <w:t>Taşımalar hazırlanırken, dosyalara bir Windows bağlaması üzerinden erişen ortam Git indeksini bozdu ve eski bir kilit dosyası bıraktı. Commit geçmişiniz ve tüm commit'lenmiş veri tamamen güvende — yalnızca indeksin (hazırlık alanı) yeniden oluşturulması gerekir. Yeniden düzenleme sıradan dosya taşımalarıyla tamamlandığı için dosyalarınız doğru şekilde yerinde duruyor. Proje klasöründe bir terminalde:</w:t>
      </w:r>
    </w:p>
    <w:p>
      <w:pPr>
        <w:spacing w:after="40" w:before="40"/>
        <w:ind w:left="360"/>
      </w:pPr>
      <w:r>
        <w:rPr>
          <w:rFonts w:ascii="Consolas" w:hAnsi="Consolas"/>
          <w:color w:val="222222"/>
          <w:sz w:val="19"/>
        </w:rPr>
        <w:t>del .git\index.lock          (eski kilidi kaldırır)</w:t>
      </w:r>
    </w:p>
    <w:p>
      <w:pPr>
        <w:spacing w:after="40" w:before="40"/>
        <w:ind w:left="360"/>
      </w:pPr>
      <w:r>
        <w:rPr>
          <w:rFonts w:ascii="Consolas" w:hAnsi="Consolas"/>
          <w:color w:val="222222"/>
          <w:sz w:val="19"/>
        </w:rPr>
        <w:t>git reset                     (indeksi son commit'ten yeniden oluşturur)</w:t>
      </w:r>
    </w:p>
    <w:p>
      <w:pPr>
        <w:spacing w:after="40" w:before="40"/>
        <w:ind w:left="360"/>
      </w:pPr>
      <w:r>
        <w:rPr>
          <w:rFonts w:ascii="Consolas" w:hAnsi="Consolas"/>
          <w:color w:val="222222"/>
          <w:sz w:val="19"/>
        </w:rPr>
        <w:t>git status                    (artık normal çalışmalı)</w:t>
      </w:r>
    </w:p>
    <w:p>
      <w:pPr>
        <w:spacing w:after="120"/>
      </w:pPr>
      <w:r>
        <w:rPr>
          <w:i w:val="0"/>
        </w:rPr>
        <w:t>Ardından yeniden düzenlemeyi commit'leyin:</w:t>
      </w:r>
    </w:p>
    <w:p>
      <w:pPr>
        <w:spacing w:after="40" w:before="40"/>
        <w:ind w:left="360"/>
      </w:pPr>
      <w:r>
        <w:rPr>
          <w:rFonts w:ascii="Consolas" w:hAnsi="Consolas"/>
          <w:color w:val="222222"/>
          <w:sz w:val="19"/>
        </w:rPr>
        <w:t>git add -A</w:t>
      </w:r>
    </w:p>
    <w:p>
      <w:pPr>
        <w:spacing w:after="40" w:before="40"/>
        <w:ind w:left="360"/>
      </w:pPr>
      <w:r>
        <w:rPr>
          <w:rFonts w:ascii="Consolas" w:hAnsi="Consolas"/>
          <w:color w:val="222222"/>
          <w:sz w:val="19"/>
        </w:rPr>
        <w:t>git commit -m "Depoyu yeniden duzenle, hatalari duzelt, ortak modul ve dok ekle"</w:t>
      </w:r>
    </w:p>
    <w:p>
      <w:pPr>
        <w:pStyle w:val="Heading1"/>
      </w:pPr>
      <w:r>
        <w:t>8. _TO_DELETE Klasörü</w:t>
      </w:r>
    </w:p>
    <w:p>
      <w:pPr>
        <w:spacing w:after="120"/>
      </w:pPr>
      <w:r>
        <w:rPr>
          <w:i w:val="0"/>
        </w:rPr>
        <w:t>Ortam bağlaması dosya silmeyi engelledi (yalnızca taşımaya izin verildi); bu yüzden kaldırılması amaçlanan her dosya silinmek yerine _TO_DELETE/ adlı bir klasöre taşındı. Yeniden düzenlemeyi inceledikten sonra bu klasörün tamamını güvenle silebilirsiniz. İçinde şunlar var: tekrarlı özel .mat yedekleri, eski sahipsiz NinaPro CSV'si, üç eski README dosyası ve betiklerin refaktör öncesi orijinal kopyaları (isterseniz yeni sürümlerle karşılaştırabilmeniz için saklandı). .gitignore, _TO_DELETE/ klasörünü zaten sürüm kontrolünden hariç tutar.</w:t>
      </w:r>
    </w:p>
    <w:p>
      <w:pPr>
        <w:pStyle w:val="Heading1"/>
      </w:pPr>
      <w:r>
        <w:t>9. Önerilen Sonraki Adımlar</w:t>
      </w:r>
    </w:p>
    <w:p>
      <w:pPr>
        <w:pStyle w:val="ListBullet"/>
      </w:pPr>
      <w:r>
        <w:t>Git'i kurtarın ve yeniden düzenlemeyi commit'leyin (Bölüm 7).</w:t>
      </w:r>
    </w:p>
    <w:p>
      <w:pPr>
        <w:pStyle w:val="ListBullet"/>
      </w:pPr>
      <w:r>
        <w:t>İnceledikten sonra _TO_DELETE/ klasörünü silin (Bölüm 8).</w:t>
      </w:r>
    </w:p>
    <w:p>
      <w:pPr>
        <w:pStyle w:val="ListBullet"/>
      </w:pPr>
      <w:r>
        <w:t>Bir sanal ortam oluşturup pip install -r requirements.txt çalıştırın.</w:t>
      </w:r>
    </w:p>
    <w:p>
      <w:pPr>
        <w:pStyle w:val="ListBullet"/>
      </w:pPr>
      <w:r>
        <w:t>Betikleri yeniden çalıştırıp outputs/ altındaki karmaşıklık matrislerini yeniden üretin ve doğrulukları teyit edin.</w:t>
      </w:r>
    </w:p>
    <w:p>
      <w:pPr>
        <w:pStyle w:val="ListBullet"/>
      </w:pPr>
      <w:r>
        <w:t>Daha sağlam doğruluk tahminleri için k-kat çapraz doğrulama eklemeyi ve nihai doğrulukları tez yazımı için bir sonuç dosyasına kaydetmeyi düşünün.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