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rFonts w:hint="eastAsia"/>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w:t>
      </w:r>
      <w:r w:rsidRPr="00BE5749">
        <w:rPr>
          <w:rFonts w:hint="eastAsia"/>
          <w:sz w:val="36"/>
          <w:szCs w:val="40"/>
        </w:rPr>
        <w:t>経済学科</w:t>
      </w:r>
      <w:r w:rsidRPr="00BE5749">
        <w:rPr>
          <w:rFonts w:hint="eastAsia"/>
          <w:sz w:val="36"/>
          <w:szCs w:val="40"/>
        </w:rPr>
        <w:t>4年03組</w:t>
      </w:r>
    </w:p>
    <w:p w14:paraId="388153A9" w14:textId="125FCC6A" w:rsidR="00BE5749" w:rsidRDefault="00BE5749" w:rsidP="003D42C7">
      <w:pPr>
        <w:jc w:val="left"/>
        <w:rPr>
          <w:sz w:val="40"/>
          <w:szCs w:val="44"/>
        </w:rPr>
      </w:pPr>
      <w:r>
        <w:rPr>
          <w:rFonts w:hint="eastAsia"/>
          <w:sz w:val="40"/>
          <w:szCs w:val="44"/>
        </w:rPr>
        <w:t>氏名：田中　弁</w:t>
      </w:r>
    </w:p>
    <w:p w14:paraId="2DDE0117" w14:textId="7FA26C11" w:rsidR="00BE5749" w:rsidRDefault="00BE5749" w:rsidP="003D42C7">
      <w:pPr>
        <w:jc w:val="left"/>
        <w:rPr>
          <w:sz w:val="40"/>
          <w:szCs w:val="44"/>
        </w:rPr>
      </w:pPr>
      <w:r>
        <w:rPr>
          <w:rFonts w:hint="eastAsia"/>
          <w:sz w:val="40"/>
          <w:szCs w:val="44"/>
        </w:rPr>
        <w:t>学籍番号：22214519</w:t>
      </w:r>
    </w:p>
    <w:p w14:paraId="3CE1E902" w14:textId="5841FA59" w:rsidR="00BE5749"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6DBA4F46" w14:textId="77777777" w:rsidR="00BE5749" w:rsidRDefault="00BE5749" w:rsidP="003D42C7">
      <w:pPr>
        <w:jc w:val="left"/>
      </w:pPr>
      <w:r>
        <w:rPr>
          <w:rFonts w:eastAsiaTheme="minorHAnsi" w:cs="Times New Roman" w:hint="eastAsia"/>
          <w:sz w:val="24"/>
          <w:szCs w:val="28"/>
        </w:rPr>
        <w:lastRenderedPageBreak/>
        <w:t>問1.</w:t>
      </w:r>
      <w:r w:rsidRPr="00BE5749">
        <w:rPr>
          <w:rFonts w:hint="eastAsia"/>
        </w:rPr>
        <w:t xml:space="preserve"> </w:t>
      </w:r>
    </w:p>
    <w:p w14:paraId="46C2BB27" w14:textId="41657EB2" w:rsidR="00BE5749" w:rsidRPr="00BE5749" w:rsidRDefault="00BE5749" w:rsidP="003D42C7">
      <w:pPr>
        <w:jc w:val="left"/>
        <w:rPr>
          <w:rFonts w:eastAsiaTheme="minorHAnsi" w:cs="Times New Roman"/>
          <w:sz w:val="24"/>
          <w:szCs w:val="28"/>
        </w:rPr>
      </w:pPr>
      <w:r w:rsidRPr="00BE5749">
        <w:rPr>
          <w:rFonts w:eastAsiaTheme="minorHAnsi" w:cs="Times New Roman" w:hint="eastAsia"/>
          <w:sz w:val="24"/>
          <w:szCs w:val="28"/>
        </w:rPr>
        <w:t>年金がない場合、横軸に若年期期初の利子を除く資産、縦軸に次期の利子を除く資産とする貯蓄の政策関数のグラフをそれぞれの生産性について描け。</w:t>
      </w:r>
    </w:p>
    <w:p w14:paraId="4EBAB62B" w14:textId="77777777" w:rsidR="003D42C7" w:rsidRDefault="00BE5749" w:rsidP="003D42C7">
      <w:pPr>
        <w:jc w:val="left"/>
        <w:rPr>
          <w:rFonts w:eastAsiaTheme="minorHAnsi" w:cs="Times New Roman"/>
          <w:sz w:val="24"/>
          <w:szCs w:val="28"/>
        </w:rPr>
      </w:pPr>
      <w:r w:rsidRPr="00BE5749">
        <w:rPr>
          <w:rFonts w:eastAsiaTheme="minorHAnsi" w:cs="Times New Roman" w:hint="eastAsia"/>
          <w:sz w:val="24"/>
          <w:szCs w:val="28"/>
        </w:rPr>
        <w:t>全て同じ</w:t>
      </w:r>
      <w:r w:rsidRPr="00BE5749">
        <w:rPr>
          <w:rFonts w:eastAsiaTheme="minorHAnsi" w:cs="Times New Roman"/>
          <w:sz w:val="24"/>
          <w:szCs w:val="28"/>
        </w:rPr>
        <w:t>1つの図に描くこと。</w:t>
      </w:r>
    </w:p>
    <w:p w14:paraId="1AF2F97F" w14:textId="67661683" w:rsidR="00BE5749" w:rsidRDefault="00BE5749" w:rsidP="003D42C7">
      <w:pPr>
        <w:jc w:val="left"/>
        <w:rPr>
          <w:rFonts w:eastAsiaTheme="minorHAnsi" w:cs="Times New Roman" w:hint="eastAsia"/>
          <w:sz w:val="24"/>
          <w:szCs w:val="28"/>
        </w:rPr>
      </w:pPr>
      <w:r w:rsidRPr="00BE5749">
        <w:rPr>
          <w:rFonts w:eastAsiaTheme="minorHAnsi" w:cs="Times New Roman"/>
          <w:sz w:val="24"/>
          <w:szCs w:val="28"/>
        </w:rPr>
        <w:t>異なる生産性での貯蓄行動を比較し、その経済学的な直感も述べよ</w:t>
      </w:r>
      <w:r>
        <w:rPr>
          <w:rFonts w:eastAsiaTheme="minorHAnsi" w:cs="Times New Roman" w:hint="eastAsia"/>
          <w:sz w:val="24"/>
          <w:szCs w:val="28"/>
        </w:rPr>
        <w:t>。</w:t>
      </w:r>
    </w:p>
    <w:p w14:paraId="7DC5802B" w14:textId="13DA98E2" w:rsidR="00BE5749" w:rsidRDefault="003D42C7" w:rsidP="003D42C7">
      <w:pPr>
        <w:jc w:val="left"/>
        <w:rPr>
          <w:rFonts w:eastAsiaTheme="minorHAnsi" w:cs="Times New Roman"/>
          <w:sz w:val="24"/>
          <w:szCs w:val="28"/>
        </w:rPr>
      </w:pPr>
      <w:r>
        <w:rPr>
          <w:rFonts w:eastAsiaTheme="minorHAnsi" w:cs="Times New Roman" w:hint="eastAsia"/>
          <w:noProof/>
          <w:sz w:val="24"/>
          <w:szCs w:val="28"/>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44A623C" w14:textId="3E444CB8" w:rsidR="003D42C7" w:rsidRPr="00BE5749" w:rsidRDefault="003D42C7" w:rsidP="003D42C7">
      <w:pPr>
        <w:jc w:val="left"/>
        <w:rPr>
          <w:rFonts w:eastAsiaTheme="minorHAnsi" w:cs="Times New Roman" w:hint="eastAsia"/>
          <w:sz w:val="24"/>
          <w:szCs w:val="28"/>
        </w:rPr>
      </w:pPr>
      <w:r>
        <w:rPr>
          <w:rFonts w:eastAsiaTheme="minorHAnsi" w:cs="Times New Roman" w:hint="eastAsia"/>
          <w:sz w:val="24"/>
          <w:szCs w:val="28"/>
        </w:rPr>
        <w:t>どの若年期期初の資産(a_1)においても、生産性が高いほど</w:t>
      </w:r>
      <w:r w:rsidR="00E07FE6">
        <w:rPr>
          <w:rFonts w:eastAsiaTheme="minorHAnsi" w:cs="Times New Roman" w:hint="eastAsia"/>
          <w:sz w:val="24"/>
          <w:szCs w:val="28"/>
        </w:rPr>
        <w:t>次期の資産(a_2)が大きいことがわかる。生産性が高ければ、所得が多いため、貯金額を増やすことが可能である。</w:t>
      </w:r>
    </w:p>
    <w:sectPr w:rsidR="003D42C7" w:rsidRPr="00BE5749" w:rsidSect="00BE5749">
      <w:footerReference w:type="defaul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32171" w14:textId="77777777" w:rsidR="00BA4AE3" w:rsidRDefault="00BA4AE3" w:rsidP="00BE5749">
      <w:r>
        <w:separator/>
      </w:r>
    </w:p>
  </w:endnote>
  <w:endnote w:type="continuationSeparator" w:id="0">
    <w:p w14:paraId="20A47F05" w14:textId="77777777" w:rsidR="00BA4AE3" w:rsidRDefault="00BA4AE3"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15381" w14:textId="77777777" w:rsidR="00BA4AE3" w:rsidRDefault="00BA4AE3" w:rsidP="00BE5749">
      <w:r>
        <w:separator/>
      </w:r>
    </w:p>
  </w:footnote>
  <w:footnote w:type="continuationSeparator" w:id="0">
    <w:p w14:paraId="66686ED9" w14:textId="77777777" w:rsidR="00BA4AE3" w:rsidRDefault="00BA4AE3"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3D42C7"/>
    <w:rsid w:val="004516EC"/>
    <w:rsid w:val="0070448A"/>
    <w:rsid w:val="00BA4AE3"/>
    <w:rsid w:val="00BE5749"/>
    <w:rsid w:val="00C93F70"/>
    <w:rsid w:val="00E07FE6"/>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Words>
  <Characters>239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1</cp:revision>
  <dcterms:created xsi:type="dcterms:W3CDTF">2025-07-19T05:43:00Z</dcterms:created>
  <dcterms:modified xsi:type="dcterms:W3CDTF">2025-07-19T06:13:00Z</dcterms:modified>
</cp:coreProperties>
</file>