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71A" w:rsidRDefault="00196B76" w:rsidP="00196B76">
      <w:pPr>
        <w:pStyle w:val="Titel"/>
      </w:pPr>
      <w:r>
        <w:t xml:space="preserve">BTC </w:t>
      </w:r>
      <w:proofErr w:type="spellStart"/>
      <w:r>
        <w:t>RevEngTools</w:t>
      </w:r>
      <w:proofErr w:type="spellEnd"/>
      <w:r w:rsidR="00547E03">
        <w:t xml:space="preserve"> </w:t>
      </w:r>
      <w:r w:rsidR="00547E03">
        <w:softHyphen/>
        <w:t>–</w:t>
      </w:r>
      <w:r>
        <w:t xml:space="preserve"> Graph </w:t>
      </w:r>
      <w:proofErr w:type="spellStart"/>
      <w:r>
        <w:t>Introduction</w:t>
      </w:r>
      <w:proofErr w:type="spellEnd"/>
    </w:p>
    <w:p w:rsidR="00196B76" w:rsidRPr="00196B76" w:rsidRDefault="00196B76" w:rsidP="00196B76">
      <w:pPr>
        <w:pStyle w:val="Untertitel"/>
        <w:rPr>
          <w:lang w:val="en-US"/>
        </w:rPr>
      </w:pPr>
      <w:r w:rsidRPr="00196B76">
        <w:rPr>
          <w:lang w:val="en-US"/>
        </w:rPr>
        <w:t>Version: 0.</w:t>
      </w:r>
      <w:r w:rsidR="00333C76">
        <w:rPr>
          <w:lang w:val="en-US"/>
        </w:rPr>
        <w:t>2</w:t>
      </w:r>
      <w:r w:rsidRPr="00196B76">
        <w:rPr>
          <w:lang w:val="en-US"/>
        </w:rPr>
        <w:t>, last changed on 2010-Oct-26</w:t>
      </w:r>
      <w:r w:rsidR="00547E03">
        <w:rPr>
          <w:lang w:val="en-US"/>
        </w:rPr>
        <w:t xml:space="preserve"> by Simon Giesecke</w:t>
      </w:r>
    </w:p>
    <w:p w:rsidR="00196B76" w:rsidRDefault="00196B76" w:rsidP="00196B76">
      <w:pPr>
        <w:pStyle w:val="berschrift1"/>
        <w:rPr>
          <w:lang w:val="en-US"/>
        </w:rPr>
      </w:pPr>
      <w:r>
        <w:rPr>
          <w:lang w:val="en-US"/>
        </w:rPr>
        <w:t>Graph types</w:t>
      </w:r>
    </w:p>
    <w:p w:rsidR="00196B76" w:rsidRDefault="00196B76" w:rsidP="00547E03">
      <w:pPr>
        <w:pStyle w:val="berschrift2"/>
        <w:rPr>
          <w:lang w:val="en-US"/>
        </w:rPr>
      </w:pPr>
      <w:r>
        <w:rPr>
          <w:lang w:val="en-US"/>
        </w:rPr>
        <w:t>Technology-independent graphs</w:t>
      </w:r>
    </w:p>
    <w:p w:rsidR="00547E03" w:rsidRPr="00547E03" w:rsidRDefault="00547E03" w:rsidP="00547E03">
      <w:pPr>
        <w:rPr>
          <w:lang w:val="en-US"/>
        </w:rPr>
      </w:pPr>
      <w:r>
        <w:rPr>
          <w:lang w:val="en-US"/>
        </w:rPr>
        <w:t>For any technology, a graph showing the link-time dependencies is generated, as well as a graph based on that which highlights violations of the EPM physical module dependency rules.</w:t>
      </w:r>
    </w:p>
    <w:p w:rsidR="00196B76" w:rsidRDefault="00196B76" w:rsidP="00547E03">
      <w:pPr>
        <w:pStyle w:val="berschrift3"/>
        <w:rPr>
          <w:lang w:val="en-US"/>
        </w:rPr>
      </w:pPr>
      <w:r>
        <w:rPr>
          <w:lang w:val="en-US"/>
        </w:rPr>
        <w:t>Overview and detail graphs</w:t>
      </w:r>
    </w:p>
    <w:p w:rsidR="00196B76" w:rsidRDefault="00196B76" w:rsidP="00196B76">
      <w:pPr>
        <w:rPr>
          <w:lang w:val="en-US"/>
        </w:rPr>
      </w:pPr>
      <w:r>
        <w:rPr>
          <w:lang w:val="en-US"/>
        </w:rPr>
        <w:t xml:space="preserve">Each graph is output in an overview variant, where modules are grouped to module groups, and a detail variant, where each module is shown. An edge between two module groups </w:t>
      </w:r>
      <w:r w:rsidR="00547E03">
        <w:rPr>
          <w:lang w:val="en-US"/>
        </w:rPr>
        <w:t xml:space="preserve">in the overview variant </w:t>
      </w:r>
      <w:r>
        <w:rPr>
          <w:lang w:val="en-US"/>
        </w:rPr>
        <w:t>means that there is at least one dependency between two modules contained in the module groups.</w:t>
      </w:r>
    </w:p>
    <w:p w:rsidR="00547E03" w:rsidRDefault="00547E03" w:rsidP="00547E03">
      <w:pPr>
        <w:pStyle w:val="berschrift3"/>
        <w:rPr>
          <w:lang w:val="en-US"/>
        </w:rPr>
      </w:pPr>
      <w:r>
        <w:rPr>
          <w:lang w:val="en-US"/>
        </w:rPr>
        <w:t>EPM Rule Violations</w:t>
      </w:r>
    </w:p>
    <w:p w:rsidR="00547E03" w:rsidRPr="00547E03" w:rsidRDefault="00547E03" w:rsidP="00547E03">
      <w:pPr>
        <w:rPr>
          <w:lang w:val="en-US"/>
        </w:rPr>
      </w:pPr>
      <w:r>
        <w:rPr>
          <w:lang w:val="en-US"/>
        </w:rPr>
        <w:t>Note: The results may be inaccurate if the classification of the modules is not correct. By default, this is derived from naming conventions. The EPM physical module dependency rules are still under discussion.</w:t>
      </w:r>
    </w:p>
    <w:p w:rsidR="00196B76" w:rsidRDefault="00196B76" w:rsidP="00547E03">
      <w:pPr>
        <w:pStyle w:val="berschrift2"/>
        <w:rPr>
          <w:lang w:val="en-US"/>
        </w:rPr>
      </w:pPr>
      <w:r>
        <w:rPr>
          <w:lang w:val="en-US"/>
        </w:rPr>
        <w:t>C++-specific graphs</w:t>
      </w:r>
    </w:p>
    <w:p w:rsidR="00196B76" w:rsidRDefault="00196B76" w:rsidP="00547E03">
      <w:pPr>
        <w:rPr>
          <w:lang w:val="en-US"/>
        </w:rPr>
      </w:pPr>
      <w:r>
        <w:rPr>
          <w:lang w:val="en-US"/>
        </w:rPr>
        <w:t>For C++, link-time dependencies are not guaranteed to be consistent with compile-time dependencies (i.e. include dependencies). There are additional graphs depicting the module-level include dependencies (with and without external dependencies). In addition, the consistency of compile-time and link-time dependencies is checked, and shown as a graph and a report.</w:t>
      </w:r>
      <w:r w:rsidR="00547E03">
        <w:rPr>
          <w:lang w:val="en-US"/>
        </w:rPr>
        <w:t xml:space="preserve"> </w:t>
      </w:r>
      <w:r>
        <w:rPr>
          <w:lang w:val="en-US"/>
        </w:rPr>
        <w:t>The results may be inaccurate if headers are not correctly associated with modules.</w:t>
      </w:r>
    </w:p>
    <w:p w:rsidR="002F1AD2" w:rsidRDefault="002F1AD2" w:rsidP="002F1AD2">
      <w:pPr>
        <w:pStyle w:val="berschrift1"/>
        <w:rPr>
          <w:lang w:val="en-US"/>
        </w:rPr>
      </w:pPr>
      <w:r>
        <w:rPr>
          <w:lang w:val="en-US"/>
        </w:rPr>
        <w:t>System-specific additions</w:t>
      </w:r>
    </w:p>
    <w:p w:rsidR="002F1AD2" w:rsidRDefault="002F1AD2" w:rsidP="002F1AD2">
      <w:pPr>
        <w:pStyle w:val="berschrift2"/>
        <w:rPr>
          <w:lang w:val="en-US"/>
        </w:rPr>
      </w:pPr>
      <w:proofErr w:type="spellStart"/>
      <w:r>
        <w:rPr>
          <w:lang w:val="en-US"/>
        </w:rPr>
        <w:t>CoreAssetBase</w:t>
      </w:r>
      <w:proofErr w:type="spellEnd"/>
    </w:p>
    <w:p w:rsidR="002F1AD2" w:rsidRDefault="002F1AD2" w:rsidP="002F1AD2">
      <w:pPr>
        <w:rPr>
          <w:lang w:val="en-US"/>
        </w:rPr>
      </w:pPr>
      <w:r>
        <w:rPr>
          <w:lang w:val="en-US"/>
        </w:rPr>
        <w:t xml:space="preserve">For the </w:t>
      </w:r>
      <w:proofErr w:type="spellStart"/>
      <w:r>
        <w:rPr>
          <w:lang w:val="en-US"/>
        </w:rPr>
        <w:t>CoreAssetBase</w:t>
      </w:r>
      <w:proofErr w:type="spellEnd"/>
      <w:r>
        <w:rPr>
          <w:lang w:val="en-US"/>
        </w:rPr>
        <w:t>, the following conventions apply, if not noted otherwise:</w:t>
      </w:r>
    </w:p>
    <w:p w:rsidR="002F1AD2" w:rsidRDefault="002F1AD2" w:rsidP="002F1AD2">
      <w:pPr>
        <w:pStyle w:val="Listenabsatz"/>
        <w:numPr>
          <w:ilvl w:val="0"/>
          <w:numId w:val="1"/>
        </w:numPr>
        <w:rPr>
          <w:lang w:val="en-US"/>
        </w:rPr>
      </w:pPr>
      <w:proofErr w:type="spellStart"/>
      <w:r>
        <w:rPr>
          <w:lang w:val="en-US"/>
        </w:rPr>
        <w:t>BtcCommonsCore</w:t>
      </w:r>
      <w:proofErr w:type="spellEnd"/>
      <w:r>
        <w:rPr>
          <w:lang w:val="en-US"/>
        </w:rPr>
        <w:t xml:space="preserve"> is omitted (since nearly every other module depends on it),</w:t>
      </w:r>
    </w:p>
    <w:p w:rsidR="002F1AD2" w:rsidRPr="00547E03" w:rsidRDefault="002F1AD2" w:rsidP="002F1AD2">
      <w:pPr>
        <w:pStyle w:val="Listenabsatz"/>
        <w:numPr>
          <w:ilvl w:val="0"/>
          <w:numId w:val="1"/>
        </w:numPr>
        <w:rPr>
          <w:lang w:val="en-US"/>
        </w:rPr>
      </w:pPr>
      <w:r>
        <w:rPr>
          <w:lang w:val="en-US"/>
        </w:rPr>
        <w:t xml:space="preserve">Test, </w:t>
      </w:r>
      <w:proofErr w:type="spellStart"/>
      <w:r>
        <w:rPr>
          <w:lang w:val="en-US"/>
        </w:rPr>
        <w:t>configurator</w:t>
      </w:r>
      <w:proofErr w:type="spellEnd"/>
      <w:r>
        <w:rPr>
          <w:lang w:val="en-US"/>
        </w:rPr>
        <w:t xml:space="preserve"> and marshaling modules are omitted, if they have only outgoing dependencies</w:t>
      </w:r>
    </w:p>
    <w:p w:rsidR="002F1AD2" w:rsidRDefault="002F1AD2" w:rsidP="002F1AD2">
      <w:pPr>
        <w:pStyle w:val="berschrift2"/>
        <w:rPr>
          <w:lang w:val="en-US"/>
        </w:rPr>
      </w:pPr>
      <w:r>
        <w:rPr>
          <w:lang w:val="en-US"/>
        </w:rPr>
        <w:t>PRINS</w:t>
      </w:r>
    </w:p>
    <w:p w:rsidR="002F1AD2" w:rsidRDefault="002F1AD2" w:rsidP="002F1AD2">
      <w:pPr>
        <w:pStyle w:val="Listenabsatz"/>
        <w:numPr>
          <w:ilvl w:val="0"/>
          <w:numId w:val="1"/>
        </w:numPr>
        <w:rPr>
          <w:lang w:val="en-US"/>
        </w:rPr>
      </w:pPr>
      <w:r>
        <w:rPr>
          <w:lang w:val="en-US"/>
        </w:rPr>
        <w:t xml:space="preserve">“PRINS legacy”, test, </w:t>
      </w:r>
      <w:proofErr w:type="spellStart"/>
      <w:r>
        <w:rPr>
          <w:lang w:val="en-US"/>
        </w:rPr>
        <w:t>configurator</w:t>
      </w:r>
      <w:proofErr w:type="spellEnd"/>
      <w:r>
        <w:rPr>
          <w:lang w:val="en-US"/>
        </w:rPr>
        <w:t xml:space="preserve"> and marshaling modules are omitted, if they have only outgoing dependencies</w:t>
      </w:r>
    </w:p>
    <w:p w:rsidR="002F1AD2" w:rsidRPr="00547E03" w:rsidRDefault="002F1AD2" w:rsidP="002F1AD2">
      <w:pPr>
        <w:pStyle w:val="Listenabsatz"/>
        <w:numPr>
          <w:ilvl w:val="0"/>
          <w:numId w:val="1"/>
        </w:numPr>
        <w:rPr>
          <w:lang w:val="en-US"/>
        </w:rPr>
      </w:pPr>
      <w:r>
        <w:rPr>
          <w:lang w:val="en-US"/>
        </w:rPr>
        <w:t xml:space="preserve">The </w:t>
      </w:r>
      <w:proofErr w:type="spellStart"/>
      <w:r>
        <w:rPr>
          <w:lang w:val="en-US"/>
        </w:rPr>
        <w:t>subgraph</w:t>
      </w:r>
      <w:proofErr w:type="spellEnd"/>
      <w:r>
        <w:rPr>
          <w:lang w:val="en-US"/>
        </w:rPr>
        <w:t xml:space="preserve"> of modules (edges in the </w:t>
      </w:r>
      <w:proofErr w:type="spellStart"/>
      <w:r>
        <w:rPr>
          <w:lang w:val="en-US"/>
        </w:rPr>
        <w:t>subgraphs</w:t>
      </w:r>
      <w:proofErr w:type="spellEnd"/>
      <w:r>
        <w:rPr>
          <w:lang w:val="en-US"/>
        </w:rPr>
        <w:t xml:space="preserve">, and the outline of nodes) that depend directly or indirectly on any PRINS legacy module is colored in </w:t>
      </w:r>
      <w:r w:rsidRPr="00547E03">
        <w:rPr>
          <w:color w:val="D693FF"/>
          <w:lang w:val="en-US"/>
        </w:rPr>
        <w:t>light purple</w:t>
      </w:r>
      <w:r>
        <w:rPr>
          <w:lang w:val="en-US"/>
        </w:rPr>
        <w:t>.</w:t>
      </w:r>
    </w:p>
    <w:p w:rsidR="002F1AD2" w:rsidRPr="00196B76" w:rsidRDefault="002F1AD2" w:rsidP="00547E03">
      <w:pPr>
        <w:rPr>
          <w:lang w:val="en-US"/>
        </w:rPr>
      </w:pPr>
    </w:p>
    <w:p w:rsidR="00196B76" w:rsidRDefault="00196B76" w:rsidP="00196B76">
      <w:pPr>
        <w:pStyle w:val="berschrift1"/>
        <w:rPr>
          <w:lang w:val="en-US"/>
        </w:rPr>
      </w:pPr>
      <w:r>
        <w:rPr>
          <w:lang w:val="en-US"/>
        </w:rPr>
        <w:lastRenderedPageBreak/>
        <w:t xml:space="preserve">Common </w:t>
      </w:r>
      <w:r w:rsidR="002F1AD2">
        <w:rPr>
          <w:lang w:val="en-US"/>
        </w:rPr>
        <w:t xml:space="preserve">graph </w:t>
      </w:r>
      <w:r>
        <w:rPr>
          <w:lang w:val="en-US"/>
        </w:rPr>
        <w:t>elements</w:t>
      </w:r>
    </w:p>
    <w:p w:rsidR="00196B76" w:rsidRDefault="00196B76" w:rsidP="00196B76">
      <w:pPr>
        <w:pStyle w:val="berschrift2"/>
        <w:rPr>
          <w:lang w:val="en-US"/>
        </w:rPr>
      </w:pPr>
      <w:r>
        <w:rPr>
          <w:lang w:val="en-US"/>
        </w:rPr>
        <w:t>Nodes</w:t>
      </w:r>
    </w:p>
    <w:p w:rsidR="00196B76" w:rsidRDefault="00196B76" w:rsidP="00196B76">
      <w:pPr>
        <w:pStyle w:val="berschrift3"/>
        <w:rPr>
          <w:lang w:val="en-US"/>
        </w:rPr>
      </w:pPr>
      <w:r>
        <w:rPr>
          <w:lang w:val="en-US"/>
        </w:rPr>
        <w:t>Shapes</w:t>
      </w:r>
    </w:p>
    <w:p w:rsidR="002A0EF2" w:rsidRDefault="002A0EF2" w:rsidP="000A11AC">
      <w:pPr>
        <w:jc w:val="center"/>
        <w:rPr>
          <w:lang w:val="en-US"/>
        </w:rPr>
      </w:pPr>
      <w:r>
        <w:rPr>
          <w:noProof/>
          <w:lang w:eastAsia="de-DE"/>
        </w:rPr>
        <w:drawing>
          <wp:inline distT="0" distB="0" distL="0" distR="0">
            <wp:extent cx="5067300" cy="1750106"/>
            <wp:effectExtent l="19050" t="0" r="0" b="0"/>
            <wp:docPr id="1" name="Grafik 0" descr="graph_key.do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key.dot.emf"/>
                    <pic:cNvPicPr/>
                  </pic:nvPicPr>
                  <pic:blipFill>
                    <a:blip r:embed="rId5" cstate="print"/>
                    <a:stretch>
                      <a:fillRect/>
                    </a:stretch>
                  </pic:blipFill>
                  <pic:spPr>
                    <a:xfrm>
                      <a:off x="0" y="0"/>
                      <a:ext cx="5085288" cy="1756318"/>
                    </a:xfrm>
                    <a:prstGeom prst="rect">
                      <a:avLst/>
                    </a:prstGeom>
                  </pic:spPr>
                </pic:pic>
              </a:graphicData>
            </a:graphic>
          </wp:inline>
        </w:drawing>
      </w:r>
    </w:p>
    <w:p w:rsidR="00D66DFD" w:rsidRPr="002A0EF2" w:rsidRDefault="00D66DFD" w:rsidP="00D66DFD">
      <w:pPr>
        <w:rPr>
          <w:lang w:val="en-US"/>
        </w:rPr>
      </w:pPr>
      <w:r>
        <w:rPr>
          <w:lang w:val="en-US"/>
        </w:rPr>
        <w:t xml:space="preserve"> “Additional” refers to the full dependency graph, i.e. these modules have additional dependencies that are not contained in the shown </w:t>
      </w:r>
      <w:proofErr w:type="spellStart"/>
      <w:r>
        <w:rPr>
          <w:lang w:val="en-US"/>
        </w:rPr>
        <w:t>subgraph</w:t>
      </w:r>
      <w:proofErr w:type="spellEnd"/>
      <w:r>
        <w:rPr>
          <w:lang w:val="en-US"/>
        </w:rPr>
        <w:t xml:space="preserve"> or connect to module types that are not shown.</w:t>
      </w:r>
    </w:p>
    <w:p w:rsidR="00196B76" w:rsidRDefault="00547E03" w:rsidP="00196B76">
      <w:pPr>
        <w:pStyle w:val="berschrift3"/>
        <w:rPr>
          <w:lang w:val="en-US"/>
        </w:rPr>
      </w:pPr>
      <w:r>
        <w:rPr>
          <w:lang w:val="en-US"/>
        </w:rPr>
        <w:t>Fill c</w:t>
      </w:r>
      <w:r w:rsidR="00196B76">
        <w:rPr>
          <w:lang w:val="en-US"/>
        </w:rPr>
        <w:t>olors</w:t>
      </w:r>
    </w:p>
    <w:p w:rsidR="005813DA" w:rsidRPr="005813DA" w:rsidRDefault="005813DA" w:rsidP="005813DA">
      <w:pPr>
        <w:rPr>
          <w:lang w:val="en-US"/>
        </w:rPr>
      </w:pPr>
      <w:r>
        <w:rPr>
          <w:lang w:val="en-US"/>
        </w:rPr>
        <w:t>The fill colors are based on the EPM module classification:</w:t>
      </w:r>
    </w:p>
    <w:p w:rsidR="00196B76" w:rsidRPr="00196B76" w:rsidRDefault="000A11AC" w:rsidP="000A11AC">
      <w:pPr>
        <w:jc w:val="center"/>
        <w:rPr>
          <w:lang w:val="en-US"/>
        </w:rPr>
      </w:pPr>
      <w:r>
        <w:rPr>
          <w:noProof/>
          <w:lang w:eastAsia="de-DE"/>
        </w:rPr>
        <w:drawing>
          <wp:inline distT="0" distB="0" distL="0" distR="0">
            <wp:extent cx="2943225" cy="1755184"/>
            <wp:effectExtent l="19050" t="0" r="9525" b="0"/>
            <wp:docPr id="2" name="Grafik 1" descr="graph_key.do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key.dot.2.emf"/>
                    <pic:cNvPicPr/>
                  </pic:nvPicPr>
                  <pic:blipFill>
                    <a:blip r:embed="rId6" cstate="print"/>
                    <a:stretch>
                      <a:fillRect/>
                    </a:stretch>
                  </pic:blipFill>
                  <pic:spPr>
                    <a:xfrm>
                      <a:off x="0" y="0"/>
                      <a:ext cx="2948360" cy="1758246"/>
                    </a:xfrm>
                    <a:prstGeom prst="rect">
                      <a:avLst/>
                    </a:prstGeom>
                  </pic:spPr>
                </pic:pic>
              </a:graphicData>
            </a:graphic>
          </wp:inline>
        </w:drawing>
      </w:r>
    </w:p>
    <w:p w:rsidR="00196B76" w:rsidRDefault="00196B76" w:rsidP="00196B76">
      <w:pPr>
        <w:pStyle w:val="berschrift2"/>
        <w:rPr>
          <w:lang w:val="en-US"/>
        </w:rPr>
      </w:pPr>
      <w:r>
        <w:rPr>
          <w:lang w:val="en-US"/>
        </w:rPr>
        <w:t>Edges</w:t>
      </w:r>
    </w:p>
    <w:p w:rsidR="00547E03" w:rsidRPr="00547E03" w:rsidRDefault="00547E03" w:rsidP="00547E03">
      <w:pPr>
        <w:rPr>
          <w:lang w:val="en-US"/>
        </w:rPr>
      </w:pPr>
      <w:r>
        <w:rPr>
          <w:lang w:val="en-US"/>
        </w:rPr>
        <w:t>Edges forming a cycle are highlighted</w:t>
      </w:r>
      <w:r w:rsidR="008F0EDD">
        <w:rPr>
          <w:lang w:val="en-US"/>
        </w:rPr>
        <w:t xml:space="preserve"> in </w:t>
      </w:r>
      <w:r w:rsidR="008F0EDD" w:rsidRPr="008F0EDD">
        <w:rPr>
          <w:color w:val="FF0000"/>
          <w:lang w:val="en-US"/>
        </w:rPr>
        <w:t>red</w:t>
      </w:r>
      <w:r>
        <w:rPr>
          <w:lang w:val="en-US"/>
        </w:rPr>
        <w:t xml:space="preserve">, and they are </w:t>
      </w:r>
      <w:proofErr w:type="spellStart"/>
      <w:r>
        <w:rPr>
          <w:lang w:val="en-US"/>
        </w:rPr>
        <w:t>labelled</w:t>
      </w:r>
      <w:proofErr w:type="spellEnd"/>
      <w:r>
        <w:rPr>
          <w:lang w:val="en-US"/>
        </w:rPr>
        <w:t xml:space="preserve"> with the number of the </w:t>
      </w:r>
      <w:r w:rsidR="008F0EDD">
        <w:rPr>
          <w:lang w:val="en-US"/>
        </w:rPr>
        <w:t xml:space="preserve">non-trivial </w:t>
      </w:r>
      <w:r>
        <w:rPr>
          <w:lang w:val="en-US"/>
        </w:rPr>
        <w:t xml:space="preserve">strongly connected component </w:t>
      </w:r>
      <w:r w:rsidR="008F0EDD">
        <w:rPr>
          <w:lang w:val="en-US"/>
        </w:rPr>
        <w:t xml:space="preserve">(SCC) </w:t>
      </w:r>
      <w:r>
        <w:rPr>
          <w:lang w:val="en-US"/>
        </w:rPr>
        <w:t xml:space="preserve">they belong to. </w:t>
      </w:r>
      <w:r w:rsidR="008F0EDD">
        <w:rPr>
          <w:lang w:val="en-US"/>
        </w:rPr>
        <w:t>The numbering of the SCCs is not stable across graphs.</w:t>
      </w:r>
    </w:p>
    <w:p w:rsidR="00196B76" w:rsidRDefault="00196B76" w:rsidP="00196B76">
      <w:pPr>
        <w:pStyle w:val="berschrift3"/>
        <w:rPr>
          <w:lang w:val="en-US"/>
        </w:rPr>
      </w:pPr>
      <w:r>
        <w:rPr>
          <w:lang w:val="en-US"/>
        </w:rPr>
        <w:t>Colors</w:t>
      </w:r>
    </w:p>
    <w:p w:rsidR="005813DA" w:rsidRPr="005813DA" w:rsidRDefault="005813DA" w:rsidP="005813DA">
      <w:pPr>
        <w:jc w:val="center"/>
        <w:rPr>
          <w:lang w:val="en-US"/>
        </w:rPr>
      </w:pPr>
      <w:r>
        <w:rPr>
          <w:noProof/>
          <w:lang w:eastAsia="de-DE"/>
        </w:rPr>
        <w:drawing>
          <wp:inline distT="0" distB="0" distL="0" distR="0">
            <wp:extent cx="2914650" cy="2152116"/>
            <wp:effectExtent l="19050" t="0" r="0" b="0"/>
            <wp:docPr id="3" name="Grafik 2" descr="graph_key.d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key.dot.3.png"/>
                    <pic:cNvPicPr/>
                  </pic:nvPicPr>
                  <pic:blipFill>
                    <a:blip r:embed="rId7" cstate="print"/>
                    <a:stretch>
                      <a:fillRect/>
                    </a:stretch>
                  </pic:blipFill>
                  <pic:spPr>
                    <a:xfrm>
                      <a:off x="0" y="0"/>
                      <a:ext cx="2921193" cy="2156947"/>
                    </a:xfrm>
                    <a:prstGeom prst="rect">
                      <a:avLst/>
                    </a:prstGeom>
                  </pic:spPr>
                </pic:pic>
              </a:graphicData>
            </a:graphic>
          </wp:inline>
        </w:drawing>
      </w:r>
    </w:p>
    <w:sectPr w:rsidR="005813DA" w:rsidRPr="005813DA" w:rsidSect="00196B76">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C5FE1"/>
    <w:multiLevelType w:val="hybridMultilevel"/>
    <w:tmpl w:val="0AF0F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5BD2772"/>
    <w:multiLevelType w:val="hybridMultilevel"/>
    <w:tmpl w:val="DE449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196B76"/>
    <w:rsid w:val="0002671A"/>
    <w:rsid w:val="000A11AC"/>
    <w:rsid w:val="00196B76"/>
    <w:rsid w:val="002A0EF2"/>
    <w:rsid w:val="002F1AD2"/>
    <w:rsid w:val="00333C76"/>
    <w:rsid w:val="00547E03"/>
    <w:rsid w:val="005813DA"/>
    <w:rsid w:val="005C01E3"/>
    <w:rsid w:val="00831084"/>
    <w:rsid w:val="008F0EDD"/>
    <w:rsid w:val="00940D50"/>
    <w:rsid w:val="00A34221"/>
    <w:rsid w:val="00D66D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71A"/>
  </w:style>
  <w:style w:type="paragraph" w:styleId="berschrift1">
    <w:name w:val="heading 1"/>
    <w:basedOn w:val="Standard"/>
    <w:next w:val="Standard"/>
    <w:link w:val="berschrift1Zchn"/>
    <w:uiPriority w:val="9"/>
    <w:qFormat/>
    <w:rsid w:val="00196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6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96B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6B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96B7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196B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96B76"/>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196B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96B7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96B76"/>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47E03"/>
    <w:pPr>
      <w:ind w:left="720"/>
      <w:contextualSpacing/>
    </w:pPr>
  </w:style>
  <w:style w:type="paragraph" w:styleId="Sprechblasentext">
    <w:name w:val="Balloon Text"/>
    <w:basedOn w:val="Standard"/>
    <w:link w:val="SprechblasentextZchn"/>
    <w:uiPriority w:val="99"/>
    <w:semiHidden/>
    <w:unhideWhenUsed/>
    <w:rsid w:val="002A0EF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0E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2108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BTC AG</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Giesecke</dc:creator>
  <cp:keywords/>
  <dc:description/>
  <cp:lastModifiedBy>Simon Giesecke</cp:lastModifiedBy>
  <cp:revision>7</cp:revision>
  <cp:lastPrinted>2010-10-26T15:39:00Z</cp:lastPrinted>
  <dcterms:created xsi:type="dcterms:W3CDTF">2010-10-26T14:29:00Z</dcterms:created>
  <dcterms:modified xsi:type="dcterms:W3CDTF">2010-10-26T15:39:00Z</dcterms:modified>
</cp:coreProperties>
</file>