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shd w:val="clear" w:color="auto" w:fill="08243A"/>
      </w:pPr>
      <w:r>
        <w:rPr>
          <w:rFonts w:ascii="Calibri" w:hAnsi="Calibri"/>
          <w:b w:val="0"/>
          <w:i w:val="0"/>
          <w:color w:val="222A30"/>
          <w:sz w:val="4"/>
        </w:rPr>
        <w:t xml:space="preserve"> </w:t>
      </w:r>
    </w:p>
    <w:p/>
    <w:p>
      <w:pPr>
        <w:spacing w:after="40"/>
      </w:pPr>
      <w:r>
        <w:rPr>
          <w:rFonts w:ascii="Georgia" w:hAnsi="Georgia"/>
          <w:b/>
          <w:i w:val="0"/>
          <w:color w:val="08243A"/>
          <w:sz w:val="26"/>
          <w:spacing w:val="60"/>
        </w:rPr>
        <w:t>NERION</w:t>
      </w:r>
    </w:p>
    <w:p>
      <w:pPr>
        <w:spacing w:after="800"/>
      </w:pPr>
      <w:r>
        <w:rPr>
          <w:rFonts w:ascii="Calibri" w:hAnsi="Calibri"/>
          <w:b w:val="0"/>
          <w:i w:val="0"/>
          <w:color w:val="1A5FA0"/>
          <w:sz w:val="22"/>
          <w:spacing w:val="20"/>
        </w:rPr>
        <w:t>Cyber Business Operations Platform</w:t>
      </w:r>
    </w:p>
    <w:p>
      <w:pPr>
        <w:spacing w:after="40"/>
      </w:pPr>
      <w:r>
        <w:rPr>
          <w:rFonts w:ascii="Georgia" w:hAnsi="Georgia"/>
          <w:b/>
          <w:i w:val="0"/>
          <w:color w:val="08243A"/>
          <w:sz w:val="80"/>
        </w:rPr>
        <w:t>User Guide</w:t>
      </w:r>
    </w:p>
    <w:p>
      <w:pPr>
        <w:spacing w:after="480"/>
      </w:pPr>
      <w:r>
        <w:rPr>
          <w:rFonts w:ascii="Georgia" w:hAnsi="Georgia"/>
          <w:b w:val="0"/>
          <w:i/>
          <w:color w:val="5B6B76"/>
          <w:sz w:val="32"/>
        </w:rPr>
        <w:t>From onboarding to daily operation</w:t>
      </w:r>
    </w:p>
    <w:p>
      <w:pPr>
        <w:spacing w:after="360"/>
        <w:pBdr>
          <w:bottom w:val="single" w:sz="18" w:space="6" w:color="1A5FA0"/>
        </w:pBdr>
      </w:pPr>
    </w:p>
    <w:p>
      <w:pPr>
        <w:spacing w:after="120"/>
      </w:pPr>
      <w:r>
        <w:rPr>
          <w:rFonts w:ascii="Calibri" w:hAnsi="Calibri"/>
          <w:b w:val="0"/>
          <w:i w:val="0"/>
          <w:color w:val="222A30"/>
          <w:sz w:val="23"/>
        </w:rPr>
        <w:t>Give Nerion your business, and it returns your cyber position — in dollars. This guide walks every executive seat from first login through onboarding, the cockpit, decisions, and administration of the platform.</w:t>
      </w:r>
    </w:p>
    <w:p/>
    <w:p/>
    <w:p/>
    <w:p/>
    <w:p/>
    <w:p/>
    <w:p/>
    <w:p/>
    <w:p>
      <w:pPr>
        <w:spacing w:after="20"/>
      </w:pPr>
      <w:r>
        <w:rPr>
          <w:rFonts w:ascii="Calibri" w:hAnsi="Calibri"/>
          <w:b w:val="0"/>
          <w:i w:val="0"/>
          <w:color w:val="5B6B76"/>
          <w:sz w:val="19"/>
        </w:rPr>
        <w:t>Prepared for platform users and administrators</w:t>
      </w:r>
    </w:p>
    <w:p>
      <w:pPr>
        <w:spacing w:after="20"/>
      </w:pPr>
      <w:r>
        <w:rPr>
          <w:rFonts w:ascii="Calibri" w:hAnsi="Calibri"/>
          <w:b w:val="0"/>
          <w:i w:val="0"/>
          <w:color w:val="5B6B76"/>
          <w:sz w:val="19"/>
        </w:rPr>
        <w:t>Version 1.0  ·  July 2026</w:t>
      </w:r>
    </w:p>
    <w:p>
      <w:r>
        <w:rPr>
          <w:rFonts w:ascii="Calibri" w:hAnsi="Calibri"/>
          <w:b/>
          <w:i w:val="0"/>
          <w:caps/>
          <w:color w:val="1A5FA0"/>
          <w:sz w:val="17"/>
          <w:spacing w:val="20"/>
        </w:rPr>
        <w:t>CONFIDENTIAL — Distribution limited to licensed users</w:t>
      </w:r>
    </w:p>
    <w:p>
      <w:pPr>
        <w:spacing w:before="120"/>
        <w:shd w:val="clear" w:color="auto" w:fill="08243A"/>
      </w:pPr>
      <w:r>
        <w:rPr>
          <w:rFonts w:ascii="Calibri" w:hAnsi="Calibri"/>
          <w:b w:val="0"/>
          <w:i w:val="0"/>
          <w:color w:val="222A30"/>
          <w:sz w:val="4"/>
        </w:rPr>
        <w:t xml:space="preserve"> </w:t>
      </w:r>
    </w:p>
    <w:p>
      <w:r>
        <w:br w:type="page"/>
      </w:r>
    </w:p>
    <w:p>
      <w:pPr>
        <w:spacing w:after="160"/>
        <w:pBdr>
          <w:bottom w:val="single" w:sz="10" w:space="6" w:color="08243A"/>
        </w:pBdr>
      </w:pPr>
      <w:r>
        <w:rPr>
          <w:rFonts w:ascii="Georgia" w:hAnsi="Georgia"/>
          <w:b/>
          <w:i w:val="0"/>
          <w:color w:val="08243A"/>
          <w:sz w:val="40"/>
        </w:rPr>
        <w:t>Contents</w:t>
      </w:r>
    </w:p>
    <w:p>
      <w:r>
        <w:fldChar w:fldCharType="begin"/>
        <w:instrText xml:space="preserve">TOC \o "1-2" \h \z \u</w:instrText>
        <w:fldChar w:fldCharType="separate"/>
        <w:fldChar w:fldCharType="end"/>
      </w:r>
    </w:p>
    <w:p>
      <w:r>
        <w:rPr>
          <w:rFonts w:ascii="Calibri" w:hAnsi="Calibri"/>
          <w:b w:val="0"/>
          <w:i/>
          <w:color w:val="5B6B76"/>
          <w:sz w:val="17"/>
        </w:rPr>
        <w:t>To populate: right-click anywhere in the contents above and choose “Update Field” (or select it and press F9).</w:t>
      </w:r>
    </w:p>
    <w:p>
      <w:r>
        <w:br w:type="page"/>
      </w:r>
    </w:p>
    <w:p>
      <w:pPr>
        <w:spacing w:before="40" w:after="40"/>
      </w:pPr>
      <w:r>
        <w:rPr>
          <w:rFonts w:ascii="Georgia" w:hAnsi="Georgia"/>
          <w:b/>
          <w:i w:val="0"/>
          <w:color w:val="2FA3D6"/>
          <w:sz w:val="60"/>
        </w:rPr>
        <w:t>01</w:t>
      </w:r>
    </w:p>
    <w:p>
      <w:pPr>
        <w:spacing w:after="200"/>
        <w:pBdr>
          <w:bottom w:val="single" w:sz="10" w:space="6" w:color="08243A"/>
        </w:pBdr>
        <w:outlineLvl w:val="0"/>
      </w:pPr>
      <w:r>
        <w:rPr>
          <w:rFonts w:ascii="Georgia" w:hAnsi="Georgia"/>
          <w:b/>
          <w:i w:val="0"/>
          <w:color w:val="08243A"/>
          <w:sz w:val="42"/>
        </w:rPr>
        <w:t>Introduction</w:t>
      </w:r>
    </w:p>
    <w:p>
      <w:pPr>
        <w:spacing w:before="240" w:after="80"/>
        <w:outlineLvl w:val="1"/>
      </w:pPr>
      <w:r>
        <w:rPr>
          <w:rFonts w:ascii="Georgia" w:hAnsi="Georgia"/>
          <w:b/>
          <w:i w:val="0"/>
          <w:color w:val="1A5FA0"/>
          <w:sz w:val="28"/>
        </w:rPr>
        <w:t>What Nerion is</w:t>
      </w:r>
    </w:p>
    <w:p>
      <w:pPr>
        <w:spacing w:before="0" w:after="120"/>
      </w:pPr>
      <w:r>
        <w:rPr>
          <w:rFonts w:ascii="Calibri" w:hAnsi="Calibri"/>
          <w:b w:val="0"/>
          <w:i w:val="0"/>
          <w:color w:val="222A30"/>
          <w:sz w:val="21"/>
        </w:rPr>
        <w:t>Nerion is a Cyber Business Operations Platform. It takes what your business is — your revenue processes, the systems that run them, your crown-jewel data, your vendors, and your security tools — and returns your cyber position expressed the way the board and the C-suite think: in dollars of exposure, in decisions, and in defensible evidence.</w:t>
      </w:r>
    </w:p>
    <w:p>
      <w:pPr>
        <w:spacing w:before="0" w:after="120"/>
      </w:pPr>
      <w:r>
        <w:rPr>
          <w:rFonts w:ascii="Calibri" w:hAnsi="Calibri"/>
          <w:b w:val="0"/>
          <w:i w:val="0"/>
          <w:color w:val="222A30"/>
          <w:sz w:val="21"/>
        </w:rPr>
        <w:t>Unlike a dashboard that shows red and green tiles, every number in Nerion is traceable. Each figure carries its provenance — the inputs, the calculation, and the source signal it came from — so a metric is never a claim you have to take on faith. Where a figure is drawn from live data it is marked as live; where it is a modelled placeholder it is marked as illustrative.</w:t>
      </w:r>
    </w:p>
    <w:p>
      <w:pPr>
        <w:spacing w:before="240" w:after="80"/>
        <w:outlineLvl w:val="1"/>
      </w:pPr>
      <w:r>
        <w:rPr>
          <w:rFonts w:ascii="Georgia" w:hAnsi="Georgia"/>
          <w:b/>
          <w:i w:val="0"/>
          <w:color w:val="1A5FA0"/>
          <w:sz w:val="28"/>
        </w:rPr>
        <w:t>Who it is for</w:t>
      </w:r>
    </w:p>
    <w:p>
      <w:pPr>
        <w:spacing w:before="0" w:after="120"/>
      </w:pPr>
      <w:r>
        <w:rPr>
          <w:rFonts w:ascii="Calibri" w:hAnsi="Calibri"/>
          <w:b w:val="0"/>
          <w:i w:val="0"/>
          <w:color w:val="222A30"/>
          <w:sz w:val="21"/>
        </w:rPr>
        <w:t>Nerion presents one platform through ten executive lenses, called seats. Each seat is addressed to a named leader, speaks in that leader’s language, and stamps that leader’s name on every decision they make. The seats are summarized in Exhibit 1.</w:t>
      </w:r>
    </w:p>
    <w:p>
      <w:pPr>
        <w:spacing w:before="200" w:after="60"/>
      </w:pPr>
      <w:r>
        <w:rPr>
          <w:rFonts w:ascii="Calibri" w:hAnsi="Calibri"/>
          <w:b/>
          <w:i w:val="0"/>
          <w:caps/>
          <w:color w:val="2FA3D6"/>
          <w:sz w:val="17"/>
          <w:spacing w:val="20"/>
        </w:rPr>
        <w:t xml:space="preserve">EXHIBIT — </w:t>
      </w:r>
      <w:r>
        <w:rPr>
          <w:rFonts w:ascii="Calibri" w:hAnsi="Calibri"/>
          <w:b/>
          <w:i w:val="0"/>
          <w:caps/>
          <w:color w:val="5B6B76"/>
          <w:sz w:val="17"/>
          <w:spacing w:val="20"/>
        </w:rPr>
        <w:t>The ten executive seats</w:t>
      </w:r>
    </w:p>
    <w:tbl>
      <w:tblPr>
        <w:tblW w:type="auto" w:w="0"/>
        <w:jc w:val="center"/>
        <w:tblLayout w:type="autofit"/>
        <w:tblLook w:firstColumn="1" w:firstRow="1" w:lastColumn="0" w:lastRow="0" w:noHBand="0" w:noVBand="1" w:val="04A0"/>
      </w:tblPr>
      <w:tblGrid>
        <w:gridCol w:w="3120"/>
        <w:gridCol w:w="3120"/>
        <w:gridCol w:w="3120"/>
      </w:tblGrid>
      <w:tr>
        <w:tc>
          <w:tcPr>
            <w:tcW w:type="dxa" w:w="1584"/>
            <w:shd w:val="clear" w:color="auto" w:fill="08243A"/>
          </w:tcPr>
          <w:p>
            <w:pPr>
              <w:spacing w:after="40" w:before="40"/>
            </w:pPr>
            <w:r>
              <w:rPr>
                <w:rFonts w:ascii="Calibri" w:hAnsi="Calibri"/>
                <w:b/>
                <w:i w:val="0"/>
                <w:color w:val="FFFFFF"/>
                <w:sz w:val="19"/>
              </w:rPr>
              <w:t>Seat</w:t>
            </w:r>
          </w:p>
        </w:tc>
        <w:tc>
          <w:tcPr>
            <w:tcW w:type="dxa" w:w="2160"/>
            <w:shd w:val="clear" w:color="auto" w:fill="08243A"/>
          </w:tcPr>
          <w:p>
            <w:pPr>
              <w:spacing w:after="40" w:before="40"/>
            </w:pPr>
            <w:r>
              <w:rPr>
                <w:rFonts w:ascii="Calibri" w:hAnsi="Calibri"/>
                <w:b/>
                <w:i w:val="0"/>
                <w:color w:val="FFFFFF"/>
                <w:sz w:val="19"/>
              </w:rPr>
              <w:t>Owner</w:t>
            </w:r>
          </w:p>
        </w:tc>
        <w:tc>
          <w:tcPr>
            <w:tcW w:type="dxa" w:w="5616"/>
            <w:shd w:val="clear" w:color="auto" w:fill="08243A"/>
          </w:tcPr>
          <w:p>
            <w:pPr>
              <w:spacing w:after="40" w:before="40"/>
            </w:pPr>
            <w:r>
              <w:rPr>
                <w:rFonts w:ascii="Calibri" w:hAnsi="Calibri"/>
                <w:b/>
                <w:i w:val="0"/>
                <w:color w:val="FFFFFF"/>
                <w:sz w:val="19"/>
              </w:rPr>
              <w:t>What the seat answers</w:t>
            </w:r>
          </w:p>
        </w:tc>
      </w:tr>
      <w:tr>
        <w:tc>
          <w:tcPr>
            <w:tcW w:type="dxa" w:w="1584"/>
          </w:tcPr>
          <w:p>
            <w:pPr>
              <w:spacing w:after="40" w:before="40"/>
            </w:pPr>
            <w:r>
              <w:rPr>
                <w:rFonts w:ascii="Calibri" w:hAnsi="Calibri"/>
                <w:b/>
                <w:i w:val="0"/>
                <w:color w:val="08243A"/>
                <w:sz w:val="19"/>
              </w:rPr>
              <w:t>CEO</w:t>
            </w:r>
          </w:p>
        </w:tc>
        <w:tc>
          <w:tcPr>
            <w:tcW w:type="dxa" w:w="2160"/>
          </w:tcPr>
          <w:p>
            <w:pPr>
              <w:spacing w:after="40" w:before="40"/>
            </w:pPr>
            <w:r>
              <w:rPr>
                <w:rFonts w:ascii="Calibri" w:hAnsi="Calibri"/>
                <w:b w:val="0"/>
                <w:i w:val="0"/>
                <w:color w:val="222A30"/>
                <w:sz w:val="19"/>
              </w:rPr>
              <w:t>Chief Executive</w:t>
            </w:r>
          </w:p>
        </w:tc>
        <w:tc>
          <w:tcPr>
            <w:tcW w:type="dxa" w:w="5616"/>
          </w:tcPr>
          <w:p>
            <w:pPr>
              <w:spacing w:after="40" w:before="40"/>
            </w:pPr>
            <w:r>
              <w:rPr>
                <w:rFonts w:ascii="Calibri" w:hAnsi="Calibri"/>
                <w:b w:val="0"/>
                <w:i w:val="0"/>
                <w:color w:val="222A30"/>
                <w:sz w:val="19"/>
              </w:rPr>
              <w:t>Is the business healthy, governed, and disclosable?</w:t>
            </w:r>
          </w:p>
        </w:tc>
      </w:tr>
      <w:tr>
        <w:tc>
          <w:tcPr>
            <w:tcW w:type="dxa" w:w="1584"/>
            <w:shd w:val="clear" w:color="auto" w:fill="E7EEF3"/>
          </w:tcPr>
          <w:p>
            <w:pPr>
              <w:spacing w:after="40" w:before="40"/>
            </w:pPr>
            <w:r>
              <w:rPr>
                <w:rFonts w:ascii="Calibri" w:hAnsi="Calibri"/>
                <w:b/>
                <w:i w:val="0"/>
                <w:color w:val="08243A"/>
                <w:sz w:val="19"/>
              </w:rPr>
              <w:t>CISO</w:t>
            </w:r>
          </w:p>
        </w:tc>
        <w:tc>
          <w:tcPr>
            <w:tcW w:type="dxa" w:w="2160"/>
            <w:shd w:val="clear" w:color="auto" w:fill="E7EEF3"/>
          </w:tcPr>
          <w:p>
            <w:pPr>
              <w:spacing w:after="40" w:before="40"/>
            </w:pPr>
            <w:r>
              <w:rPr>
                <w:rFonts w:ascii="Calibri" w:hAnsi="Calibri"/>
                <w:b w:val="0"/>
                <w:i w:val="0"/>
                <w:color w:val="222A30"/>
                <w:sz w:val="19"/>
              </w:rPr>
              <w:t>Security</w:t>
            </w:r>
          </w:p>
        </w:tc>
        <w:tc>
          <w:tcPr>
            <w:tcW w:type="dxa" w:w="5616"/>
            <w:shd w:val="clear" w:color="auto" w:fill="E7EEF3"/>
          </w:tcPr>
          <w:p>
            <w:pPr>
              <w:spacing w:after="40" w:before="40"/>
            </w:pPr>
            <w:r>
              <w:rPr>
                <w:rFonts w:ascii="Calibri" w:hAnsi="Calibri"/>
                <w:b w:val="0"/>
                <w:i w:val="0"/>
                <w:color w:val="222A30"/>
                <w:sz w:val="19"/>
              </w:rPr>
              <w:t>Where is exposure, and are controls actually working?</w:t>
            </w:r>
          </w:p>
        </w:tc>
      </w:tr>
      <w:tr>
        <w:tc>
          <w:tcPr>
            <w:tcW w:type="dxa" w:w="1584"/>
          </w:tcPr>
          <w:p>
            <w:pPr>
              <w:spacing w:after="40" w:before="40"/>
            </w:pPr>
            <w:r>
              <w:rPr>
                <w:rFonts w:ascii="Calibri" w:hAnsi="Calibri"/>
                <w:b/>
                <w:i w:val="0"/>
                <w:color w:val="08243A"/>
                <w:sz w:val="19"/>
              </w:rPr>
              <w:t>CFO</w:t>
            </w:r>
          </w:p>
        </w:tc>
        <w:tc>
          <w:tcPr>
            <w:tcW w:type="dxa" w:w="2160"/>
          </w:tcPr>
          <w:p>
            <w:pPr>
              <w:spacing w:after="40" w:before="40"/>
            </w:pPr>
            <w:r>
              <w:rPr>
                <w:rFonts w:ascii="Calibri" w:hAnsi="Calibri"/>
                <w:b w:val="0"/>
                <w:i w:val="0"/>
                <w:color w:val="222A30"/>
                <w:sz w:val="19"/>
              </w:rPr>
              <w:t>Finance</w:t>
            </w:r>
          </w:p>
        </w:tc>
        <w:tc>
          <w:tcPr>
            <w:tcW w:type="dxa" w:w="5616"/>
          </w:tcPr>
          <w:p>
            <w:pPr>
              <w:spacing w:after="40" w:before="40"/>
            </w:pPr>
            <w:r>
              <w:rPr>
                <w:rFonts w:ascii="Calibri" w:hAnsi="Calibri"/>
                <w:b w:val="0"/>
                <w:i w:val="0"/>
                <w:color w:val="222A30"/>
                <w:sz w:val="19"/>
              </w:rPr>
              <w:t>What is the dollar exposure, insurance gap, and ROI?</w:t>
            </w:r>
          </w:p>
        </w:tc>
      </w:tr>
      <w:tr>
        <w:tc>
          <w:tcPr>
            <w:tcW w:type="dxa" w:w="1584"/>
            <w:shd w:val="clear" w:color="auto" w:fill="E7EEF3"/>
          </w:tcPr>
          <w:p>
            <w:pPr>
              <w:spacing w:after="40" w:before="40"/>
            </w:pPr>
            <w:r>
              <w:rPr>
                <w:rFonts w:ascii="Calibri" w:hAnsi="Calibri"/>
                <w:b/>
                <w:i w:val="0"/>
                <w:color w:val="08243A"/>
                <w:sz w:val="19"/>
              </w:rPr>
              <w:t>CRO</w:t>
            </w:r>
          </w:p>
        </w:tc>
        <w:tc>
          <w:tcPr>
            <w:tcW w:type="dxa" w:w="2160"/>
            <w:shd w:val="clear" w:color="auto" w:fill="E7EEF3"/>
          </w:tcPr>
          <w:p>
            <w:pPr>
              <w:spacing w:after="40" w:before="40"/>
            </w:pPr>
            <w:r>
              <w:rPr>
                <w:rFonts w:ascii="Calibri" w:hAnsi="Calibri"/>
                <w:b w:val="0"/>
                <w:i w:val="0"/>
                <w:color w:val="222A30"/>
                <w:sz w:val="19"/>
              </w:rPr>
              <w:t>Chief Risk</w:t>
            </w:r>
          </w:p>
        </w:tc>
        <w:tc>
          <w:tcPr>
            <w:tcW w:type="dxa" w:w="5616"/>
            <w:shd w:val="clear" w:color="auto" w:fill="E7EEF3"/>
          </w:tcPr>
          <w:p>
            <w:pPr>
              <w:spacing w:after="40" w:before="40"/>
            </w:pPr>
            <w:r>
              <w:rPr>
                <w:rFonts w:ascii="Calibri" w:hAnsi="Calibri"/>
                <w:b w:val="0"/>
                <w:i w:val="0"/>
                <w:color w:val="222A30"/>
                <w:sz w:val="19"/>
              </w:rPr>
              <w:t>How does cyber sit beside our other principal risks?</w:t>
            </w:r>
          </w:p>
        </w:tc>
      </w:tr>
      <w:tr>
        <w:tc>
          <w:tcPr>
            <w:tcW w:type="dxa" w:w="1584"/>
          </w:tcPr>
          <w:p>
            <w:pPr>
              <w:spacing w:after="40" w:before="40"/>
            </w:pPr>
            <w:r>
              <w:rPr>
                <w:rFonts w:ascii="Calibri" w:hAnsi="Calibri"/>
                <w:b/>
                <w:i w:val="0"/>
                <w:color w:val="08243A"/>
                <w:sz w:val="19"/>
              </w:rPr>
              <w:t>CTO</w:t>
            </w:r>
          </w:p>
        </w:tc>
        <w:tc>
          <w:tcPr>
            <w:tcW w:type="dxa" w:w="2160"/>
          </w:tcPr>
          <w:p>
            <w:pPr>
              <w:spacing w:after="40" w:before="40"/>
            </w:pPr>
            <w:r>
              <w:rPr>
                <w:rFonts w:ascii="Calibri" w:hAnsi="Calibri"/>
                <w:b w:val="0"/>
                <w:i w:val="0"/>
                <w:color w:val="222A30"/>
                <w:sz w:val="19"/>
              </w:rPr>
              <w:t>Technology</w:t>
            </w:r>
          </w:p>
        </w:tc>
        <w:tc>
          <w:tcPr>
            <w:tcW w:type="dxa" w:w="5616"/>
          </w:tcPr>
          <w:p>
            <w:pPr>
              <w:spacing w:after="40" w:before="40"/>
            </w:pPr>
            <w:r>
              <w:rPr>
                <w:rFonts w:ascii="Calibri" w:hAnsi="Calibri"/>
                <w:b w:val="0"/>
                <w:i w:val="0"/>
                <w:color w:val="222A30"/>
                <w:sz w:val="19"/>
              </w:rPr>
              <w:t>Which systems carry the business, and their app-sec health?</w:t>
            </w:r>
          </w:p>
        </w:tc>
      </w:tr>
      <w:tr>
        <w:tc>
          <w:tcPr>
            <w:tcW w:type="dxa" w:w="1584"/>
            <w:shd w:val="clear" w:color="auto" w:fill="E7EEF3"/>
          </w:tcPr>
          <w:p>
            <w:pPr>
              <w:spacing w:after="40" w:before="40"/>
            </w:pPr>
            <w:r>
              <w:rPr>
                <w:rFonts w:ascii="Calibri" w:hAnsi="Calibri"/>
                <w:b/>
                <w:i w:val="0"/>
                <w:color w:val="08243A"/>
                <w:sz w:val="19"/>
              </w:rPr>
              <w:t>CLO</w:t>
            </w:r>
          </w:p>
        </w:tc>
        <w:tc>
          <w:tcPr>
            <w:tcW w:type="dxa" w:w="2160"/>
            <w:shd w:val="clear" w:color="auto" w:fill="E7EEF3"/>
          </w:tcPr>
          <w:p>
            <w:pPr>
              <w:spacing w:after="40" w:before="40"/>
            </w:pPr>
            <w:r>
              <w:rPr>
                <w:rFonts w:ascii="Calibri" w:hAnsi="Calibri"/>
                <w:b w:val="0"/>
                <w:i w:val="0"/>
                <w:color w:val="222A30"/>
                <w:sz w:val="19"/>
              </w:rPr>
              <w:t>General Counsel</w:t>
            </w:r>
          </w:p>
        </w:tc>
        <w:tc>
          <w:tcPr>
            <w:tcW w:type="dxa" w:w="5616"/>
            <w:shd w:val="clear" w:color="auto" w:fill="E7EEF3"/>
          </w:tcPr>
          <w:p>
            <w:pPr>
              <w:spacing w:after="40" w:before="40"/>
            </w:pPr>
            <w:r>
              <w:rPr>
                <w:rFonts w:ascii="Calibri" w:hAnsi="Calibri"/>
                <w:b w:val="0"/>
                <w:i w:val="0"/>
                <w:color w:val="222A30"/>
                <w:sz w:val="19"/>
              </w:rPr>
              <w:t>Materiality, DSARs, litigation holds, obligations.</w:t>
            </w:r>
          </w:p>
        </w:tc>
      </w:tr>
      <w:tr>
        <w:tc>
          <w:tcPr>
            <w:tcW w:type="dxa" w:w="1584"/>
          </w:tcPr>
          <w:p>
            <w:pPr>
              <w:spacing w:after="40" w:before="40"/>
            </w:pPr>
            <w:r>
              <w:rPr>
                <w:rFonts w:ascii="Calibri" w:hAnsi="Calibri"/>
                <w:b/>
                <w:i w:val="0"/>
                <w:color w:val="08243A"/>
                <w:sz w:val="19"/>
              </w:rPr>
              <w:t>COO</w:t>
            </w:r>
          </w:p>
        </w:tc>
        <w:tc>
          <w:tcPr>
            <w:tcW w:type="dxa" w:w="2160"/>
          </w:tcPr>
          <w:p>
            <w:pPr>
              <w:spacing w:after="40" w:before="40"/>
            </w:pPr>
            <w:r>
              <w:rPr>
                <w:rFonts w:ascii="Calibri" w:hAnsi="Calibri"/>
                <w:b w:val="0"/>
                <w:i w:val="0"/>
                <w:color w:val="222A30"/>
                <w:sz w:val="19"/>
              </w:rPr>
              <w:t>Operations</w:t>
            </w:r>
          </w:p>
        </w:tc>
        <w:tc>
          <w:tcPr>
            <w:tcW w:type="dxa" w:w="5616"/>
          </w:tcPr>
          <w:p>
            <w:pPr>
              <w:spacing w:after="40" w:before="40"/>
            </w:pPr>
            <w:r>
              <w:rPr>
                <w:rFonts w:ascii="Calibri" w:hAnsi="Calibri"/>
                <w:b w:val="0"/>
                <w:i w:val="0"/>
                <w:color w:val="222A30"/>
                <w:sz w:val="19"/>
              </w:rPr>
              <w:t>Resilience, recovery times, business continuity.</w:t>
            </w:r>
          </w:p>
        </w:tc>
      </w:tr>
      <w:tr>
        <w:tc>
          <w:tcPr>
            <w:tcW w:type="dxa" w:w="1584"/>
            <w:shd w:val="clear" w:color="auto" w:fill="E7EEF3"/>
          </w:tcPr>
          <w:p>
            <w:pPr>
              <w:spacing w:after="40" w:before="40"/>
            </w:pPr>
            <w:r>
              <w:rPr>
                <w:rFonts w:ascii="Calibri" w:hAnsi="Calibri"/>
                <w:b/>
                <w:i w:val="0"/>
                <w:color w:val="08243A"/>
                <w:sz w:val="19"/>
              </w:rPr>
              <w:t>CPO</w:t>
            </w:r>
          </w:p>
        </w:tc>
        <w:tc>
          <w:tcPr>
            <w:tcW w:type="dxa" w:w="2160"/>
            <w:shd w:val="clear" w:color="auto" w:fill="E7EEF3"/>
          </w:tcPr>
          <w:p>
            <w:pPr>
              <w:spacing w:after="40" w:before="40"/>
            </w:pPr>
            <w:r>
              <w:rPr>
                <w:rFonts w:ascii="Calibri" w:hAnsi="Calibri"/>
                <w:b w:val="0"/>
                <w:i w:val="0"/>
                <w:color w:val="222A30"/>
                <w:sz w:val="19"/>
              </w:rPr>
              <w:t>Product</w:t>
            </w:r>
          </w:p>
        </w:tc>
        <w:tc>
          <w:tcPr>
            <w:tcW w:type="dxa" w:w="5616"/>
            <w:shd w:val="clear" w:color="auto" w:fill="E7EEF3"/>
          </w:tcPr>
          <w:p>
            <w:pPr>
              <w:spacing w:after="40" w:before="40"/>
            </w:pPr>
            <w:r>
              <w:rPr>
                <w:rFonts w:ascii="Calibri" w:hAnsi="Calibri"/>
                <w:b w:val="0"/>
                <w:i w:val="0"/>
                <w:color w:val="222A30"/>
                <w:sz w:val="19"/>
              </w:rPr>
              <w:t>Secure-by-design coverage and product data risk.</w:t>
            </w:r>
          </w:p>
        </w:tc>
      </w:tr>
      <w:tr>
        <w:tc>
          <w:tcPr>
            <w:tcW w:type="dxa" w:w="1584"/>
          </w:tcPr>
          <w:p>
            <w:pPr>
              <w:spacing w:after="40" w:before="40"/>
            </w:pPr>
            <w:r>
              <w:rPr>
                <w:rFonts w:ascii="Calibri" w:hAnsi="Calibri"/>
                <w:b/>
                <w:i w:val="0"/>
                <w:color w:val="08243A"/>
                <w:sz w:val="19"/>
              </w:rPr>
              <w:t>Internal Audit</w:t>
            </w:r>
          </w:p>
        </w:tc>
        <w:tc>
          <w:tcPr>
            <w:tcW w:type="dxa" w:w="2160"/>
          </w:tcPr>
          <w:p>
            <w:pPr>
              <w:spacing w:after="40" w:before="40"/>
            </w:pPr>
            <w:r>
              <w:rPr>
                <w:rFonts w:ascii="Calibri" w:hAnsi="Calibri"/>
                <w:b w:val="0"/>
                <w:i w:val="0"/>
                <w:color w:val="222A30"/>
                <w:sz w:val="19"/>
              </w:rPr>
              <w:t>Chief Audit Exec</w:t>
            </w:r>
          </w:p>
        </w:tc>
        <w:tc>
          <w:tcPr>
            <w:tcW w:type="dxa" w:w="5616"/>
          </w:tcPr>
          <w:p>
            <w:pPr>
              <w:spacing w:after="40" w:before="40"/>
            </w:pPr>
            <w:r>
              <w:rPr>
                <w:rFonts w:ascii="Calibri" w:hAnsi="Calibri"/>
                <w:b w:val="0"/>
                <w:i w:val="0"/>
                <w:color w:val="222A30"/>
                <w:sz w:val="19"/>
              </w:rPr>
              <w:t>Audit plan, workpapers, control assurance.</w:t>
            </w:r>
          </w:p>
        </w:tc>
      </w:tr>
      <w:tr>
        <w:tc>
          <w:tcPr>
            <w:tcW w:type="dxa" w:w="1584"/>
            <w:shd w:val="clear" w:color="auto" w:fill="E7EEF3"/>
          </w:tcPr>
          <w:p>
            <w:pPr>
              <w:spacing w:after="40" w:before="40"/>
            </w:pPr>
            <w:r>
              <w:rPr>
                <w:rFonts w:ascii="Calibri" w:hAnsi="Calibri"/>
                <w:b/>
                <w:i w:val="0"/>
                <w:color w:val="08243A"/>
                <w:sz w:val="19"/>
              </w:rPr>
              <w:t>Board</w:t>
            </w:r>
          </w:p>
        </w:tc>
        <w:tc>
          <w:tcPr>
            <w:tcW w:type="dxa" w:w="2160"/>
            <w:shd w:val="clear" w:color="auto" w:fill="E7EEF3"/>
          </w:tcPr>
          <w:p>
            <w:pPr>
              <w:spacing w:after="40" w:before="40"/>
            </w:pPr>
            <w:r>
              <w:rPr>
                <w:rFonts w:ascii="Calibri" w:hAnsi="Calibri"/>
                <w:b w:val="0"/>
                <w:i w:val="0"/>
                <w:color w:val="222A30"/>
                <w:sz w:val="19"/>
              </w:rPr>
              <w:t>Directors</w:t>
            </w:r>
          </w:p>
        </w:tc>
        <w:tc>
          <w:tcPr>
            <w:tcW w:type="dxa" w:w="5616"/>
            <w:shd w:val="clear" w:color="auto" w:fill="E7EEF3"/>
          </w:tcPr>
          <w:p>
            <w:pPr>
              <w:spacing w:after="40" w:before="40"/>
            </w:pPr>
            <w:r>
              <w:rPr>
                <w:rFonts w:ascii="Calibri" w:hAnsi="Calibri"/>
                <w:b w:val="0"/>
                <w:i w:val="0"/>
                <w:color w:val="222A30"/>
                <w:sz w:val="19"/>
              </w:rPr>
              <w:t>Oversight, disclosure readiness, peer posture.</w:t>
            </w:r>
          </w:p>
        </w:tc>
      </w:tr>
    </w:tbl>
    <w:p>
      <w:pPr>
        <w:spacing w:after="40"/>
      </w:pPr>
    </w:p>
    <w:p>
      <w:pPr>
        <w:spacing w:before="160" w:after="160"/>
        <w:ind w:left="115"/>
        <w:shd w:val="clear" w:color="auto" w:fill="EEF2F5"/>
        <w:pBdr>
          <w:left w:val="single" w:sz="24" w:space="6" w:color="1A5FA0"/>
        </w:pBdr>
      </w:pPr>
      <w:r>
        <w:rPr>
          <w:rFonts w:ascii="Calibri" w:hAnsi="Calibri"/>
          <w:b/>
          <w:i w:val="0"/>
          <w:caps/>
          <w:color w:val="1A5FA0"/>
          <w:sz w:val="17"/>
          <w:spacing w:val="30"/>
        </w:rPr>
        <w:t xml:space="preserve">THE CORE IDEA   </w:t>
      </w:r>
      <w:r>
        <w:rPr>
          <w:rFonts w:ascii="Calibri" w:hAnsi="Calibri"/>
          <w:b w:val="0"/>
          <w:i w:val="0"/>
          <w:color w:val="222A30"/>
          <w:sz w:val="20"/>
        </w:rPr>
        <w:t>You describe the business once during onboarding. Nerion maps process → system → crown jewel → risk → control, prices the exposure, and lights up all ten seats from that single description. The more you provide, the more of the cockpit is live rather than illustrative.</w:t>
      </w:r>
    </w:p>
    <w:p>
      <w:pPr>
        <w:spacing w:before="240" w:after="80"/>
        <w:outlineLvl w:val="1"/>
      </w:pPr>
      <w:r>
        <w:rPr>
          <w:rFonts w:ascii="Georgia" w:hAnsi="Georgia"/>
          <w:b/>
          <w:i w:val="0"/>
          <w:color w:val="1A5FA0"/>
          <w:sz w:val="28"/>
        </w:rPr>
        <w:t>How to use this guide</w:t>
      </w:r>
    </w:p>
    <w:p>
      <w:pPr>
        <w:spacing w:before="0" w:after="120"/>
      </w:pPr>
      <w:r>
        <w:rPr>
          <w:rFonts w:ascii="Calibri" w:hAnsi="Calibri"/>
          <w:b w:val="0"/>
          <w:i w:val="0"/>
          <w:color w:val="222A30"/>
          <w:sz w:val="21"/>
        </w:rPr>
        <w:t>Sections 2–3 take a new customer from first login through onboarding. Section 4 orients you in the cockpit. Section 5 is a reference for each seat. Section 6 covers the day-to-day workflows every user performs. Sections 7–8 cover administration, licensing, and support.</w:t>
      </w:r>
    </w:p>
    <w:p>
      <w:r>
        <w:br w:type="page"/>
      </w:r>
    </w:p>
    <w:p>
      <w:pPr>
        <w:spacing w:before="40" w:after="40"/>
      </w:pPr>
      <w:r>
        <w:rPr>
          <w:rFonts w:ascii="Georgia" w:hAnsi="Georgia"/>
          <w:b/>
          <w:i w:val="0"/>
          <w:color w:val="2FA3D6"/>
          <w:sz w:val="60"/>
        </w:rPr>
        <w:t>02</w:t>
      </w:r>
    </w:p>
    <w:p>
      <w:pPr>
        <w:spacing w:after="200"/>
        <w:pBdr>
          <w:bottom w:val="single" w:sz="10" w:space="6" w:color="08243A"/>
        </w:pBdr>
        <w:outlineLvl w:val="0"/>
      </w:pPr>
      <w:r>
        <w:rPr>
          <w:rFonts w:ascii="Georgia" w:hAnsi="Georgia"/>
          <w:b/>
          <w:i w:val="0"/>
          <w:color w:val="08243A"/>
          <w:sz w:val="42"/>
        </w:rPr>
        <w:t>Getting Started</w:t>
      </w:r>
    </w:p>
    <w:p>
      <w:pPr>
        <w:spacing w:before="240" w:after="80"/>
        <w:outlineLvl w:val="1"/>
      </w:pPr>
      <w:r>
        <w:rPr>
          <w:rFonts w:ascii="Georgia" w:hAnsi="Georgia"/>
          <w:b/>
          <w:i w:val="0"/>
          <w:color w:val="1A5FA0"/>
          <w:sz w:val="28"/>
        </w:rPr>
        <w:t>How Nerion is delivered</w:t>
      </w:r>
    </w:p>
    <w:p>
      <w:pPr>
        <w:spacing w:before="0" w:after="120"/>
      </w:pPr>
      <w:r>
        <w:rPr>
          <w:rFonts w:ascii="Calibri" w:hAnsi="Calibri"/>
          <w:b w:val="0"/>
          <w:i w:val="0"/>
          <w:color w:val="222A30"/>
          <w:sz w:val="21"/>
        </w:rPr>
        <w:t>Nerion is delivered as a self-contained virtual appliance that runs inside your own environment. Your data never leaves your network — there is no phone-home and no external dependency for the platform to operate. Your administrator receives the appliance image and a license file; once the appliance is running, users reach Nerion through a browser.</w:t>
      </w:r>
    </w:p>
    <w:p>
      <w:pPr>
        <w:spacing w:before="200" w:after="60"/>
      </w:pPr>
      <w:r>
        <w:rPr>
          <w:rFonts w:ascii="Calibri" w:hAnsi="Calibri"/>
          <w:b/>
          <w:i w:val="0"/>
          <w:caps/>
          <w:color w:val="2FA3D6"/>
          <w:sz w:val="17"/>
          <w:spacing w:val="20"/>
        </w:rPr>
        <w:t xml:space="preserve">EXHIBIT — </w:t>
      </w:r>
      <w:r>
        <w:rPr>
          <w:rFonts w:ascii="Calibri" w:hAnsi="Calibri"/>
          <w:b/>
          <w:i w:val="0"/>
          <w:caps/>
          <w:color w:val="5B6B76"/>
          <w:sz w:val="17"/>
          <w:spacing w:val="20"/>
        </w:rPr>
        <w:t>License types</w:t>
      </w:r>
    </w:p>
    <w:tbl>
      <w:tblPr>
        <w:tblW w:type="auto" w:w="0"/>
        <w:jc w:val="center"/>
        <w:tblLayout w:type="autofit"/>
        <w:tblLook w:firstColumn="1" w:firstRow="1" w:lastColumn="0" w:lastRow="0" w:noHBand="0" w:noVBand="1" w:val="04A0"/>
      </w:tblPr>
      <w:tblGrid>
        <w:gridCol w:w="3120"/>
        <w:gridCol w:w="3120"/>
        <w:gridCol w:w="3120"/>
      </w:tblGrid>
      <w:tr>
        <w:tc>
          <w:tcPr>
            <w:tcW w:type="dxa" w:w="2304"/>
            <w:shd w:val="clear" w:color="auto" w:fill="08243A"/>
          </w:tcPr>
          <w:p>
            <w:pPr>
              <w:spacing w:after="40" w:before="40"/>
            </w:pPr>
            <w:r>
              <w:rPr>
                <w:rFonts w:ascii="Calibri" w:hAnsi="Calibri"/>
                <w:b/>
                <w:i w:val="0"/>
                <w:color w:val="FFFFFF"/>
                <w:sz w:val="19"/>
              </w:rPr>
              <w:t>Plan</w:t>
            </w:r>
          </w:p>
        </w:tc>
        <w:tc>
          <w:tcPr>
            <w:tcW w:type="dxa" w:w="2016"/>
            <w:shd w:val="clear" w:color="auto" w:fill="08243A"/>
          </w:tcPr>
          <w:p>
            <w:pPr>
              <w:spacing w:after="40" w:before="40"/>
            </w:pPr>
            <w:r>
              <w:rPr>
                <w:rFonts w:ascii="Calibri" w:hAnsi="Calibri"/>
                <w:b/>
                <w:i w:val="0"/>
                <w:color w:val="FFFFFF"/>
                <w:sz w:val="19"/>
              </w:rPr>
              <w:t>Term</w:t>
            </w:r>
          </w:p>
        </w:tc>
        <w:tc>
          <w:tcPr>
            <w:tcW w:type="dxa" w:w="5040"/>
            <w:shd w:val="clear" w:color="auto" w:fill="08243A"/>
          </w:tcPr>
          <w:p>
            <w:pPr>
              <w:spacing w:after="40" w:before="40"/>
            </w:pPr>
            <w:r>
              <w:rPr>
                <w:rFonts w:ascii="Calibri" w:hAnsi="Calibri"/>
                <w:b/>
                <w:i w:val="0"/>
                <w:color w:val="FFFFFF"/>
                <w:sz w:val="19"/>
              </w:rPr>
              <w:t>Intended use</w:t>
            </w:r>
          </w:p>
        </w:tc>
      </w:tr>
      <w:tr>
        <w:tc>
          <w:tcPr>
            <w:tcW w:type="dxa" w:w="2304"/>
          </w:tcPr>
          <w:p>
            <w:pPr>
              <w:spacing w:after="40" w:before="40"/>
            </w:pPr>
            <w:r>
              <w:rPr>
                <w:rFonts w:ascii="Calibri" w:hAnsi="Calibri"/>
                <w:b/>
                <w:i w:val="0"/>
                <w:color w:val="08243A"/>
                <w:sz w:val="19"/>
              </w:rPr>
              <w:t>Trial</w:t>
            </w:r>
          </w:p>
        </w:tc>
        <w:tc>
          <w:tcPr>
            <w:tcW w:type="dxa" w:w="2016"/>
          </w:tcPr>
          <w:p>
            <w:pPr>
              <w:spacing w:after="40" w:before="40"/>
            </w:pPr>
            <w:r>
              <w:rPr>
                <w:rFonts w:ascii="Calibri" w:hAnsi="Calibri"/>
                <w:b w:val="0"/>
                <w:i w:val="0"/>
                <w:color w:val="222A30"/>
                <w:sz w:val="19"/>
              </w:rPr>
              <w:t>14 days</w:t>
            </w:r>
          </w:p>
        </w:tc>
        <w:tc>
          <w:tcPr>
            <w:tcW w:type="dxa" w:w="5040"/>
          </w:tcPr>
          <w:p>
            <w:pPr>
              <w:spacing w:after="40" w:before="40"/>
            </w:pPr>
            <w:r>
              <w:rPr>
                <w:rFonts w:ascii="Calibri" w:hAnsi="Calibri"/>
                <w:b w:val="0"/>
                <w:i w:val="0"/>
                <w:color w:val="222A30"/>
                <w:sz w:val="19"/>
              </w:rPr>
              <w:t>Evaluation with your own data, full functionality.</w:t>
            </w:r>
          </w:p>
        </w:tc>
      </w:tr>
      <w:tr>
        <w:tc>
          <w:tcPr>
            <w:tcW w:type="dxa" w:w="2304"/>
            <w:shd w:val="clear" w:color="auto" w:fill="E7EEF3"/>
          </w:tcPr>
          <w:p>
            <w:pPr>
              <w:spacing w:after="40" w:before="40"/>
            </w:pPr>
            <w:r>
              <w:rPr>
                <w:rFonts w:ascii="Calibri" w:hAnsi="Calibri"/>
                <w:b/>
                <w:i w:val="0"/>
                <w:color w:val="08243A"/>
                <w:sz w:val="19"/>
              </w:rPr>
              <w:t>Paid subscription</w:t>
            </w:r>
          </w:p>
        </w:tc>
        <w:tc>
          <w:tcPr>
            <w:tcW w:type="dxa" w:w="2016"/>
            <w:shd w:val="clear" w:color="auto" w:fill="E7EEF3"/>
          </w:tcPr>
          <w:p>
            <w:pPr>
              <w:spacing w:after="40" w:before="40"/>
            </w:pPr>
            <w:r>
              <w:rPr>
                <w:rFonts w:ascii="Calibri" w:hAnsi="Calibri"/>
                <w:b w:val="0"/>
                <w:i w:val="0"/>
                <w:color w:val="222A30"/>
                <w:sz w:val="19"/>
              </w:rPr>
              <w:t>365 days</w:t>
            </w:r>
          </w:p>
        </w:tc>
        <w:tc>
          <w:tcPr>
            <w:tcW w:type="dxa" w:w="5040"/>
            <w:shd w:val="clear" w:color="auto" w:fill="E7EEF3"/>
          </w:tcPr>
          <w:p>
            <w:pPr>
              <w:spacing w:after="40" w:before="40"/>
            </w:pPr>
            <w:r>
              <w:rPr>
                <w:rFonts w:ascii="Calibri" w:hAnsi="Calibri"/>
                <w:b w:val="0"/>
                <w:i w:val="0"/>
                <w:color w:val="222A30"/>
                <w:sz w:val="19"/>
              </w:rPr>
              <w:t>Production use; renews annually.</w:t>
            </w:r>
          </w:p>
        </w:tc>
      </w:tr>
    </w:tbl>
    <w:p>
      <w:pPr>
        <w:spacing w:after="40"/>
      </w:pPr>
    </w:p>
    <w:p>
      <w:pPr>
        <w:spacing w:before="0" w:after="120"/>
      </w:pPr>
      <w:r>
        <w:rPr>
          <w:rFonts w:ascii="Calibri" w:hAnsi="Calibri"/>
          <w:b w:val="0"/>
          <w:i w:val="0"/>
          <w:color w:val="222A30"/>
          <w:sz w:val="21"/>
        </w:rPr>
        <w:t>The platform shows the remaining term in-app. As the expiry approaches, a banner prompts renewal; a short grace period after expiry keeps the platform readable while your renewal is processed. Administration of the license is covered in Section 7.</w:t>
      </w:r>
    </w:p>
    <w:p>
      <w:pPr>
        <w:spacing w:before="240" w:after="80"/>
        <w:outlineLvl w:val="1"/>
      </w:pPr>
      <w:r>
        <w:rPr>
          <w:rFonts w:ascii="Georgia" w:hAnsi="Georgia"/>
          <w:b/>
          <w:i w:val="0"/>
          <w:color w:val="1A5FA0"/>
          <w:sz w:val="28"/>
        </w:rPr>
        <w:t>First login</w:t>
      </w:r>
    </w:p>
    <w:p>
      <w:pPr>
        <w:spacing w:before="120" w:after="40"/>
      </w:pPr>
      <w:r>
        <w:rPr>
          <w:rFonts w:ascii="Georgia" w:hAnsi="Georgia"/>
          <w:b/>
          <w:i w:val="0"/>
          <w:color w:val="2FA3D6"/>
          <w:sz w:val="24"/>
        </w:rPr>
        <w:t xml:space="preserve">1  </w:t>
      </w:r>
      <w:r>
        <w:rPr>
          <w:rFonts w:ascii="Calibri" w:hAnsi="Calibri"/>
          <w:b/>
          <w:i w:val="0"/>
          <w:color w:val="08243A"/>
          <w:sz w:val="24"/>
        </w:rPr>
        <w:t>Open the platform</w:t>
      </w:r>
    </w:p>
    <w:p>
      <w:pPr>
        <w:spacing w:after="120"/>
        <w:ind w:left="461"/>
      </w:pPr>
      <w:r>
        <w:rPr>
          <w:rFonts w:ascii="Calibri" w:hAnsi="Calibri"/>
          <w:b w:val="0"/>
          <w:i w:val="0"/>
          <w:color w:val="222A30"/>
          <w:sz w:val="21"/>
        </w:rPr>
        <w:t>Navigate to the address your administrator provides. Nerion runs in any modern browser; no plug-in is required.</w:t>
      </w:r>
    </w:p>
    <w:p>
      <w:pPr>
        <w:spacing w:before="120" w:after="40"/>
      </w:pPr>
      <w:r>
        <w:rPr>
          <w:rFonts w:ascii="Georgia" w:hAnsi="Georgia"/>
          <w:b/>
          <w:i w:val="0"/>
          <w:color w:val="2FA3D6"/>
          <w:sz w:val="24"/>
        </w:rPr>
        <w:t xml:space="preserve">2  </w:t>
      </w:r>
      <w:r>
        <w:rPr>
          <w:rFonts w:ascii="Calibri" w:hAnsi="Calibri"/>
          <w:b/>
          <w:i w:val="0"/>
          <w:color w:val="08243A"/>
          <w:sz w:val="24"/>
        </w:rPr>
        <w:t>Choose your seat</w:t>
      </w:r>
    </w:p>
    <w:p>
      <w:pPr>
        <w:spacing w:after="120"/>
        <w:ind w:left="461"/>
      </w:pPr>
      <w:r>
        <w:rPr>
          <w:rFonts w:ascii="Calibri" w:hAnsi="Calibri"/>
          <w:b w:val="0"/>
          <w:i w:val="0"/>
          <w:color w:val="222A30"/>
          <w:sz w:val="21"/>
        </w:rPr>
        <w:t>Select the executive lens you own — for example CISO or CFO. You can switch seats at any time from the sidebar; the platform is one system viewed ten ways.</w:t>
      </w:r>
    </w:p>
    <w:p>
      <w:pPr>
        <w:spacing w:before="120" w:after="40"/>
      </w:pPr>
      <w:r>
        <w:rPr>
          <w:rFonts w:ascii="Georgia" w:hAnsi="Georgia"/>
          <w:b/>
          <w:i w:val="0"/>
          <w:color w:val="2FA3D6"/>
          <w:sz w:val="24"/>
        </w:rPr>
        <w:t xml:space="preserve">3  </w:t>
      </w:r>
      <w:r>
        <w:rPr>
          <w:rFonts w:ascii="Calibri" w:hAnsi="Calibri"/>
          <w:b/>
          <w:i w:val="0"/>
          <w:color w:val="08243A"/>
          <w:sz w:val="24"/>
        </w:rPr>
        <w:t>Start onboarding</w:t>
      </w:r>
    </w:p>
    <w:p>
      <w:pPr>
        <w:spacing w:after="120"/>
        <w:ind w:left="461"/>
      </w:pPr>
      <w:r>
        <w:rPr>
          <w:rFonts w:ascii="Calibri" w:hAnsi="Calibri"/>
          <w:b w:val="0"/>
          <w:i w:val="0"/>
          <w:color w:val="222A30"/>
          <w:sz w:val="21"/>
        </w:rPr>
        <w:t>If your organization has not yet been described, you will be taken into the onboarding wizard (Section 3). If setup is complete, you land directly in the cockpit.</w:t>
      </w:r>
    </w:p>
    <w:p>
      <w:pPr>
        <w:spacing w:before="160" w:after="160"/>
        <w:ind w:left="115"/>
        <w:shd w:val="clear" w:color="auto" w:fill="EEF2F5"/>
        <w:pBdr>
          <w:left w:val="single" w:sz="24" w:space="6" w:color="1A5FA0"/>
        </w:pBdr>
      </w:pPr>
      <w:r>
        <w:rPr>
          <w:rFonts w:ascii="Calibri" w:hAnsi="Calibri"/>
          <w:b/>
          <w:i w:val="0"/>
          <w:caps/>
          <w:color w:val="1A5FA0"/>
          <w:sz w:val="17"/>
          <w:spacing w:val="30"/>
        </w:rPr>
        <w:t xml:space="preserve">EVERYTHING CAN BE EDITED LATER   </w:t>
      </w:r>
      <w:r>
        <w:rPr>
          <w:rFonts w:ascii="Calibri" w:hAnsi="Calibri"/>
          <w:b w:val="0"/>
          <w:i w:val="0"/>
          <w:color w:val="222A30"/>
          <w:sz w:val="20"/>
        </w:rPr>
        <w:t>Onboarding fields are optional and reversible. Provide what you know now; you can refine every input afterward and the cockpit will recompute. Nothing you enter is locked.</w:t>
      </w:r>
    </w:p>
    <w:p>
      <w:r>
        <w:br w:type="page"/>
      </w:r>
    </w:p>
    <w:p>
      <w:pPr>
        <w:spacing w:before="40" w:after="40"/>
      </w:pPr>
      <w:r>
        <w:rPr>
          <w:rFonts w:ascii="Georgia" w:hAnsi="Georgia"/>
          <w:b/>
          <w:i w:val="0"/>
          <w:color w:val="2FA3D6"/>
          <w:sz w:val="60"/>
        </w:rPr>
        <w:t>03</w:t>
      </w:r>
    </w:p>
    <w:p>
      <w:pPr>
        <w:spacing w:after="200"/>
        <w:pBdr>
          <w:bottom w:val="single" w:sz="10" w:space="6" w:color="08243A"/>
        </w:pBdr>
        <w:outlineLvl w:val="0"/>
      </w:pPr>
      <w:r>
        <w:rPr>
          <w:rFonts w:ascii="Georgia" w:hAnsi="Georgia"/>
          <w:b/>
          <w:i w:val="0"/>
          <w:color w:val="08243A"/>
          <w:sz w:val="42"/>
        </w:rPr>
        <w:t>Onboarding: Describing Your Business</w:t>
      </w:r>
    </w:p>
    <w:p>
      <w:pPr>
        <w:spacing w:before="0" w:after="120"/>
      </w:pPr>
      <w:r>
        <w:rPr>
          <w:rFonts w:ascii="Calibri" w:hAnsi="Calibri"/>
          <w:b w:val="0"/>
          <w:i w:val="0"/>
          <w:color w:val="222A30"/>
          <w:sz w:val="21"/>
        </w:rPr>
        <w:t>Onboarding is a guided, single-page wizard. Its purpose is one sentence: give Nerion your business so it can return your cyber position in dollars. You move through the sections in Exhibit 2; each feeds specific parts of the cockpit. None is mandatory, but each one you complete converts more of the cockpit from illustrative to live.</w:t>
      </w:r>
    </w:p>
    <w:p>
      <w:pPr>
        <w:spacing w:before="200" w:after="60"/>
      </w:pPr>
      <w:r>
        <w:rPr>
          <w:rFonts w:ascii="Calibri" w:hAnsi="Calibri"/>
          <w:b/>
          <w:i w:val="0"/>
          <w:caps/>
          <w:color w:val="2FA3D6"/>
          <w:sz w:val="17"/>
          <w:spacing w:val="20"/>
        </w:rPr>
        <w:t xml:space="preserve">EXHIBIT — </w:t>
      </w:r>
      <w:r>
        <w:rPr>
          <w:rFonts w:ascii="Calibri" w:hAnsi="Calibri"/>
          <w:b/>
          <w:i w:val="0"/>
          <w:caps/>
          <w:color w:val="5B6B76"/>
          <w:sz w:val="17"/>
          <w:spacing w:val="20"/>
        </w:rPr>
        <w:t>The onboarding sections, in order</w:t>
      </w:r>
    </w:p>
    <w:tbl>
      <w:tblPr>
        <w:tblW w:type="auto" w:w="0"/>
        <w:jc w:val="center"/>
        <w:tblLayout w:type="autofit"/>
        <w:tblLook w:firstColumn="1" w:firstRow="1" w:lastColumn="0" w:lastRow="0" w:noHBand="0" w:noVBand="1" w:val="04A0"/>
      </w:tblPr>
      <w:tblGrid>
        <w:gridCol w:w="3120"/>
        <w:gridCol w:w="3120"/>
        <w:gridCol w:w="3120"/>
      </w:tblGrid>
      <w:tr>
        <w:tc>
          <w:tcPr>
            <w:tcW w:type="dxa" w:w="576"/>
            <w:shd w:val="clear" w:color="auto" w:fill="08243A"/>
          </w:tcPr>
          <w:p>
            <w:pPr>
              <w:spacing w:after="40" w:before="40"/>
            </w:pPr>
            <w:r>
              <w:rPr>
                <w:rFonts w:ascii="Calibri" w:hAnsi="Calibri"/>
                <w:b/>
                <w:i w:val="0"/>
                <w:color w:val="FFFFFF"/>
                <w:sz w:val="19"/>
              </w:rPr>
              <w:t>#</w:t>
            </w:r>
          </w:p>
        </w:tc>
        <w:tc>
          <w:tcPr>
            <w:tcW w:type="dxa" w:w="2736"/>
            <w:shd w:val="clear" w:color="auto" w:fill="08243A"/>
          </w:tcPr>
          <w:p>
            <w:pPr>
              <w:spacing w:after="40" w:before="40"/>
            </w:pPr>
            <w:r>
              <w:rPr>
                <w:rFonts w:ascii="Calibri" w:hAnsi="Calibri"/>
                <w:b/>
                <w:i w:val="0"/>
                <w:color w:val="FFFFFF"/>
                <w:sz w:val="19"/>
              </w:rPr>
              <w:t>Section</w:t>
            </w:r>
          </w:p>
        </w:tc>
        <w:tc>
          <w:tcPr>
            <w:tcW w:type="dxa" w:w="6048"/>
            <w:shd w:val="clear" w:color="auto" w:fill="08243A"/>
          </w:tcPr>
          <w:p>
            <w:pPr>
              <w:spacing w:after="40" w:before="40"/>
            </w:pPr>
            <w:r>
              <w:rPr>
                <w:rFonts w:ascii="Calibri" w:hAnsi="Calibri"/>
                <w:b/>
                <w:i w:val="0"/>
                <w:color w:val="FFFFFF"/>
                <w:sz w:val="19"/>
              </w:rPr>
              <w:t>What it establishes</w:t>
            </w:r>
          </w:p>
        </w:tc>
      </w:tr>
      <w:tr>
        <w:tc>
          <w:tcPr>
            <w:tcW w:type="dxa" w:w="576"/>
          </w:tcPr>
          <w:p>
            <w:pPr>
              <w:spacing w:after="40" w:before="40"/>
            </w:pPr>
            <w:r>
              <w:rPr>
                <w:rFonts w:ascii="Calibri" w:hAnsi="Calibri"/>
                <w:b/>
                <w:i w:val="0"/>
                <w:color w:val="08243A"/>
                <w:sz w:val="19"/>
              </w:rPr>
              <w:t>1</w:t>
            </w:r>
          </w:p>
        </w:tc>
        <w:tc>
          <w:tcPr>
            <w:tcW w:type="dxa" w:w="2736"/>
          </w:tcPr>
          <w:p>
            <w:pPr>
              <w:spacing w:after="40" w:before="40"/>
            </w:pPr>
            <w:r>
              <w:rPr>
                <w:rFonts w:ascii="Calibri" w:hAnsi="Calibri"/>
                <w:b w:val="0"/>
                <w:i w:val="0"/>
                <w:color w:val="222A30"/>
                <w:sz w:val="19"/>
              </w:rPr>
              <w:t>Organization</w:t>
            </w:r>
          </w:p>
        </w:tc>
        <w:tc>
          <w:tcPr>
            <w:tcW w:type="dxa" w:w="6048"/>
          </w:tcPr>
          <w:p>
            <w:pPr>
              <w:spacing w:after="40" w:before="40"/>
            </w:pPr>
            <w:r>
              <w:rPr>
                <w:rFonts w:ascii="Calibri" w:hAnsi="Calibri"/>
                <w:b w:val="0"/>
                <w:i w:val="0"/>
                <w:color w:val="222A30"/>
                <w:sz w:val="19"/>
              </w:rPr>
              <w:t>Industry lens, currency, regulators and jurisdictions.</w:t>
            </w:r>
          </w:p>
        </w:tc>
      </w:tr>
      <w:tr>
        <w:tc>
          <w:tcPr>
            <w:tcW w:type="dxa" w:w="576"/>
            <w:shd w:val="clear" w:color="auto" w:fill="E7EEF3"/>
          </w:tcPr>
          <w:p>
            <w:pPr>
              <w:spacing w:after="40" w:before="40"/>
            </w:pPr>
            <w:r>
              <w:rPr>
                <w:rFonts w:ascii="Calibri" w:hAnsi="Calibri"/>
                <w:b/>
                <w:i w:val="0"/>
                <w:color w:val="08243A"/>
                <w:sz w:val="19"/>
              </w:rPr>
              <w:t>2</w:t>
            </w:r>
          </w:p>
        </w:tc>
        <w:tc>
          <w:tcPr>
            <w:tcW w:type="dxa" w:w="2736"/>
            <w:shd w:val="clear" w:color="auto" w:fill="E7EEF3"/>
          </w:tcPr>
          <w:p>
            <w:pPr>
              <w:spacing w:after="40" w:before="40"/>
            </w:pPr>
            <w:r>
              <w:rPr>
                <w:rFonts w:ascii="Calibri" w:hAnsi="Calibri"/>
                <w:b w:val="0"/>
                <w:i w:val="0"/>
                <w:color w:val="222A30"/>
                <w:sz w:val="19"/>
              </w:rPr>
              <w:t>Leadership</w:t>
            </w:r>
          </w:p>
        </w:tc>
        <w:tc>
          <w:tcPr>
            <w:tcW w:type="dxa" w:w="6048"/>
            <w:shd w:val="clear" w:color="auto" w:fill="E7EEF3"/>
          </w:tcPr>
          <w:p>
            <w:pPr>
              <w:spacing w:after="40" w:before="40"/>
            </w:pPr>
            <w:r>
              <w:rPr>
                <w:rFonts w:ascii="Calibri" w:hAnsi="Calibri"/>
                <w:b w:val="0"/>
                <w:i w:val="0"/>
                <w:color w:val="222A30"/>
                <w:sz w:val="19"/>
              </w:rPr>
              <w:t>The named owner of each seat and each decision.</w:t>
            </w:r>
          </w:p>
        </w:tc>
      </w:tr>
      <w:tr>
        <w:tc>
          <w:tcPr>
            <w:tcW w:type="dxa" w:w="576"/>
          </w:tcPr>
          <w:p>
            <w:pPr>
              <w:spacing w:after="40" w:before="40"/>
            </w:pPr>
            <w:r>
              <w:rPr>
                <w:rFonts w:ascii="Calibri" w:hAnsi="Calibri"/>
                <w:b/>
                <w:i w:val="0"/>
                <w:color w:val="08243A"/>
                <w:sz w:val="19"/>
              </w:rPr>
              <w:t>3</w:t>
            </w:r>
          </w:p>
        </w:tc>
        <w:tc>
          <w:tcPr>
            <w:tcW w:type="dxa" w:w="2736"/>
          </w:tcPr>
          <w:p>
            <w:pPr>
              <w:spacing w:after="40" w:before="40"/>
            </w:pPr>
            <w:r>
              <w:rPr>
                <w:rFonts w:ascii="Calibri" w:hAnsi="Calibri"/>
                <w:b w:val="0"/>
                <w:i w:val="0"/>
                <w:color w:val="222A30"/>
                <w:sz w:val="19"/>
              </w:rPr>
              <w:t>Business processes</w:t>
            </w:r>
          </w:p>
        </w:tc>
        <w:tc>
          <w:tcPr>
            <w:tcW w:type="dxa" w:w="6048"/>
          </w:tcPr>
          <w:p>
            <w:pPr>
              <w:spacing w:after="40" w:before="40"/>
            </w:pPr>
            <w:r>
              <w:rPr>
                <w:rFonts w:ascii="Calibri" w:hAnsi="Calibri"/>
                <w:b w:val="0"/>
                <w:i w:val="0"/>
                <w:color w:val="222A30"/>
                <w:sz w:val="19"/>
              </w:rPr>
              <w:t>Your revenue-bearing processes — the basis of crown jewels.</w:t>
            </w:r>
          </w:p>
        </w:tc>
      </w:tr>
      <w:tr>
        <w:tc>
          <w:tcPr>
            <w:tcW w:type="dxa" w:w="576"/>
            <w:shd w:val="clear" w:color="auto" w:fill="E7EEF3"/>
          </w:tcPr>
          <w:p>
            <w:pPr>
              <w:spacing w:after="40" w:before="40"/>
            </w:pPr>
            <w:r>
              <w:rPr>
                <w:rFonts w:ascii="Calibri" w:hAnsi="Calibri"/>
                <w:b/>
                <w:i w:val="0"/>
                <w:color w:val="08243A"/>
                <w:sz w:val="19"/>
              </w:rPr>
              <w:t>4</w:t>
            </w:r>
          </w:p>
        </w:tc>
        <w:tc>
          <w:tcPr>
            <w:tcW w:type="dxa" w:w="2736"/>
            <w:shd w:val="clear" w:color="auto" w:fill="E7EEF3"/>
          </w:tcPr>
          <w:p>
            <w:pPr>
              <w:spacing w:after="40" w:before="40"/>
            </w:pPr>
            <w:r>
              <w:rPr>
                <w:rFonts w:ascii="Calibri" w:hAnsi="Calibri"/>
                <w:b w:val="0"/>
                <w:i w:val="0"/>
                <w:color w:val="222A30"/>
                <w:sz w:val="19"/>
              </w:rPr>
              <w:t>Systems &amp; applications</w:t>
            </w:r>
          </w:p>
        </w:tc>
        <w:tc>
          <w:tcPr>
            <w:tcW w:type="dxa" w:w="6048"/>
            <w:shd w:val="clear" w:color="auto" w:fill="E7EEF3"/>
          </w:tcPr>
          <w:p>
            <w:pPr>
              <w:spacing w:after="40" w:before="40"/>
            </w:pPr>
            <w:r>
              <w:rPr>
                <w:rFonts w:ascii="Calibri" w:hAnsi="Calibri"/>
                <w:b w:val="0"/>
                <w:i w:val="0"/>
                <w:color w:val="222A30"/>
                <w:sz w:val="19"/>
              </w:rPr>
              <w:t>The systems that run those processes.</w:t>
            </w:r>
          </w:p>
        </w:tc>
      </w:tr>
      <w:tr>
        <w:tc>
          <w:tcPr>
            <w:tcW w:type="dxa" w:w="576"/>
          </w:tcPr>
          <w:p>
            <w:pPr>
              <w:spacing w:after="40" w:before="40"/>
            </w:pPr>
            <w:r>
              <w:rPr>
                <w:rFonts w:ascii="Calibri" w:hAnsi="Calibri"/>
                <w:b/>
                <w:i w:val="0"/>
                <w:color w:val="08243A"/>
                <w:sz w:val="19"/>
              </w:rPr>
              <w:t>5</w:t>
            </w:r>
          </w:p>
        </w:tc>
        <w:tc>
          <w:tcPr>
            <w:tcW w:type="dxa" w:w="2736"/>
          </w:tcPr>
          <w:p>
            <w:pPr>
              <w:spacing w:after="40" w:before="40"/>
            </w:pPr>
            <w:r>
              <w:rPr>
                <w:rFonts w:ascii="Calibri" w:hAnsi="Calibri"/>
                <w:b w:val="0"/>
                <w:i w:val="0"/>
                <w:color w:val="222A30"/>
                <w:sz w:val="19"/>
              </w:rPr>
              <w:t>Third-party vendors</w:t>
            </w:r>
          </w:p>
        </w:tc>
        <w:tc>
          <w:tcPr>
            <w:tcW w:type="dxa" w:w="6048"/>
          </w:tcPr>
          <w:p>
            <w:pPr>
              <w:spacing w:after="40" w:before="40"/>
            </w:pPr>
            <w:r>
              <w:rPr>
                <w:rFonts w:ascii="Calibri" w:hAnsi="Calibri"/>
                <w:b w:val="0"/>
                <w:i w:val="0"/>
                <w:color w:val="222A30"/>
                <w:sz w:val="19"/>
              </w:rPr>
              <w:t>Tier-1/2 vendors and concentration risk.</w:t>
            </w:r>
          </w:p>
        </w:tc>
      </w:tr>
      <w:tr>
        <w:tc>
          <w:tcPr>
            <w:tcW w:type="dxa" w:w="576"/>
            <w:shd w:val="clear" w:color="auto" w:fill="E7EEF3"/>
          </w:tcPr>
          <w:p>
            <w:pPr>
              <w:spacing w:after="40" w:before="40"/>
            </w:pPr>
            <w:r>
              <w:rPr>
                <w:rFonts w:ascii="Calibri" w:hAnsi="Calibri"/>
                <w:b/>
                <w:i w:val="0"/>
                <w:color w:val="08243A"/>
                <w:sz w:val="19"/>
              </w:rPr>
              <w:t>6</w:t>
            </w:r>
          </w:p>
        </w:tc>
        <w:tc>
          <w:tcPr>
            <w:tcW w:type="dxa" w:w="2736"/>
            <w:shd w:val="clear" w:color="auto" w:fill="E7EEF3"/>
          </w:tcPr>
          <w:p>
            <w:pPr>
              <w:spacing w:after="40" w:before="40"/>
            </w:pPr>
            <w:r>
              <w:rPr>
                <w:rFonts w:ascii="Calibri" w:hAnsi="Calibri"/>
                <w:b w:val="0"/>
                <w:i w:val="0"/>
                <w:color w:val="222A30"/>
                <w:sz w:val="19"/>
              </w:rPr>
              <w:t>Connect your tools</w:t>
            </w:r>
          </w:p>
        </w:tc>
        <w:tc>
          <w:tcPr>
            <w:tcW w:type="dxa" w:w="6048"/>
            <w:shd w:val="clear" w:color="auto" w:fill="E7EEF3"/>
          </w:tcPr>
          <w:p>
            <w:pPr>
              <w:spacing w:after="40" w:before="40"/>
            </w:pPr>
            <w:r>
              <w:rPr>
                <w:rFonts w:ascii="Calibri" w:hAnsi="Calibri"/>
                <w:b w:val="0"/>
                <w:i w:val="0"/>
                <w:color w:val="222A30"/>
                <w:sz w:val="19"/>
              </w:rPr>
              <w:t>Live signal feeds from your security stack.</w:t>
            </w:r>
          </w:p>
        </w:tc>
      </w:tr>
      <w:tr>
        <w:tc>
          <w:tcPr>
            <w:tcW w:type="dxa" w:w="576"/>
          </w:tcPr>
          <w:p>
            <w:pPr>
              <w:spacing w:after="40" w:before="40"/>
            </w:pPr>
            <w:r>
              <w:rPr>
                <w:rFonts w:ascii="Calibri" w:hAnsi="Calibri"/>
                <w:b/>
                <w:i w:val="0"/>
                <w:color w:val="08243A"/>
                <w:sz w:val="19"/>
              </w:rPr>
              <w:t>7</w:t>
            </w:r>
          </w:p>
        </w:tc>
        <w:tc>
          <w:tcPr>
            <w:tcW w:type="dxa" w:w="2736"/>
          </w:tcPr>
          <w:p>
            <w:pPr>
              <w:spacing w:after="40" w:before="40"/>
            </w:pPr>
            <w:r>
              <w:rPr>
                <w:rFonts w:ascii="Calibri" w:hAnsi="Calibri"/>
                <w:b w:val="0"/>
                <w:i w:val="0"/>
                <w:color w:val="222A30"/>
                <w:sz w:val="19"/>
              </w:rPr>
              <w:t>Board governance</w:t>
            </w:r>
          </w:p>
        </w:tc>
        <w:tc>
          <w:tcPr>
            <w:tcW w:type="dxa" w:w="6048"/>
          </w:tcPr>
          <w:p>
            <w:pPr>
              <w:spacing w:after="40" w:before="40"/>
            </w:pPr>
            <w:r>
              <w:rPr>
                <w:rFonts w:ascii="Calibri" w:hAnsi="Calibri"/>
                <w:b w:val="0"/>
                <w:i w:val="0"/>
                <w:color w:val="222A30"/>
                <w:sz w:val="19"/>
              </w:rPr>
              <w:t>Oversight cadence and incident-readiness (SEC Item 106).</w:t>
            </w:r>
          </w:p>
        </w:tc>
      </w:tr>
      <w:tr>
        <w:tc>
          <w:tcPr>
            <w:tcW w:type="dxa" w:w="576"/>
            <w:shd w:val="clear" w:color="auto" w:fill="E7EEF3"/>
          </w:tcPr>
          <w:p>
            <w:pPr>
              <w:spacing w:after="40" w:before="40"/>
            </w:pPr>
            <w:r>
              <w:rPr>
                <w:rFonts w:ascii="Calibri" w:hAnsi="Calibri"/>
                <w:b/>
                <w:i w:val="0"/>
                <w:color w:val="08243A"/>
                <w:sz w:val="19"/>
              </w:rPr>
              <w:t>8</w:t>
            </w:r>
          </w:p>
        </w:tc>
        <w:tc>
          <w:tcPr>
            <w:tcW w:type="dxa" w:w="2736"/>
            <w:shd w:val="clear" w:color="auto" w:fill="E7EEF3"/>
          </w:tcPr>
          <w:p>
            <w:pPr>
              <w:spacing w:after="40" w:before="40"/>
            </w:pPr>
            <w:r>
              <w:rPr>
                <w:rFonts w:ascii="Calibri" w:hAnsi="Calibri"/>
                <w:b w:val="0"/>
                <w:i w:val="0"/>
                <w:color w:val="222A30"/>
                <w:sz w:val="19"/>
              </w:rPr>
              <w:t>AI risk &amp; governance</w:t>
            </w:r>
          </w:p>
        </w:tc>
        <w:tc>
          <w:tcPr>
            <w:tcW w:type="dxa" w:w="6048"/>
            <w:shd w:val="clear" w:color="auto" w:fill="E7EEF3"/>
          </w:tcPr>
          <w:p>
            <w:pPr>
              <w:spacing w:after="40" w:before="40"/>
            </w:pPr>
            <w:r>
              <w:rPr>
                <w:rFonts w:ascii="Calibri" w:hAnsi="Calibri"/>
                <w:b w:val="0"/>
                <w:i w:val="0"/>
                <w:color w:val="222A30"/>
                <w:sz w:val="19"/>
              </w:rPr>
              <w:t>AI systems you run and AI you use to defend.</w:t>
            </w:r>
          </w:p>
        </w:tc>
      </w:tr>
      <w:tr>
        <w:tc>
          <w:tcPr>
            <w:tcW w:type="dxa" w:w="576"/>
          </w:tcPr>
          <w:p>
            <w:pPr>
              <w:spacing w:after="40" w:before="40"/>
            </w:pPr>
            <w:r>
              <w:rPr>
                <w:rFonts w:ascii="Calibri" w:hAnsi="Calibri"/>
                <w:b/>
                <w:i w:val="0"/>
                <w:color w:val="08243A"/>
                <w:sz w:val="19"/>
              </w:rPr>
              <w:t>9</w:t>
            </w:r>
          </w:p>
        </w:tc>
        <w:tc>
          <w:tcPr>
            <w:tcW w:type="dxa" w:w="2736"/>
          </w:tcPr>
          <w:p>
            <w:pPr>
              <w:spacing w:after="40" w:before="40"/>
            </w:pPr>
            <w:r>
              <w:rPr>
                <w:rFonts w:ascii="Calibri" w:hAnsi="Calibri"/>
                <w:b w:val="0"/>
                <w:i w:val="0"/>
                <w:color w:val="222A30"/>
                <w:sz w:val="19"/>
              </w:rPr>
              <w:t>Strategic objectives</w:t>
            </w:r>
          </w:p>
        </w:tc>
        <w:tc>
          <w:tcPr>
            <w:tcW w:type="dxa" w:w="6048"/>
          </w:tcPr>
          <w:p>
            <w:pPr>
              <w:spacing w:after="40" w:before="40"/>
            </w:pPr>
            <w:r>
              <w:rPr>
                <w:rFonts w:ascii="Calibri" w:hAnsi="Calibri"/>
                <w:b w:val="0"/>
                <w:i w:val="0"/>
                <w:color w:val="222A30"/>
                <w:sz w:val="19"/>
              </w:rPr>
              <w:t>Business goals cyber risk is measured against.</w:t>
            </w:r>
          </w:p>
        </w:tc>
      </w:tr>
      <w:tr>
        <w:tc>
          <w:tcPr>
            <w:tcW w:type="dxa" w:w="576"/>
            <w:shd w:val="clear" w:color="auto" w:fill="E7EEF3"/>
          </w:tcPr>
          <w:p>
            <w:pPr>
              <w:spacing w:after="40" w:before="40"/>
            </w:pPr>
            <w:r>
              <w:rPr>
                <w:rFonts w:ascii="Calibri" w:hAnsi="Calibri"/>
                <w:b/>
                <w:i w:val="0"/>
                <w:color w:val="08243A"/>
                <w:sz w:val="19"/>
              </w:rPr>
              <w:t>10</w:t>
            </w:r>
          </w:p>
        </w:tc>
        <w:tc>
          <w:tcPr>
            <w:tcW w:type="dxa" w:w="2736"/>
            <w:shd w:val="clear" w:color="auto" w:fill="E7EEF3"/>
          </w:tcPr>
          <w:p>
            <w:pPr>
              <w:spacing w:after="40" w:before="40"/>
            </w:pPr>
            <w:r>
              <w:rPr>
                <w:rFonts w:ascii="Calibri" w:hAnsi="Calibri"/>
                <w:b w:val="0"/>
                <w:i w:val="0"/>
                <w:color w:val="222A30"/>
                <w:sz w:val="19"/>
              </w:rPr>
              <w:t>Other principal risks</w:t>
            </w:r>
          </w:p>
        </w:tc>
        <w:tc>
          <w:tcPr>
            <w:tcW w:type="dxa" w:w="6048"/>
            <w:shd w:val="clear" w:color="auto" w:fill="E7EEF3"/>
          </w:tcPr>
          <w:p>
            <w:pPr>
              <w:spacing w:after="40" w:before="40"/>
            </w:pPr>
            <w:r>
              <w:rPr>
                <w:rFonts w:ascii="Calibri" w:hAnsi="Calibri"/>
                <w:b w:val="0"/>
                <w:i w:val="0"/>
                <w:color w:val="222A30"/>
                <w:sz w:val="19"/>
              </w:rPr>
              <w:t>Credit, market, operational — for the CRO one-scale view.</w:t>
            </w:r>
          </w:p>
        </w:tc>
      </w:tr>
      <w:tr>
        <w:tc>
          <w:tcPr>
            <w:tcW w:type="dxa" w:w="576"/>
          </w:tcPr>
          <w:p>
            <w:pPr>
              <w:spacing w:after="40" w:before="40"/>
            </w:pPr>
            <w:r>
              <w:rPr>
                <w:rFonts w:ascii="Calibri" w:hAnsi="Calibri"/>
                <w:b/>
                <w:i w:val="0"/>
                <w:color w:val="08243A"/>
                <w:sz w:val="19"/>
              </w:rPr>
              <w:t>→</w:t>
            </w:r>
          </w:p>
        </w:tc>
        <w:tc>
          <w:tcPr>
            <w:tcW w:type="dxa" w:w="2736"/>
          </w:tcPr>
          <w:p>
            <w:pPr>
              <w:spacing w:after="40" w:before="40"/>
            </w:pPr>
            <w:r>
              <w:rPr>
                <w:rFonts w:ascii="Calibri" w:hAnsi="Calibri"/>
                <w:b w:val="0"/>
                <w:i w:val="0"/>
                <w:color w:val="222A30"/>
                <w:sz w:val="19"/>
              </w:rPr>
              <w:t>Go live</w:t>
            </w:r>
          </w:p>
        </w:tc>
        <w:tc>
          <w:tcPr>
            <w:tcW w:type="dxa" w:w="6048"/>
          </w:tcPr>
          <w:p>
            <w:pPr>
              <w:spacing w:after="40" w:before="40"/>
            </w:pPr>
            <w:r>
              <w:rPr>
                <w:rFonts w:ascii="Calibri" w:hAnsi="Calibri"/>
                <w:b w:val="0"/>
                <w:i w:val="0"/>
                <w:color w:val="222A30"/>
                <w:sz w:val="19"/>
              </w:rPr>
              <w:t>Submit; the cockpit builds from your description.</w:t>
            </w:r>
          </w:p>
        </w:tc>
      </w:tr>
    </w:tbl>
    <w:p>
      <w:pPr>
        <w:spacing w:after="40"/>
      </w:pPr>
    </w:p>
    <w:p>
      <w:pPr>
        <w:spacing w:before="240" w:after="80"/>
        <w:outlineLvl w:val="1"/>
      </w:pPr>
      <w:r>
        <w:rPr>
          <w:rFonts w:ascii="Georgia" w:hAnsi="Georgia"/>
          <w:b/>
          <w:i w:val="0"/>
          <w:color w:val="1A5FA0"/>
          <w:sz w:val="28"/>
        </w:rPr>
        <w:t>Step 1 — Organization</w:t>
      </w:r>
    </w:p>
    <w:p>
      <w:pPr>
        <w:spacing w:before="0" w:after="120"/>
      </w:pPr>
      <w:r>
        <w:rPr>
          <w:rFonts w:ascii="Calibri" w:hAnsi="Calibri"/>
          <w:b w:val="0"/>
          <w:i w:val="0"/>
          <w:color w:val="222A30"/>
          <w:sz w:val="21"/>
        </w:rPr>
        <w:t>Set your organization name, industry, reporting currency, and operating regions. Industry selects the peer lens and the regulatory frame. Operating regions set the notification clocks and penalty regimes that apply — for example, choosing EU and UK activates GDPR and UK data-protection timelines used later in the CLO and Board seats.</w:t>
      </w:r>
    </w:p>
    <w:p>
      <w:pPr>
        <w:spacing w:before="160" w:after="160"/>
        <w:ind w:left="115"/>
        <w:shd w:val="clear" w:color="auto" w:fill="EEF2F5"/>
        <w:pBdr>
          <w:left w:val="single" w:sz="24" w:space="6" w:color="1A5FA0"/>
        </w:pBdr>
      </w:pPr>
      <w:r>
        <w:rPr>
          <w:rFonts w:ascii="Calibri" w:hAnsi="Calibri"/>
          <w:b/>
          <w:i w:val="0"/>
          <w:caps/>
          <w:color w:val="1A5FA0"/>
          <w:sz w:val="17"/>
          <w:spacing w:val="30"/>
        </w:rPr>
        <w:t xml:space="preserve">WHY REGION MATTERS   </w:t>
      </w:r>
      <w:r>
        <w:rPr>
          <w:rFonts w:ascii="Calibri" w:hAnsi="Calibri"/>
          <w:b w:val="0"/>
          <w:i w:val="0"/>
          <w:color w:val="222A30"/>
          <w:sz w:val="20"/>
        </w:rPr>
        <w:t>Region drives real deadlines. It is used to compute breach-notification countdowns and maximum penalties, so set every region in which you operate.</w:t>
      </w:r>
    </w:p>
    <w:p>
      <w:pPr>
        <w:spacing w:before="240" w:after="80"/>
        <w:outlineLvl w:val="1"/>
      </w:pPr>
      <w:r>
        <w:rPr>
          <w:rFonts w:ascii="Georgia" w:hAnsi="Georgia"/>
          <w:b/>
          <w:i w:val="0"/>
          <w:color w:val="1A5FA0"/>
          <w:sz w:val="28"/>
        </w:rPr>
        <w:t>Step 2 — Leadership</w:t>
      </w:r>
    </w:p>
    <w:p>
      <w:pPr>
        <w:spacing w:before="0" w:after="120"/>
      </w:pPr>
      <w:r>
        <w:rPr>
          <w:rFonts w:ascii="Calibri" w:hAnsi="Calibri"/>
          <w:b w:val="0"/>
          <w:i w:val="0"/>
          <w:color w:val="222A30"/>
          <w:sz w:val="21"/>
        </w:rPr>
        <w:t>Enter the name of each executive who owns a seat: CEO, CFO, CISO, COO, CTO, CPO, General Counsel (CLO), Chief Risk Officer, and Chief Audit Executive. These names are not cosmetic — each seat’s cockpit is addressed to its owner, and every decision recorded in Nerion is stamped with the name of the executive who made it, forming an accountable record.</w:t>
      </w:r>
    </w:p>
    <w:p>
      <w:pPr>
        <w:spacing w:before="240" w:after="80"/>
        <w:outlineLvl w:val="1"/>
      </w:pPr>
      <w:r>
        <w:rPr>
          <w:rFonts w:ascii="Georgia" w:hAnsi="Georgia"/>
          <w:b/>
          <w:i w:val="0"/>
          <w:color w:val="1A5FA0"/>
          <w:sz w:val="28"/>
        </w:rPr>
        <w:t>Step 3 — Business processes</w:t>
      </w:r>
    </w:p>
    <w:p>
      <w:pPr>
        <w:spacing w:before="0" w:after="120"/>
      </w:pPr>
      <w:r>
        <w:rPr>
          <w:rFonts w:ascii="Calibri" w:hAnsi="Calibri"/>
          <w:b w:val="0"/>
          <w:i w:val="0"/>
          <w:color w:val="222A30"/>
          <w:sz w:val="21"/>
        </w:rPr>
        <w:t>List your key revenue-bearing processes (for example, Payments, Claims, Trading, Order Fulfilment). You can type them or upload from a CMDB export. Nerion groups processes by business function and derives your crown jewels — the concentrations of value an attacker would target — from them. This is the single most valuable section: it anchors the process → system → crown-jewel → risk → control chain that the whole platform is built on.</w:t>
      </w:r>
    </w:p>
    <w:p>
      <w:pPr>
        <w:spacing w:before="240" w:after="80"/>
        <w:outlineLvl w:val="1"/>
      </w:pPr>
      <w:r>
        <w:rPr>
          <w:rFonts w:ascii="Georgia" w:hAnsi="Georgia"/>
          <w:b/>
          <w:i w:val="0"/>
          <w:color w:val="1A5FA0"/>
          <w:sz w:val="28"/>
        </w:rPr>
        <w:t>Step 4 — Systems &amp; applications</w:t>
      </w:r>
    </w:p>
    <w:p>
      <w:pPr>
        <w:spacing w:before="0" w:after="120"/>
      </w:pPr>
      <w:r>
        <w:rPr>
          <w:rFonts w:ascii="Calibri" w:hAnsi="Calibri"/>
          <w:b w:val="0"/>
          <w:i w:val="0"/>
          <w:color w:val="222A30"/>
          <w:sz w:val="21"/>
        </w:rPr>
        <w:t>Map the systems and applications that run each process. For each system you can note its exposure (for example internet-facing) and criticality. Exposure and criticality drive the attack-surface and crown-jewel calculations, so they are worth setting accurately. Systems can be entered manually or imported.</w:t>
      </w:r>
    </w:p>
    <w:p>
      <w:pPr>
        <w:spacing w:before="240" w:after="80"/>
        <w:outlineLvl w:val="1"/>
      </w:pPr>
      <w:r>
        <w:rPr>
          <w:rFonts w:ascii="Georgia" w:hAnsi="Georgia"/>
          <w:b/>
          <w:i w:val="0"/>
          <w:color w:val="1A5FA0"/>
          <w:sz w:val="28"/>
        </w:rPr>
        <w:t>Step 5 — Third-party vendors</w:t>
      </w:r>
    </w:p>
    <w:p>
      <w:pPr>
        <w:spacing w:before="0" w:after="120"/>
      </w:pPr>
      <w:r>
        <w:rPr>
          <w:rFonts w:ascii="Calibri" w:hAnsi="Calibri"/>
          <w:b w:val="0"/>
          <w:i w:val="0"/>
          <w:color w:val="222A30"/>
          <w:sz w:val="21"/>
        </w:rPr>
        <w:t>Capture your tier-1 and tier-2 vendors, by CSV upload or from a third-party risk API. Nerion uses this to surface concentration risk (over-reliance on a single provider) and to populate the Third-party risk views in the CEO, CISO, and CRO seats.</w:t>
      </w:r>
    </w:p>
    <w:p>
      <w:pPr>
        <w:spacing w:before="240" w:after="80"/>
        <w:outlineLvl w:val="1"/>
      </w:pPr>
      <w:r>
        <w:rPr>
          <w:rFonts w:ascii="Georgia" w:hAnsi="Georgia"/>
          <w:b/>
          <w:i w:val="0"/>
          <w:color w:val="1A5FA0"/>
          <w:sz w:val="28"/>
        </w:rPr>
        <w:t>Step 6 — Connect your tools</w:t>
      </w:r>
    </w:p>
    <w:p>
      <w:pPr>
        <w:spacing w:before="0" w:after="120"/>
      </w:pPr>
      <w:r>
        <w:rPr>
          <w:rFonts w:ascii="Calibri" w:hAnsi="Calibri"/>
          <w:b w:val="0"/>
          <w:i w:val="0"/>
          <w:color w:val="222A30"/>
          <w:sz w:val="21"/>
        </w:rPr>
        <w:t>Connect your security and operations tools so the cockpit reads live signals instead of modelled placeholders. Nerion ships native connectors across the stack; a representative set is shown in Exhibit 3. Each connector maps to specific metrics in the seats.</w:t>
      </w:r>
    </w:p>
    <w:p>
      <w:pPr>
        <w:spacing w:before="200" w:after="60"/>
      </w:pPr>
      <w:r>
        <w:rPr>
          <w:rFonts w:ascii="Calibri" w:hAnsi="Calibri"/>
          <w:b/>
          <w:i w:val="0"/>
          <w:caps/>
          <w:color w:val="2FA3D6"/>
          <w:sz w:val="17"/>
          <w:spacing w:val="20"/>
        </w:rPr>
        <w:t xml:space="preserve">EXHIBIT — </w:t>
      </w:r>
      <w:r>
        <w:rPr>
          <w:rFonts w:ascii="Calibri" w:hAnsi="Calibri"/>
          <w:b/>
          <w:i w:val="0"/>
          <w:caps/>
          <w:color w:val="5B6B76"/>
          <w:sz w:val="17"/>
          <w:spacing w:val="20"/>
        </w:rPr>
        <w:t>Representative native connectors</w:t>
      </w:r>
    </w:p>
    <w:tbl>
      <w:tblPr>
        <w:tblW w:type="auto" w:w="0"/>
        <w:jc w:val="center"/>
        <w:tblLayout w:type="autofit"/>
        <w:tblLook w:firstColumn="1" w:firstRow="1" w:lastColumn="0" w:lastRow="0" w:noHBand="0" w:noVBand="1" w:val="04A0"/>
      </w:tblPr>
      <w:tblGrid>
        <w:gridCol w:w="3120"/>
        <w:gridCol w:w="3120"/>
        <w:gridCol w:w="3120"/>
      </w:tblGrid>
      <w:tr>
        <w:tc>
          <w:tcPr>
            <w:tcW w:type="dxa" w:w="2160"/>
            <w:shd w:val="clear" w:color="auto" w:fill="08243A"/>
          </w:tcPr>
          <w:p>
            <w:pPr>
              <w:spacing w:after="40" w:before="40"/>
            </w:pPr>
            <w:r>
              <w:rPr>
                <w:rFonts w:ascii="Calibri" w:hAnsi="Calibri"/>
                <w:b/>
                <w:i w:val="0"/>
                <w:color w:val="FFFFFF"/>
                <w:sz w:val="19"/>
              </w:rPr>
              <w:t>Category</w:t>
            </w:r>
          </w:p>
        </w:tc>
        <w:tc>
          <w:tcPr>
            <w:tcW w:type="dxa" w:w="2880"/>
            <w:shd w:val="clear" w:color="auto" w:fill="08243A"/>
          </w:tcPr>
          <w:p>
            <w:pPr>
              <w:spacing w:after="40" w:before="40"/>
            </w:pPr>
            <w:r>
              <w:rPr>
                <w:rFonts w:ascii="Calibri" w:hAnsi="Calibri"/>
                <w:b/>
                <w:i w:val="0"/>
                <w:color w:val="FFFFFF"/>
                <w:sz w:val="19"/>
              </w:rPr>
              <w:t>Example tools</w:t>
            </w:r>
          </w:p>
        </w:tc>
        <w:tc>
          <w:tcPr>
            <w:tcW w:type="dxa" w:w="4320"/>
            <w:shd w:val="clear" w:color="auto" w:fill="08243A"/>
          </w:tcPr>
          <w:p>
            <w:pPr>
              <w:spacing w:after="40" w:before="40"/>
            </w:pPr>
            <w:r>
              <w:rPr>
                <w:rFonts w:ascii="Calibri" w:hAnsi="Calibri"/>
                <w:b/>
                <w:i w:val="0"/>
                <w:color w:val="FFFFFF"/>
                <w:sz w:val="19"/>
              </w:rPr>
              <w:t>Signals fed</w:t>
            </w:r>
          </w:p>
        </w:tc>
      </w:tr>
      <w:tr>
        <w:tc>
          <w:tcPr>
            <w:tcW w:type="dxa" w:w="2160"/>
          </w:tcPr>
          <w:p>
            <w:pPr>
              <w:spacing w:after="40" w:before="40"/>
            </w:pPr>
            <w:r>
              <w:rPr>
                <w:rFonts w:ascii="Calibri" w:hAnsi="Calibri"/>
                <w:b/>
                <w:i w:val="0"/>
                <w:color w:val="08243A"/>
                <w:sz w:val="19"/>
              </w:rPr>
              <w:t>Cloud posture</w:t>
            </w:r>
          </w:p>
        </w:tc>
        <w:tc>
          <w:tcPr>
            <w:tcW w:type="dxa" w:w="2880"/>
          </w:tcPr>
          <w:p>
            <w:pPr>
              <w:spacing w:after="40" w:before="40"/>
            </w:pPr>
            <w:r>
              <w:rPr>
                <w:rFonts w:ascii="Calibri" w:hAnsi="Calibri"/>
                <w:b w:val="0"/>
                <w:i w:val="0"/>
                <w:color w:val="222A30"/>
                <w:sz w:val="19"/>
              </w:rPr>
              <w:t>Wiz / CSPM</w:t>
            </w:r>
          </w:p>
        </w:tc>
        <w:tc>
          <w:tcPr>
            <w:tcW w:type="dxa" w:w="4320"/>
          </w:tcPr>
          <w:p>
            <w:pPr>
              <w:spacing w:after="40" w:before="40"/>
            </w:pPr>
            <w:r>
              <w:rPr>
                <w:rFonts w:ascii="Calibri" w:hAnsi="Calibri"/>
                <w:b w:val="0"/>
                <w:i w:val="0"/>
                <w:color w:val="222A30"/>
                <w:sz w:val="19"/>
              </w:rPr>
              <w:t>Cloud security posture score</w:t>
            </w:r>
          </w:p>
        </w:tc>
      </w:tr>
      <w:tr>
        <w:tc>
          <w:tcPr>
            <w:tcW w:type="dxa" w:w="2160"/>
            <w:shd w:val="clear" w:color="auto" w:fill="E7EEF3"/>
          </w:tcPr>
          <w:p>
            <w:pPr>
              <w:spacing w:after="40" w:before="40"/>
            </w:pPr>
            <w:r>
              <w:rPr>
                <w:rFonts w:ascii="Calibri" w:hAnsi="Calibri"/>
                <w:b/>
                <w:i w:val="0"/>
                <w:color w:val="08243A"/>
                <w:sz w:val="19"/>
              </w:rPr>
              <w:t>Email security</w:t>
            </w:r>
          </w:p>
        </w:tc>
        <w:tc>
          <w:tcPr>
            <w:tcW w:type="dxa" w:w="2880"/>
            <w:shd w:val="clear" w:color="auto" w:fill="E7EEF3"/>
          </w:tcPr>
          <w:p>
            <w:pPr>
              <w:spacing w:after="40" w:before="40"/>
            </w:pPr>
            <w:r>
              <w:rPr>
                <w:rFonts w:ascii="Calibri" w:hAnsi="Calibri"/>
                <w:b w:val="0"/>
                <w:i w:val="0"/>
                <w:color w:val="222A30"/>
                <w:sz w:val="19"/>
              </w:rPr>
              <w:t>Proofpoint TAP</w:t>
            </w:r>
          </w:p>
        </w:tc>
        <w:tc>
          <w:tcPr>
            <w:tcW w:type="dxa" w:w="4320"/>
            <w:shd w:val="clear" w:color="auto" w:fill="E7EEF3"/>
          </w:tcPr>
          <w:p>
            <w:pPr>
              <w:spacing w:after="40" w:before="40"/>
            </w:pPr>
            <w:r>
              <w:rPr>
                <w:rFonts w:ascii="Calibri" w:hAnsi="Calibri"/>
                <w:b w:val="0"/>
                <w:i w:val="0"/>
                <w:color w:val="222A30"/>
                <w:sz w:val="19"/>
              </w:rPr>
              <w:t>BEC / phishing blocked</w:t>
            </w:r>
          </w:p>
        </w:tc>
      </w:tr>
      <w:tr>
        <w:tc>
          <w:tcPr>
            <w:tcW w:type="dxa" w:w="2160"/>
          </w:tcPr>
          <w:p>
            <w:pPr>
              <w:spacing w:after="40" w:before="40"/>
            </w:pPr>
            <w:r>
              <w:rPr>
                <w:rFonts w:ascii="Calibri" w:hAnsi="Calibri"/>
                <w:b/>
                <w:i w:val="0"/>
                <w:color w:val="08243A"/>
                <w:sz w:val="19"/>
              </w:rPr>
              <w:t>Privacy / DSAR</w:t>
            </w:r>
          </w:p>
        </w:tc>
        <w:tc>
          <w:tcPr>
            <w:tcW w:type="dxa" w:w="2880"/>
          </w:tcPr>
          <w:p>
            <w:pPr>
              <w:spacing w:after="40" w:before="40"/>
            </w:pPr>
            <w:r>
              <w:rPr>
                <w:rFonts w:ascii="Calibri" w:hAnsi="Calibri"/>
                <w:b w:val="0"/>
                <w:i w:val="0"/>
                <w:color w:val="222A30"/>
                <w:sz w:val="19"/>
              </w:rPr>
              <w:t>OneTrust</w:t>
            </w:r>
          </w:p>
        </w:tc>
        <w:tc>
          <w:tcPr>
            <w:tcW w:type="dxa" w:w="4320"/>
          </w:tcPr>
          <w:p>
            <w:pPr>
              <w:spacing w:after="40" w:before="40"/>
            </w:pPr>
            <w:r>
              <w:rPr>
                <w:rFonts w:ascii="Calibri" w:hAnsi="Calibri"/>
                <w:b w:val="0"/>
                <w:i w:val="0"/>
                <w:color w:val="222A30"/>
                <w:sz w:val="19"/>
              </w:rPr>
              <w:t>Open &amp; overdue DSARs, legal holds</w:t>
            </w:r>
          </w:p>
        </w:tc>
      </w:tr>
      <w:tr>
        <w:tc>
          <w:tcPr>
            <w:tcW w:type="dxa" w:w="2160"/>
            <w:shd w:val="clear" w:color="auto" w:fill="E7EEF3"/>
          </w:tcPr>
          <w:p>
            <w:pPr>
              <w:spacing w:after="40" w:before="40"/>
            </w:pPr>
            <w:r>
              <w:rPr>
                <w:rFonts w:ascii="Calibri" w:hAnsi="Calibri"/>
                <w:b/>
                <w:i w:val="0"/>
                <w:color w:val="08243A"/>
                <w:sz w:val="19"/>
              </w:rPr>
              <w:t>Threat intel</w:t>
            </w:r>
          </w:p>
        </w:tc>
        <w:tc>
          <w:tcPr>
            <w:tcW w:type="dxa" w:w="2880"/>
            <w:shd w:val="clear" w:color="auto" w:fill="E7EEF3"/>
          </w:tcPr>
          <w:p>
            <w:pPr>
              <w:spacing w:after="40" w:before="40"/>
            </w:pPr>
            <w:r>
              <w:rPr>
                <w:rFonts w:ascii="Calibri" w:hAnsi="Calibri"/>
                <w:b w:val="0"/>
                <w:i w:val="0"/>
                <w:color w:val="222A30"/>
                <w:sz w:val="19"/>
              </w:rPr>
              <w:t>Recorded Future</w:t>
            </w:r>
          </w:p>
        </w:tc>
        <w:tc>
          <w:tcPr>
            <w:tcW w:type="dxa" w:w="4320"/>
            <w:shd w:val="clear" w:color="auto" w:fill="E7EEF3"/>
          </w:tcPr>
          <w:p>
            <w:pPr>
              <w:spacing w:after="40" w:before="40"/>
            </w:pPr>
            <w:r>
              <w:rPr>
                <w:rFonts w:ascii="Calibri" w:hAnsi="Calibri"/>
                <w:b w:val="0"/>
                <w:i w:val="0"/>
                <w:color w:val="222A30"/>
                <w:sz w:val="19"/>
              </w:rPr>
              <w:t>Active threat actors</w:t>
            </w:r>
          </w:p>
        </w:tc>
      </w:tr>
      <w:tr>
        <w:tc>
          <w:tcPr>
            <w:tcW w:type="dxa" w:w="2160"/>
          </w:tcPr>
          <w:p>
            <w:pPr>
              <w:spacing w:after="40" w:before="40"/>
            </w:pPr>
            <w:r>
              <w:rPr>
                <w:rFonts w:ascii="Calibri" w:hAnsi="Calibri"/>
                <w:b/>
                <w:i w:val="0"/>
                <w:color w:val="08243A"/>
                <w:sz w:val="19"/>
              </w:rPr>
              <w:t>Backup / DR</w:t>
            </w:r>
          </w:p>
        </w:tc>
        <w:tc>
          <w:tcPr>
            <w:tcW w:type="dxa" w:w="2880"/>
          </w:tcPr>
          <w:p>
            <w:pPr>
              <w:spacing w:after="40" w:before="40"/>
            </w:pPr>
            <w:r>
              <w:rPr>
                <w:rFonts w:ascii="Calibri" w:hAnsi="Calibri"/>
                <w:b w:val="0"/>
                <w:i w:val="0"/>
                <w:color w:val="222A30"/>
                <w:sz w:val="19"/>
              </w:rPr>
              <w:t>Rubrik</w:t>
            </w:r>
          </w:p>
        </w:tc>
        <w:tc>
          <w:tcPr>
            <w:tcW w:type="dxa" w:w="4320"/>
          </w:tcPr>
          <w:p>
            <w:pPr>
              <w:spacing w:after="40" w:before="40"/>
            </w:pPr>
            <w:r>
              <w:rPr>
                <w:rFonts w:ascii="Calibri" w:hAnsi="Calibri"/>
                <w:b w:val="0"/>
                <w:i w:val="0"/>
                <w:color w:val="222A30"/>
                <w:sz w:val="19"/>
              </w:rPr>
              <w:t>Immutable backups, DR test age, RPO</w:t>
            </w:r>
          </w:p>
        </w:tc>
      </w:tr>
      <w:tr>
        <w:tc>
          <w:tcPr>
            <w:tcW w:type="dxa" w:w="2160"/>
            <w:shd w:val="clear" w:color="auto" w:fill="E7EEF3"/>
          </w:tcPr>
          <w:p>
            <w:pPr>
              <w:spacing w:after="40" w:before="40"/>
            </w:pPr>
            <w:r>
              <w:rPr>
                <w:rFonts w:ascii="Calibri" w:hAnsi="Calibri"/>
                <w:b/>
                <w:i w:val="0"/>
                <w:color w:val="08243A"/>
                <w:sz w:val="19"/>
              </w:rPr>
              <w:t>SOX / GRC</w:t>
            </w:r>
          </w:p>
        </w:tc>
        <w:tc>
          <w:tcPr>
            <w:tcW w:type="dxa" w:w="2880"/>
            <w:shd w:val="clear" w:color="auto" w:fill="E7EEF3"/>
          </w:tcPr>
          <w:p>
            <w:pPr>
              <w:spacing w:after="40" w:before="40"/>
            </w:pPr>
            <w:r>
              <w:rPr>
                <w:rFonts w:ascii="Calibri" w:hAnsi="Calibri"/>
                <w:b w:val="0"/>
                <w:i w:val="0"/>
                <w:color w:val="222A30"/>
                <w:sz w:val="19"/>
              </w:rPr>
              <w:t>SAP GRC</w:t>
            </w:r>
          </w:p>
        </w:tc>
        <w:tc>
          <w:tcPr>
            <w:tcW w:type="dxa" w:w="4320"/>
            <w:shd w:val="clear" w:color="auto" w:fill="E7EEF3"/>
          </w:tcPr>
          <w:p>
            <w:pPr>
              <w:spacing w:after="40" w:before="40"/>
            </w:pPr>
            <w:r>
              <w:rPr>
                <w:rFonts w:ascii="Calibri" w:hAnsi="Calibri"/>
                <w:b w:val="0"/>
                <w:i w:val="0"/>
                <w:color w:val="222A30"/>
                <w:sz w:val="19"/>
              </w:rPr>
              <w:t>SoD conflicts, change control, payment anomalies</w:t>
            </w:r>
          </w:p>
        </w:tc>
      </w:tr>
      <w:tr>
        <w:tc>
          <w:tcPr>
            <w:tcW w:type="dxa" w:w="2160"/>
          </w:tcPr>
          <w:p>
            <w:pPr>
              <w:spacing w:after="40" w:before="40"/>
            </w:pPr>
            <w:r>
              <w:rPr>
                <w:rFonts w:ascii="Calibri" w:hAnsi="Calibri"/>
                <w:b/>
                <w:i w:val="0"/>
                <w:color w:val="08243A"/>
                <w:sz w:val="19"/>
              </w:rPr>
              <w:t>Identity</w:t>
            </w:r>
          </w:p>
        </w:tc>
        <w:tc>
          <w:tcPr>
            <w:tcW w:type="dxa" w:w="2880"/>
          </w:tcPr>
          <w:p>
            <w:pPr>
              <w:spacing w:after="40" w:before="40"/>
            </w:pPr>
            <w:r>
              <w:rPr>
                <w:rFonts w:ascii="Calibri" w:hAnsi="Calibri"/>
                <w:b w:val="0"/>
                <w:i w:val="0"/>
                <w:color w:val="222A30"/>
                <w:sz w:val="19"/>
              </w:rPr>
              <w:t>SailPoint / CyberArk</w:t>
            </w:r>
          </w:p>
        </w:tc>
        <w:tc>
          <w:tcPr>
            <w:tcW w:type="dxa" w:w="4320"/>
          </w:tcPr>
          <w:p>
            <w:pPr>
              <w:spacing w:after="40" w:before="40"/>
            </w:pPr>
            <w:r>
              <w:rPr>
                <w:rFonts w:ascii="Calibri" w:hAnsi="Calibri"/>
                <w:b w:val="0"/>
                <w:i w:val="0"/>
                <w:color w:val="222A30"/>
                <w:sz w:val="19"/>
              </w:rPr>
              <w:t>Dormant accounts, flagged privileged sessions</w:t>
            </w:r>
          </w:p>
        </w:tc>
      </w:tr>
    </w:tbl>
    <w:p>
      <w:pPr>
        <w:spacing w:after="40"/>
      </w:pPr>
    </w:p>
    <w:p>
      <w:pPr>
        <w:spacing w:before="160" w:after="160"/>
        <w:ind w:left="115"/>
        <w:shd w:val="clear" w:color="auto" w:fill="EEF2F5"/>
        <w:pBdr>
          <w:left w:val="single" w:sz="24" w:space="6" w:color="1A5FA0"/>
        </w:pBdr>
      </w:pPr>
      <w:r>
        <w:rPr>
          <w:rFonts w:ascii="Calibri" w:hAnsi="Calibri"/>
          <w:b/>
          <w:i w:val="0"/>
          <w:caps/>
          <w:color w:val="1A5FA0"/>
          <w:sz w:val="17"/>
          <w:spacing w:val="30"/>
        </w:rPr>
        <w:t xml:space="preserve">LIVE VS ILLUSTRATIVE   </w:t>
      </w:r>
      <w:r>
        <w:rPr>
          <w:rFonts w:ascii="Calibri" w:hAnsi="Calibri"/>
          <w:b w:val="0"/>
          <w:i w:val="0"/>
          <w:color w:val="222A30"/>
          <w:sz w:val="20"/>
        </w:rPr>
        <w:t>Any metric with a connected source is labelled live and updates on refresh. Metrics without a source remain illustrative so you are never misled about which numbers are grounded in your data.</w:t>
      </w:r>
    </w:p>
    <w:p>
      <w:pPr>
        <w:spacing w:before="240" w:after="80"/>
        <w:outlineLvl w:val="1"/>
      </w:pPr>
      <w:r>
        <w:rPr>
          <w:rFonts w:ascii="Georgia" w:hAnsi="Georgia"/>
          <w:b/>
          <w:i w:val="0"/>
          <w:color w:val="1A5FA0"/>
          <w:sz w:val="28"/>
        </w:rPr>
        <w:t>Step 7 — Board governance &amp; incident readiness</w:t>
      </w:r>
    </w:p>
    <w:p>
      <w:pPr>
        <w:spacing w:before="0" w:after="120"/>
      </w:pPr>
      <w:r>
        <w:rPr>
          <w:rFonts w:ascii="Calibri" w:hAnsi="Calibri"/>
          <w:b w:val="0"/>
          <w:i w:val="0"/>
          <w:color w:val="222A30"/>
          <w:sz w:val="21"/>
        </w:rPr>
        <w:t>Record how the board oversees cyber: the committee that owns it, meeting cadence, and your incident-response readiness. These inputs power the CEO governance panel and the Board seat’s SEC Item 106 / 10-K disclosure-readiness view.</w:t>
      </w:r>
    </w:p>
    <w:p>
      <w:pPr>
        <w:spacing w:before="240" w:after="80"/>
        <w:outlineLvl w:val="1"/>
      </w:pPr>
      <w:r>
        <w:rPr>
          <w:rFonts w:ascii="Georgia" w:hAnsi="Georgia"/>
          <w:b/>
          <w:i w:val="0"/>
          <w:color w:val="1A5FA0"/>
          <w:sz w:val="28"/>
        </w:rPr>
        <w:t>Step 8 — AI risk &amp; governance</w:t>
      </w:r>
    </w:p>
    <w:p>
      <w:pPr>
        <w:spacing w:before="0" w:after="120"/>
      </w:pPr>
      <w:r>
        <w:rPr>
          <w:rFonts w:ascii="Calibri" w:hAnsi="Calibri"/>
          <w:b w:val="0"/>
          <w:i w:val="0"/>
          <w:color w:val="222A30"/>
          <w:sz w:val="21"/>
        </w:rPr>
        <w:t>Nerion treats AI in two halves: the AI you run (systems that could be attacked or misused) and AI you use to defend. Register your AI/LLM systems, the governance framework you follow (for example NIST AI RMF), and whether the EU AI Act is in scope. This powers the AI-risk sections in the CEO and CISO seats and the continuous AI-framework audit.</w:t>
      </w:r>
    </w:p>
    <w:p>
      <w:pPr>
        <w:spacing w:before="240" w:after="80"/>
        <w:outlineLvl w:val="1"/>
      </w:pPr>
      <w:r>
        <w:rPr>
          <w:rFonts w:ascii="Georgia" w:hAnsi="Georgia"/>
          <w:b/>
          <w:i w:val="0"/>
          <w:color w:val="1A5FA0"/>
          <w:sz w:val="28"/>
        </w:rPr>
        <w:t>Step 9 — Strategic objectives</w:t>
      </w:r>
    </w:p>
    <w:p>
      <w:pPr>
        <w:spacing w:before="0" w:after="120"/>
      </w:pPr>
      <w:r>
        <w:rPr>
          <w:rFonts w:ascii="Calibri" w:hAnsi="Calibri"/>
          <w:b w:val="0"/>
          <w:i w:val="0"/>
          <w:color w:val="222A30"/>
          <w:sz w:val="21"/>
        </w:rPr>
        <w:t>Enter the strategic objectives the business is pursuing. Nerion measures cyber risk against them so the CEO seat can express security in terms of the goals leadership actually cares about, rather than in isolation.</w:t>
      </w:r>
    </w:p>
    <w:p>
      <w:pPr>
        <w:spacing w:before="240" w:after="80"/>
        <w:outlineLvl w:val="1"/>
      </w:pPr>
      <w:r>
        <w:rPr>
          <w:rFonts w:ascii="Georgia" w:hAnsi="Georgia"/>
          <w:b/>
          <w:i w:val="0"/>
          <w:color w:val="1A5FA0"/>
          <w:sz w:val="28"/>
        </w:rPr>
        <w:t>Step 10 — Other principal risks</w:t>
      </w:r>
    </w:p>
    <w:p>
      <w:pPr>
        <w:spacing w:before="0" w:after="120"/>
      </w:pPr>
      <w:r>
        <w:rPr>
          <w:rFonts w:ascii="Calibri" w:hAnsi="Calibri"/>
          <w:b w:val="0"/>
          <w:i w:val="0"/>
          <w:color w:val="222A30"/>
          <w:sz w:val="21"/>
        </w:rPr>
        <w:t>Provide rough magnitudes for your other principal risks — credit/market, operational, compliance/legal, third-party. This lets the CRO seat place cyber on one comparable scale beside the enterprise’s other risks, which is how risk committees actually weigh it.</w:t>
      </w:r>
    </w:p>
    <w:p>
      <w:pPr>
        <w:spacing w:before="240" w:after="80"/>
        <w:outlineLvl w:val="1"/>
      </w:pPr>
      <w:r>
        <w:rPr>
          <w:rFonts w:ascii="Georgia" w:hAnsi="Georgia"/>
          <w:b/>
          <w:i w:val="0"/>
          <w:color w:val="1A5FA0"/>
          <w:sz w:val="28"/>
        </w:rPr>
        <w:t>Go live</w:t>
      </w:r>
    </w:p>
    <w:p>
      <w:pPr>
        <w:spacing w:before="0" w:after="120"/>
      </w:pPr>
      <w:r>
        <w:rPr>
          <w:rFonts w:ascii="Calibri" w:hAnsi="Calibri"/>
          <w:b w:val="0"/>
          <w:i w:val="0"/>
          <w:color w:val="222A30"/>
          <w:sz w:val="21"/>
        </w:rPr>
        <w:t>Select Go live to submit. Nerion ingests your description, runs the crown-jewel and economics engines, and builds the cockpit. You are taken to your seat with the platform populated from your data. Return to onboarding at any time to refine inputs.</w:t>
      </w:r>
    </w:p>
    <w:p>
      <w:r>
        <w:br w:type="page"/>
      </w:r>
    </w:p>
    <w:p>
      <w:pPr>
        <w:spacing w:before="40" w:after="40"/>
      </w:pPr>
      <w:r>
        <w:rPr>
          <w:rFonts w:ascii="Georgia" w:hAnsi="Georgia"/>
          <w:b/>
          <w:i w:val="0"/>
          <w:color w:val="2FA3D6"/>
          <w:sz w:val="60"/>
        </w:rPr>
        <w:t>04</w:t>
      </w:r>
    </w:p>
    <w:p>
      <w:pPr>
        <w:spacing w:after="200"/>
        <w:pBdr>
          <w:bottom w:val="single" w:sz="10" w:space="6" w:color="08243A"/>
        </w:pBdr>
        <w:outlineLvl w:val="0"/>
      </w:pPr>
      <w:r>
        <w:rPr>
          <w:rFonts w:ascii="Georgia" w:hAnsi="Georgia"/>
          <w:b/>
          <w:i w:val="0"/>
          <w:color w:val="08243A"/>
          <w:sz w:val="42"/>
        </w:rPr>
        <w:t>The Cockpit: Orientation</w:t>
      </w:r>
    </w:p>
    <w:p>
      <w:pPr>
        <w:spacing w:before="240" w:after="80"/>
        <w:outlineLvl w:val="1"/>
      </w:pPr>
      <w:r>
        <w:rPr>
          <w:rFonts w:ascii="Georgia" w:hAnsi="Georgia"/>
          <w:b/>
          <w:i w:val="0"/>
          <w:color w:val="1A5FA0"/>
          <w:sz w:val="28"/>
        </w:rPr>
        <w:t>Layout</w:t>
      </w:r>
    </w:p>
    <w:p>
      <w:pPr>
        <w:spacing w:before="0" w:after="120"/>
      </w:pPr>
      <w:r>
        <w:rPr>
          <w:rFonts w:ascii="Calibri" w:hAnsi="Calibri"/>
          <w:b w:val="0"/>
          <w:i w:val="0"/>
          <w:color w:val="222A30"/>
          <w:sz w:val="21"/>
        </w:rPr>
        <w:t>The cockpit has three constants. The seat sidebar (left) switches between the ten executive lenses. The seat header (top) shows whose cockpit you are in and an ‘as of’ timestamp for the data. The tab bar (below the header) organizes that seat’s content. Selecting a different seat re-addresses the entire cockpit to that leader.</w:t>
      </w:r>
    </w:p>
    <w:p>
      <w:pPr>
        <w:spacing w:before="240" w:after="80"/>
        <w:outlineLvl w:val="1"/>
      </w:pPr>
      <w:r>
        <w:rPr>
          <w:rFonts w:ascii="Georgia" w:hAnsi="Georgia"/>
          <w:b/>
          <w:i w:val="0"/>
          <w:color w:val="1A5FA0"/>
          <w:sz w:val="28"/>
        </w:rPr>
        <w:t>Reading a metric: provenance</w:t>
      </w:r>
    </w:p>
    <w:p>
      <w:pPr>
        <w:spacing w:before="0" w:after="120"/>
      </w:pPr>
      <w:r>
        <w:rPr>
          <w:rFonts w:ascii="Calibri" w:hAnsi="Calibri"/>
          <w:b w:val="0"/>
          <w:i w:val="0"/>
          <w:color w:val="222A30"/>
          <w:sz w:val="21"/>
        </w:rPr>
        <w:t>Every headline number is backed by the provenance engine. Selecting a metric opens its inspection: the inputs that fed it, the calculation applied, and the live signal or onboarding value it derives from. This is what makes Nerion defensible in front of an auditor or a regulator — no figure is a black box.</w:t>
      </w:r>
    </w:p>
    <w:p>
      <w:pPr>
        <w:spacing w:before="200" w:after="60"/>
      </w:pPr>
      <w:r>
        <w:rPr>
          <w:rFonts w:ascii="Calibri" w:hAnsi="Calibri"/>
          <w:b/>
          <w:i w:val="0"/>
          <w:caps/>
          <w:color w:val="2FA3D6"/>
          <w:sz w:val="17"/>
          <w:spacing w:val="20"/>
        </w:rPr>
        <w:t xml:space="preserve">EXHIBIT — </w:t>
      </w:r>
      <w:r>
        <w:rPr>
          <w:rFonts w:ascii="Calibri" w:hAnsi="Calibri"/>
          <w:b/>
          <w:i w:val="0"/>
          <w:caps/>
          <w:color w:val="5B6B76"/>
          <w:sz w:val="17"/>
          <w:spacing w:val="20"/>
        </w:rPr>
        <w:t>The four things every metric tells you</w:t>
      </w:r>
    </w:p>
    <w:tbl>
      <w:tblPr>
        <w:tblW w:type="auto" w:w="0"/>
        <w:jc w:val="center"/>
        <w:tblLayout w:type="autofit"/>
        <w:tblLook w:firstColumn="1" w:firstRow="1" w:lastColumn="0" w:lastRow="0" w:noHBand="0" w:noVBand="1" w:val="04A0"/>
      </w:tblPr>
      <w:tblGrid>
        <w:gridCol w:w="4680"/>
        <w:gridCol w:w="4680"/>
      </w:tblGrid>
      <w:tr>
        <w:tc>
          <w:tcPr>
            <w:tcW w:type="dxa" w:w="2592"/>
            <w:shd w:val="clear" w:color="auto" w:fill="08243A"/>
          </w:tcPr>
          <w:p>
            <w:pPr>
              <w:spacing w:after="40" w:before="40"/>
            </w:pPr>
            <w:r>
              <w:rPr>
                <w:rFonts w:ascii="Calibri" w:hAnsi="Calibri"/>
                <w:b/>
                <w:i w:val="0"/>
                <w:color w:val="FFFFFF"/>
                <w:sz w:val="19"/>
              </w:rPr>
              <w:t>Element</w:t>
            </w:r>
          </w:p>
        </w:tc>
        <w:tc>
          <w:tcPr>
            <w:tcW w:type="dxa" w:w="6768"/>
            <w:shd w:val="clear" w:color="auto" w:fill="08243A"/>
          </w:tcPr>
          <w:p>
            <w:pPr>
              <w:spacing w:after="40" w:before="40"/>
            </w:pPr>
            <w:r>
              <w:rPr>
                <w:rFonts w:ascii="Calibri" w:hAnsi="Calibri"/>
                <w:b/>
                <w:i w:val="0"/>
                <w:color w:val="FFFFFF"/>
                <w:sz w:val="19"/>
              </w:rPr>
              <w:t>Meaning</w:t>
            </w:r>
          </w:p>
        </w:tc>
      </w:tr>
      <w:tr>
        <w:tc>
          <w:tcPr>
            <w:tcW w:type="dxa" w:w="2592"/>
          </w:tcPr>
          <w:p>
            <w:pPr>
              <w:spacing w:after="40" w:before="40"/>
            </w:pPr>
            <w:r>
              <w:rPr>
                <w:rFonts w:ascii="Calibri" w:hAnsi="Calibri"/>
                <w:b/>
                <w:i w:val="0"/>
                <w:color w:val="08243A"/>
                <w:sz w:val="19"/>
              </w:rPr>
              <w:t>Value</w:t>
            </w:r>
          </w:p>
        </w:tc>
        <w:tc>
          <w:tcPr>
            <w:tcW w:type="dxa" w:w="6768"/>
          </w:tcPr>
          <w:p>
            <w:pPr>
              <w:spacing w:after="40" w:before="40"/>
            </w:pPr>
            <w:r>
              <w:rPr>
                <w:rFonts w:ascii="Calibri" w:hAnsi="Calibri"/>
                <w:b w:val="0"/>
                <w:i w:val="0"/>
                <w:color w:val="222A30"/>
                <w:sz w:val="19"/>
              </w:rPr>
              <w:t>The current figure, in your reporting currency where applicable.</w:t>
            </w:r>
          </w:p>
        </w:tc>
      </w:tr>
      <w:tr>
        <w:tc>
          <w:tcPr>
            <w:tcW w:type="dxa" w:w="2592"/>
            <w:shd w:val="clear" w:color="auto" w:fill="E7EEF3"/>
          </w:tcPr>
          <w:p>
            <w:pPr>
              <w:spacing w:after="40" w:before="40"/>
            </w:pPr>
            <w:r>
              <w:rPr>
                <w:rFonts w:ascii="Calibri" w:hAnsi="Calibri"/>
                <w:b/>
                <w:i w:val="0"/>
                <w:color w:val="08243A"/>
                <w:sz w:val="19"/>
              </w:rPr>
              <w:t>Direction</w:t>
            </w:r>
          </w:p>
        </w:tc>
        <w:tc>
          <w:tcPr>
            <w:tcW w:type="dxa" w:w="6768"/>
            <w:shd w:val="clear" w:color="auto" w:fill="E7EEF3"/>
          </w:tcPr>
          <w:p>
            <w:pPr>
              <w:spacing w:after="40" w:before="40"/>
            </w:pPr>
            <w:r>
              <w:rPr>
                <w:rFonts w:ascii="Calibri" w:hAnsi="Calibri"/>
                <w:b w:val="0"/>
                <w:i w:val="0"/>
                <w:color w:val="222A30"/>
                <w:sz w:val="19"/>
              </w:rPr>
              <w:t>Whether it is improving or deteriorating, and over what period.</w:t>
            </w:r>
          </w:p>
        </w:tc>
      </w:tr>
      <w:tr>
        <w:tc>
          <w:tcPr>
            <w:tcW w:type="dxa" w:w="2592"/>
          </w:tcPr>
          <w:p>
            <w:pPr>
              <w:spacing w:after="40" w:before="40"/>
            </w:pPr>
            <w:r>
              <w:rPr>
                <w:rFonts w:ascii="Calibri" w:hAnsi="Calibri"/>
                <w:b/>
                <w:i w:val="0"/>
                <w:color w:val="08243A"/>
                <w:sz w:val="19"/>
              </w:rPr>
              <w:t>Provenance</w:t>
            </w:r>
          </w:p>
        </w:tc>
        <w:tc>
          <w:tcPr>
            <w:tcW w:type="dxa" w:w="6768"/>
          </w:tcPr>
          <w:p>
            <w:pPr>
              <w:spacing w:after="40" w:before="40"/>
            </w:pPr>
            <w:r>
              <w:rPr>
                <w:rFonts w:ascii="Calibri" w:hAnsi="Calibri"/>
                <w:b w:val="0"/>
                <w:i w:val="0"/>
                <w:color w:val="222A30"/>
                <w:sz w:val="19"/>
              </w:rPr>
              <w:t>The inputs, calculation, and source signal behind the value.</w:t>
            </w:r>
          </w:p>
        </w:tc>
      </w:tr>
      <w:tr>
        <w:tc>
          <w:tcPr>
            <w:tcW w:type="dxa" w:w="2592"/>
            <w:shd w:val="clear" w:color="auto" w:fill="E7EEF3"/>
          </w:tcPr>
          <w:p>
            <w:pPr>
              <w:spacing w:after="40" w:before="40"/>
            </w:pPr>
            <w:r>
              <w:rPr>
                <w:rFonts w:ascii="Calibri" w:hAnsi="Calibri"/>
                <w:b/>
                <w:i w:val="0"/>
                <w:color w:val="08243A"/>
                <w:sz w:val="19"/>
              </w:rPr>
              <w:t>Live / illustrative</w:t>
            </w:r>
          </w:p>
        </w:tc>
        <w:tc>
          <w:tcPr>
            <w:tcW w:type="dxa" w:w="6768"/>
            <w:shd w:val="clear" w:color="auto" w:fill="E7EEF3"/>
          </w:tcPr>
          <w:p>
            <w:pPr>
              <w:spacing w:after="40" w:before="40"/>
            </w:pPr>
            <w:r>
              <w:rPr>
                <w:rFonts w:ascii="Calibri" w:hAnsi="Calibri"/>
                <w:b w:val="0"/>
                <w:i w:val="0"/>
                <w:color w:val="222A30"/>
                <w:sz w:val="19"/>
              </w:rPr>
              <w:t>Whether it is grounded in connected data or modelled.</w:t>
            </w:r>
          </w:p>
        </w:tc>
      </w:tr>
    </w:tbl>
    <w:p>
      <w:pPr>
        <w:spacing w:after="40"/>
      </w:pPr>
    </w:p>
    <w:p>
      <w:pPr>
        <w:spacing w:before="240" w:after="80"/>
        <w:outlineLvl w:val="1"/>
      </w:pPr>
      <w:r>
        <w:rPr>
          <w:rFonts w:ascii="Georgia" w:hAnsi="Georgia"/>
          <w:b/>
          <w:i w:val="0"/>
          <w:color w:val="1A5FA0"/>
          <w:sz w:val="28"/>
        </w:rPr>
        <w:t>Decisions</w:t>
      </w:r>
    </w:p>
    <w:p>
      <w:pPr>
        <w:spacing w:before="0" w:after="120"/>
      </w:pPr>
      <w:r>
        <w:rPr>
          <w:rFonts w:ascii="Calibri" w:hAnsi="Calibri"/>
          <w:b w:val="0"/>
          <w:i w:val="0"/>
          <w:color w:val="222A30"/>
          <w:sz w:val="21"/>
        </w:rPr>
        <w:t>A decision is the unit of action in Nerion. When a seat surfaces a choice — accept a risk, fund an initiative, escalate a materiality question — you record the decision with its rationale. It is stamped with your name and the time. Decisions remain editable for a short window (24 hours) and then commit to the permanent record. Committed decisions can be pushed to your ticketing system so execution is tracked where your teams already work (Section 6).</w:t>
      </w:r>
    </w:p>
    <w:p>
      <w:pPr>
        <w:spacing w:before="240" w:after="80"/>
        <w:outlineLvl w:val="1"/>
      </w:pPr>
      <w:r>
        <w:rPr>
          <w:rFonts w:ascii="Georgia" w:hAnsi="Georgia"/>
          <w:b/>
          <w:i w:val="0"/>
          <w:color w:val="1A5FA0"/>
          <w:sz w:val="28"/>
        </w:rPr>
        <w:t>Evidence</w:t>
      </w:r>
    </w:p>
    <w:p>
      <w:pPr>
        <w:spacing w:before="0" w:after="120"/>
      </w:pPr>
      <w:r>
        <w:rPr>
          <w:rFonts w:ascii="Calibri" w:hAnsi="Calibri"/>
          <w:b w:val="0"/>
          <w:i w:val="0"/>
          <w:color w:val="222A30"/>
          <w:sz w:val="21"/>
        </w:rPr>
        <w:t>Where a seat makes a claim about control effectiveness or exposure treated, the underlying evidence is one selection away. Evidence links the business claim back to the control, the signal, and the calculation — closing the loop between what leadership is told and what is actually true in the environment.</w:t>
      </w:r>
    </w:p>
    <w:p>
      <w:r>
        <w:br w:type="page"/>
      </w:r>
    </w:p>
    <w:p>
      <w:pPr>
        <w:spacing w:before="40" w:after="40"/>
      </w:pPr>
      <w:r>
        <w:rPr>
          <w:rFonts w:ascii="Georgia" w:hAnsi="Georgia"/>
          <w:b/>
          <w:i w:val="0"/>
          <w:color w:val="2FA3D6"/>
          <w:sz w:val="60"/>
        </w:rPr>
        <w:t>05</w:t>
      </w:r>
    </w:p>
    <w:p>
      <w:pPr>
        <w:spacing w:after="200"/>
        <w:pBdr>
          <w:bottom w:val="single" w:sz="10" w:space="6" w:color="08243A"/>
        </w:pBdr>
        <w:outlineLvl w:val="0"/>
      </w:pPr>
      <w:r>
        <w:rPr>
          <w:rFonts w:ascii="Georgia" w:hAnsi="Georgia"/>
          <w:b/>
          <w:i w:val="0"/>
          <w:color w:val="08243A"/>
          <w:sz w:val="42"/>
        </w:rPr>
        <w:t>Seat-by-Seat Reference</w:t>
      </w:r>
    </w:p>
    <w:p>
      <w:pPr>
        <w:spacing w:before="0" w:after="120"/>
      </w:pPr>
      <w:r>
        <w:rPr>
          <w:rFonts w:ascii="Calibri" w:hAnsi="Calibri"/>
          <w:b w:val="0"/>
          <w:i w:val="0"/>
          <w:color w:val="222A30"/>
          <w:sz w:val="21"/>
        </w:rPr>
        <w:t>Each seat below lists what it answers and the panels you will use most. All ten draw from the same onboarding description and live signals; they differ in lens, not in underlying data.</w:t>
      </w:r>
    </w:p>
    <w:p>
      <w:pPr>
        <w:spacing w:before="240" w:after="80"/>
        <w:outlineLvl w:val="1"/>
      </w:pPr>
      <w:r>
        <w:rPr>
          <w:rFonts w:ascii="Georgia" w:hAnsi="Georgia"/>
          <w:b/>
          <w:i w:val="0"/>
          <w:color w:val="1A5FA0"/>
          <w:sz w:val="28"/>
        </w:rPr>
        <w:t>CEO — Chief Executive</w:t>
      </w:r>
    </w:p>
    <w:p>
      <w:pPr>
        <w:pStyle w:val="ListBullet"/>
        <w:spacing w:after="60"/>
        <w:ind w:left="432"/>
      </w:pPr>
      <w:r>
        <w:rPr>
          <w:rFonts w:ascii="Calibri" w:hAnsi="Calibri"/>
          <w:b/>
          <w:i w:val="0"/>
          <w:color w:val="08243A"/>
          <w:sz w:val="21"/>
        </w:rPr>
        <w:t xml:space="preserve">Business health:  </w:t>
      </w:r>
      <w:r>
        <w:rPr>
          <w:rFonts w:ascii="Calibri" w:hAnsi="Calibri"/>
          <w:b w:val="0"/>
          <w:i w:val="0"/>
          <w:color w:val="222A30"/>
          <w:sz w:val="21"/>
        </w:rPr>
        <w:t>business health measured against your strategic objectives.</w:t>
      </w:r>
    </w:p>
    <w:p>
      <w:pPr>
        <w:pStyle w:val="ListBullet"/>
        <w:spacing w:after="60"/>
        <w:ind w:left="432"/>
      </w:pPr>
      <w:r>
        <w:rPr>
          <w:rFonts w:ascii="Calibri" w:hAnsi="Calibri"/>
          <w:b/>
          <w:i w:val="0"/>
          <w:color w:val="08243A"/>
          <w:sz w:val="21"/>
        </w:rPr>
        <w:t xml:space="preserve">Governance &amp; oversight:  </w:t>
      </w:r>
      <w:r>
        <w:rPr>
          <w:rFonts w:ascii="Calibri" w:hAnsi="Calibri"/>
          <w:b w:val="0"/>
          <w:i w:val="0"/>
          <w:color w:val="222A30"/>
          <w:sz w:val="21"/>
        </w:rPr>
        <w:t>governance cadence and SEC Item 106 / 10-K disclosure readiness.</w:t>
      </w:r>
    </w:p>
    <w:p>
      <w:pPr>
        <w:pStyle w:val="ListBullet"/>
        <w:spacing w:after="60"/>
        <w:ind w:left="432"/>
      </w:pPr>
      <w:r>
        <w:rPr>
          <w:rFonts w:ascii="Calibri" w:hAnsi="Calibri"/>
          <w:b/>
          <w:i w:val="0"/>
          <w:color w:val="08243A"/>
          <w:sz w:val="21"/>
        </w:rPr>
        <w:t xml:space="preserve">Third-party concentration:  </w:t>
      </w:r>
      <w:r>
        <w:rPr>
          <w:rFonts w:ascii="Calibri" w:hAnsi="Calibri"/>
          <w:b w:val="0"/>
          <w:i w:val="0"/>
          <w:color w:val="222A30"/>
          <w:sz w:val="21"/>
        </w:rPr>
        <w:t>concentration and named stress scenarios across tier-1 vendors.</w:t>
      </w:r>
    </w:p>
    <w:p>
      <w:pPr>
        <w:pStyle w:val="ListBullet"/>
        <w:spacing w:after="60"/>
        <w:ind w:left="432"/>
      </w:pPr>
      <w:r>
        <w:rPr>
          <w:rFonts w:ascii="Calibri" w:hAnsi="Calibri"/>
          <w:b/>
          <w:i w:val="0"/>
          <w:color w:val="08243A"/>
          <w:sz w:val="21"/>
        </w:rPr>
        <w:t xml:space="preserve">Incident &amp; recovery:  </w:t>
      </w:r>
      <w:r>
        <w:rPr>
          <w:rFonts w:ascii="Calibri" w:hAnsi="Calibri"/>
          <w:b w:val="0"/>
          <w:i w:val="0"/>
          <w:color w:val="222A30"/>
          <w:sz w:val="21"/>
        </w:rPr>
        <w:t>recovery readiness and a named enterprise stress scenario.</w:t>
      </w:r>
    </w:p>
    <w:p>
      <w:pPr>
        <w:pStyle w:val="ListBullet"/>
        <w:spacing w:after="60"/>
        <w:ind w:left="432"/>
      </w:pPr>
      <w:r>
        <w:rPr>
          <w:rFonts w:ascii="Calibri" w:hAnsi="Calibri"/>
          <w:b/>
          <w:i w:val="0"/>
          <w:color w:val="08243A"/>
          <w:sz w:val="21"/>
        </w:rPr>
        <w:t xml:space="preserve">Peer benchmark:  </w:t>
      </w:r>
      <w:r>
        <w:rPr>
          <w:rFonts w:ascii="Calibri" w:hAnsi="Calibri"/>
          <w:b w:val="0"/>
          <w:i w:val="0"/>
          <w:color w:val="222A30"/>
          <w:sz w:val="21"/>
        </w:rPr>
        <w:t>posture versus published peer medians for your industry.</w:t>
      </w:r>
    </w:p>
    <w:p>
      <w:pPr>
        <w:spacing w:before="240" w:after="80"/>
        <w:outlineLvl w:val="1"/>
      </w:pPr>
      <w:r>
        <w:rPr>
          <w:rFonts w:ascii="Georgia" w:hAnsi="Georgia"/>
          <w:b/>
          <w:i w:val="0"/>
          <w:color w:val="1A5FA0"/>
          <w:sz w:val="28"/>
        </w:rPr>
        <w:t>CISO — Security</w:t>
      </w:r>
    </w:p>
    <w:p>
      <w:pPr>
        <w:spacing w:before="0" w:after="120"/>
      </w:pPr>
      <w:r>
        <w:rPr>
          <w:rFonts w:ascii="Calibri" w:hAnsi="Calibri"/>
          <w:b w:val="0"/>
          <w:i w:val="0"/>
          <w:color w:val="222A30"/>
          <w:sz w:val="21"/>
        </w:rPr>
        <w:t>The CISO seat is organized into six tabs, the deepest in the platform:</w:t>
      </w:r>
    </w:p>
    <w:p>
      <w:pPr>
        <w:spacing w:before="200" w:after="60"/>
      </w:pPr>
      <w:r>
        <w:rPr>
          <w:rFonts w:ascii="Calibri" w:hAnsi="Calibri"/>
          <w:b/>
          <w:i w:val="0"/>
          <w:caps/>
          <w:color w:val="2FA3D6"/>
          <w:sz w:val="17"/>
          <w:spacing w:val="20"/>
        </w:rPr>
        <w:t xml:space="preserve">EXHIBIT — </w:t>
      </w:r>
      <w:r>
        <w:rPr>
          <w:rFonts w:ascii="Calibri" w:hAnsi="Calibri"/>
          <w:b/>
          <w:i w:val="0"/>
          <w:caps/>
          <w:color w:val="5B6B76"/>
          <w:sz w:val="17"/>
          <w:spacing w:val="20"/>
        </w:rPr>
        <w:t>CISO tabs</w:t>
      </w:r>
    </w:p>
    <w:tbl>
      <w:tblPr>
        <w:tblW w:type="auto" w:w="0"/>
        <w:jc w:val="center"/>
        <w:tblLayout w:type="autofit"/>
        <w:tblLook w:firstColumn="1" w:firstRow="1" w:lastColumn="0" w:lastRow="0" w:noHBand="0" w:noVBand="1" w:val="04A0"/>
      </w:tblPr>
      <w:tblGrid>
        <w:gridCol w:w="4680"/>
        <w:gridCol w:w="4680"/>
      </w:tblGrid>
      <w:tr>
        <w:tc>
          <w:tcPr>
            <w:tcW w:type="dxa" w:w="2304"/>
            <w:shd w:val="clear" w:color="auto" w:fill="08243A"/>
          </w:tcPr>
          <w:p>
            <w:pPr>
              <w:spacing w:after="40" w:before="40"/>
            </w:pPr>
            <w:r>
              <w:rPr>
                <w:rFonts w:ascii="Calibri" w:hAnsi="Calibri"/>
                <w:b/>
                <w:i w:val="0"/>
                <w:color w:val="FFFFFF"/>
                <w:sz w:val="19"/>
              </w:rPr>
              <w:t>Tab</w:t>
            </w:r>
          </w:p>
        </w:tc>
        <w:tc>
          <w:tcPr>
            <w:tcW w:type="dxa" w:w="7056"/>
            <w:shd w:val="clear" w:color="auto" w:fill="08243A"/>
          </w:tcPr>
          <w:p>
            <w:pPr>
              <w:spacing w:after="40" w:before="40"/>
            </w:pPr>
            <w:r>
              <w:rPr>
                <w:rFonts w:ascii="Calibri" w:hAnsi="Calibri"/>
                <w:b/>
                <w:i w:val="0"/>
                <w:color w:val="FFFFFF"/>
                <w:sz w:val="19"/>
              </w:rPr>
              <w:t>What it covers</w:t>
            </w:r>
          </w:p>
        </w:tc>
      </w:tr>
      <w:tr>
        <w:tc>
          <w:tcPr>
            <w:tcW w:type="dxa" w:w="2304"/>
          </w:tcPr>
          <w:p>
            <w:pPr>
              <w:spacing w:after="40" w:before="40"/>
            </w:pPr>
            <w:r>
              <w:rPr>
                <w:rFonts w:ascii="Calibri" w:hAnsi="Calibri"/>
                <w:b/>
                <w:i w:val="0"/>
                <w:color w:val="08243A"/>
                <w:sz w:val="19"/>
              </w:rPr>
              <w:t>Program Health</w:t>
            </w:r>
          </w:p>
        </w:tc>
        <w:tc>
          <w:tcPr>
            <w:tcW w:type="dxa" w:w="7056"/>
          </w:tcPr>
          <w:p>
            <w:pPr>
              <w:spacing w:after="40" w:before="40"/>
            </w:pPr>
            <w:r>
              <w:rPr>
                <w:rFonts w:ascii="Calibri" w:hAnsi="Calibri"/>
                <w:b w:val="0"/>
                <w:i w:val="0"/>
                <w:color w:val="222A30"/>
                <w:sz w:val="19"/>
              </w:rPr>
              <w:t>Direction of the program, capability coverage, and active-compromise status.</w:t>
            </w:r>
          </w:p>
        </w:tc>
      </w:tr>
      <w:tr>
        <w:tc>
          <w:tcPr>
            <w:tcW w:type="dxa" w:w="2304"/>
            <w:shd w:val="clear" w:color="auto" w:fill="E7EEF3"/>
          </w:tcPr>
          <w:p>
            <w:pPr>
              <w:spacing w:after="40" w:before="40"/>
            </w:pPr>
            <w:r>
              <w:rPr>
                <w:rFonts w:ascii="Calibri" w:hAnsi="Calibri"/>
                <w:b/>
                <w:i w:val="0"/>
                <w:color w:val="08243A"/>
                <w:sz w:val="19"/>
              </w:rPr>
              <w:t>Threats</w:t>
            </w:r>
          </w:p>
        </w:tc>
        <w:tc>
          <w:tcPr>
            <w:tcW w:type="dxa" w:w="7056"/>
            <w:shd w:val="clear" w:color="auto" w:fill="E7EEF3"/>
          </w:tcPr>
          <w:p>
            <w:pPr>
              <w:spacing w:after="40" w:before="40"/>
            </w:pPr>
            <w:r>
              <w:rPr>
                <w:rFonts w:ascii="Calibri" w:hAnsi="Calibri"/>
                <w:b w:val="0"/>
                <w:i w:val="0"/>
                <w:color w:val="222A30"/>
                <w:sz w:val="19"/>
              </w:rPr>
              <w:t>Live threat status and coverage drawn from connected SIEM/EDR signals.</w:t>
            </w:r>
          </w:p>
        </w:tc>
      </w:tr>
      <w:tr>
        <w:tc>
          <w:tcPr>
            <w:tcW w:type="dxa" w:w="2304"/>
          </w:tcPr>
          <w:p>
            <w:pPr>
              <w:spacing w:after="40" w:before="40"/>
            </w:pPr>
            <w:r>
              <w:rPr>
                <w:rFonts w:ascii="Calibri" w:hAnsi="Calibri"/>
                <w:b/>
                <w:i w:val="0"/>
                <w:color w:val="08243A"/>
                <w:sz w:val="19"/>
              </w:rPr>
              <w:t>My Decisions</w:t>
            </w:r>
          </w:p>
        </w:tc>
        <w:tc>
          <w:tcPr>
            <w:tcW w:type="dxa" w:w="7056"/>
          </w:tcPr>
          <w:p>
            <w:pPr>
              <w:spacing w:after="40" w:before="40"/>
            </w:pPr>
            <w:r>
              <w:rPr>
                <w:rFonts w:ascii="Calibri" w:hAnsi="Calibri"/>
                <w:b w:val="0"/>
                <w:i w:val="0"/>
                <w:color w:val="222A30"/>
                <w:sz w:val="19"/>
              </w:rPr>
              <w:t>The CISO’s recorded decisions, editable within 24h then committed.</w:t>
            </w:r>
          </w:p>
        </w:tc>
      </w:tr>
      <w:tr>
        <w:tc>
          <w:tcPr>
            <w:tcW w:type="dxa" w:w="2304"/>
            <w:shd w:val="clear" w:color="auto" w:fill="E7EEF3"/>
          </w:tcPr>
          <w:p>
            <w:pPr>
              <w:spacing w:after="40" w:before="40"/>
            </w:pPr>
            <w:r>
              <w:rPr>
                <w:rFonts w:ascii="Calibri" w:hAnsi="Calibri"/>
                <w:b/>
                <w:i w:val="0"/>
                <w:color w:val="08243A"/>
                <w:sz w:val="19"/>
              </w:rPr>
              <w:t>AI Risk</w:t>
            </w:r>
          </w:p>
        </w:tc>
        <w:tc>
          <w:tcPr>
            <w:tcW w:type="dxa" w:w="7056"/>
            <w:shd w:val="clear" w:color="auto" w:fill="E7EEF3"/>
          </w:tcPr>
          <w:p>
            <w:pPr>
              <w:spacing w:after="40" w:before="40"/>
            </w:pPr>
            <w:r>
              <w:rPr>
                <w:rFonts w:ascii="Calibri" w:hAnsi="Calibri"/>
                <w:b w:val="0"/>
                <w:i w:val="0"/>
                <w:color w:val="222A30"/>
                <w:sz w:val="19"/>
              </w:rPr>
              <w:t>The AI you run and the AI you use to defend — with continuous framework audit.</w:t>
            </w:r>
          </w:p>
        </w:tc>
      </w:tr>
      <w:tr>
        <w:tc>
          <w:tcPr>
            <w:tcW w:type="dxa" w:w="2304"/>
          </w:tcPr>
          <w:p>
            <w:pPr>
              <w:spacing w:after="40" w:before="40"/>
            </w:pPr>
            <w:r>
              <w:rPr>
                <w:rFonts w:ascii="Calibri" w:hAnsi="Calibri"/>
                <w:b/>
                <w:i w:val="0"/>
                <w:color w:val="08243A"/>
                <w:sz w:val="19"/>
              </w:rPr>
              <w:t>Third-party</w:t>
            </w:r>
          </w:p>
        </w:tc>
        <w:tc>
          <w:tcPr>
            <w:tcW w:type="dxa" w:w="7056"/>
          </w:tcPr>
          <w:p>
            <w:pPr>
              <w:spacing w:after="40" w:before="40"/>
            </w:pPr>
            <w:r>
              <w:rPr>
                <w:rFonts w:ascii="Calibri" w:hAnsi="Calibri"/>
                <w:b w:val="0"/>
                <w:i w:val="0"/>
                <w:color w:val="222A30"/>
                <w:sz w:val="19"/>
              </w:rPr>
              <w:t>Top vendor exposures with live scores on one scale.</w:t>
            </w:r>
          </w:p>
        </w:tc>
      </w:tr>
      <w:tr>
        <w:tc>
          <w:tcPr>
            <w:tcW w:type="dxa" w:w="2304"/>
            <w:shd w:val="clear" w:color="auto" w:fill="E7EEF3"/>
          </w:tcPr>
          <w:p>
            <w:pPr>
              <w:spacing w:after="40" w:before="40"/>
            </w:pPr>
            <w:r>
              <w:rPr>
                <w:rFonts w:ascii="Calibri" w:hAnsi="Calibri"/>
                <w:b/>
                <w:i w:val="0"/>
                <w:color w:val="08243A"/>
                <w:sz w:val="19"/>
              </w:rPr>
              <w:t>Frameworks</w:t>
            </w:r>
          </w:p>
        </w:tc>
        <w:tc>
          <w:tcPr>
            <w:tcW w:type="dxa" w:w="7056"/>
            <w:shd w:val="clear" w:color="auto" w:fill="E7EEF3"/>
          </w:tcPr>
          <w:p>
            <w:pPr>
              <w:spacing w:after="40" w:before="40"/>
            </w:pPr>
            <w:r>
              <w:rPr>
                <w:rFonts w:ascii="Calibri" w:hAnsi="Calibri"/>
                <w:b w:val="0"/>
                <w:i w:val="0"/>
                <w:color w:val="222A30"/>
                <w:sz w:val="19"/>
              </w:rPr>
              <w:t>Control assessment across NIST CSF, 800-53, SOC 2, HIPAA, CIS — with drill-down.</w:t>
            </w:r>
          </w:p>
        </w:tc>
      </w:tr>
    </w:tbl>
    <w:p>
      <w:pPr>
        <w:spacing w:after="40"/>
      </w:pPr>
    </w:p>
    <w:p>
      <w:pPr>
        <w:spacing w:before="0" w:after="120"/>
      </w:pPr>
      <w:r>
        <w:rPr>
          <w:rFonts w:ascii="Calibri" w:hAnsi="Calibri"/>
          <w:b w:val="0"/>
          <w:i w:val="0"/>
          <w:color w:val="222A30"/>
          <w:sz w:val="21"/>
        </w:rPr>
        <w:t>The Frameworks tab presents a left-detail / right-tree layout: select any control group to expand its items, see the assessed maturity (CMMI) derived from telemetry, and inspect the crosswalk to the underlying CSF functions. It supports an auditor-style drill and PDF export.</w:t>
      </w:r>
    </w:p>
    <w:p>
      <w:pPr>
        <w:spacing w:before="240" w:after="80"/>
        <w:outlineLvl w:val="1"/>
      </w:pPr>
      <w:r>
        <w:rPr>
          <w:rFonts w:ascii="Georgia" w:hAnsi="Georgia"/>
          <w:b/>
          <w:i w:val="0"/>
          <w:color w:val="1A5FA0"/>
          <w:sz w:val="28"/>
        </w:rPr>
        <w:t>CFO — Finance</w:t>
      </w:r>
    </w:p>
    <w:p>
      <w:pPr>
        <w:pStyle w:val="ListBullet"/>
        <w:spacing w:after="60"/>
        <w:ind w:left="432"/>
      </w:pPr>
      <w:r>
        <w:rPr>
          <w:rFonts w:ascii="Calibri" w:hAnsi="Calibri"/>
          <w:b/>
          <w:i w:val="0"/>
          <w:color w:val="08243A"/>
          <w:sz w:val="21"/>
        </w:rPr>
        <w:t xml:space="preserve">Exposure:  </w:t>
      </w:r>
      <w:r>
        <w:rPr>
          <w:rFonts w:ascii="Calibri" w:hAnsi="Calibri"/>
          <w:b w:val="0"/>
          <w:i w:val="0"/>
          <w:color w:val="222A30"/>
          <w:sz w:val="21"/>
        </w:rPr>
        <w:t>total dollar exposure and its concentration.</w:t>
      </w:r>
    </w:p>
    <w:p>
      <w:pPr>
        <w:pStyle w:val="ListBullet"/>
        <w:spacing w:after="60"/>
        <w:ind w:left="432"/>
      </w:pPr>
      <w:r>
        <w:rPr>
          <w:rFonts w:ascii="Calibri" w:hAnsi="Calibri"/>
          <w:b/>
          <w:i w:val="0"/>
          <w:color w:val="08243A"/>
          <w:sz w:val="21"/>
        </w:rPr>
        <w:t xml:space="preserve">Financial posture:  </w:t>
      </w:r>
      <w:r>
        <w:rPr>
          <w:rFonts w:ascii="Calibri" w:hAnsi="Calibri"/>
          <w:b w:val="0"/>
          <w:i w:val="0"/>
          <w:color w:val="222A30"/>
          <w:sz w:val="21"/>
        </w:rPr>
        <w:t>modelled tail loss, business-interruption, and the insurance-coverage gap.</w:t>
      </w:r>
    </w:p>
    <w:p>
      <w:pPr>
        <w:pStyle w:val="ListBullet"/>
        <w:spacing w:after="60"/>
        <w:ind w:left="432"/>
      </w:pPr>
      <w:r>
        <w:rPr>
          <w:rFonts w:ascii="Calibri" w:hAnsi="Calibri"/>
          <w:b/>
          <w:i w:val="0"/>
          <w:color w:val="08243A"/>
          <w:sz w:val="21"/>
        </w:rPr>
        <w:t xml:space="preserve">ROI:  </w:t>
      </w:r>
      <w:r>
        <w:rPr>
          <w:rFonts w:ascii="Calibri" w:hAnsi="Calibri"/>
          <w:b w:val="0"/>
          <w:i w:val="0"/>
          <w:color w:val="222A30"/>
          <w:sz w:val="21"/>
        </w:rPr>
        <w:t>blended return on security initiatives, derived from posture trend and decision cost/exposure.</w:t>
      </w:r>
    </w:p>
    <w:p>
      <w:pPr>
        <w:pStyle w:val="ListBullet"/>
        <w:spacing w:after="60"/>
        <w:ind w:left="432"/>
      </w:pPr>
      <w:r>
        <w:rPr>
          <w:rFonts w:ascii="Calibri" w:hAnsi="Calibri"/>
          <w:b/>
          <w:i w:val="0"/>
          <w:color w:val="08243A"/>
          <w:sz w:val="21"/>
        </w:rPr>
        <w:t xml:space="preserve">Fraud &amp; controls:  </w:t>
      </w:r>
      <w:r>
        <w:rPr>
          <w:rFonts w:ascii="Calibri" w:hAnsi="Calibri"/>
          <w:b w:val="0"/>
          <w:i w:val="0"/>
          <w:color w:val="222A30"/>
          <w:sz w:val="21"/>
        </w:rPr>
        <w:t>SOX ITGC and payment-anomaly signals where connected.</w:t>
      </w:r>
    </w:p>
    <w:p>
      <w:pPr>
        <w:spacing w:before="240" w:after="80"/>
        <w:outlineLvl w:val="1"/>
      </w:pPr>
      <w:r>
        <w:rPr>
          <w:rFonts w:ascii="Georgia" w:hAnsi="Georgia"/>
          <w:b/>
          <w:i w:val="0"/>
          <w:color w:val="1A5FA0"/>
          <w:sz w:val="28"/>
        </w:rPr>
        <w:t>CRO — Chief Risk</w:t>
      </w:r>
    </w:p>
    <w:p>
      <w:pPr>
        <w:spacing w:before="0" w:after="120"/>
      </w:pPr>
      <w:r>
        <w:rPr>
          <w:rFonts w:ascii="Calibri" w:hAnsi="Calibri"/>
          <w:b w:val="0"/>
          <w:i w:val="0"/>
          <w:color w:val="222A30"/>
          <w:sz w:val="21"/>
        </w:rPr>
        <w:t>Places cyber on one comparable scale beside your other principal risks (credit/market, operational, compliance, third-party), with a KRI board and mitigation tracking. This is the view a risk committee uses to weigh cyber against everything else on the enterprise risk register.</w:t>
      </w:r>
    </w:p>
    <w:p>
      <w:pPr>
        <w:spacing w:before="240" w:after="80"/>
        <w:outlineLvl w:val="1"/>
      </w:pPr>
      <w:r>
        <w:rPr>
          <w:rFonts w:ascii="Georgia" w:hAnsi="Georgia"/>
          <w:b/>
          <w:i w:val="0"/>
          <w:color w:val="1A5FA0"/>
          <w:sz w:val="28"/>
        </w:rPr>
        <w:t>CTO — Technology</w:t>
      </w:r>
    </w:p>
    <w:p>
      <w:pPr>
        <w:pStyle w:val="ListBullet"/>
        <w:spacing w:after="60"/>
        <w:ind w:left="432"/>
      </w:pPr>
      <w:r>
        <w:rPr>
          <w:rFonts w:ascii="Calibri" w:hAnsi="Calibri"/>
          <w:b/>
          <w:i w:val="0"/>
          <w:color w:val="08243A"/>
          <w:sz w:val="21"/>
        </w:rPr>
        <w:t xml:space="preserve">Critical systems:  </w:t>
      </w:r>
      <w:r>
        <w:rPr>
          <w:rFonts w:ascii="Calibri" w:hAnsi="Calibri"/>
          <w:b w:val="0"/>
          <w:i w:val="0"/>
          <w:color w:val="222A30"/>
          <w:sz w:val="21"/>
        </w:rPr>
        <w:t>which systems carry the business, from your live crown-jewel data.</w:t>
      </w:r>
    </w:p>
    <w:p>
      <w:pPr>
        <w:pStyle w:val="ListBullet"/>
        <w:spacing w:after="60"/>
        <w:ind w:left="432"/>
      </w:pPr>
      <w:r>
        <w:rPr>
          <w:rFonts w:ascii="Calibri" w:hAnsi="Calibri"/>
          <w:b/>
          <w:i w:val="0"/>
          <w:color w:val="08243A"/>
          <w:sz w:val="21"/>
        </w:rPr>
        <w:t xml:space="preserve">App-sec health:  </w:t>
      </w:r>
      <w:r>
        <w:rPr>
          <w:rFonts w:ascii="Calibri" w:hAnsi="Calibri"/>
          <w:b w:val="0"/>
          <w:i w:val="0"/>
          <w:color w:val="222A30"/>
          <w:sz w:val="21"/>
        </w:rPr>
        <w:t>application-security posture, critical vulnerabilities, and technical debt.</w:t>
      </w:r>
    </w:p>
    <w:p>
      <w:pPr>
        <w:pStyle w:val="ListBullet"/>
        <w:spacing w:after="60"/>
        <w:ind w:left="432"/>
      </w:pPr>
      <w:r>
        <w:rPr>
          <w:rFonts w:ascii="Calibri" w:hAnsi="Calibri"/>
          <w:b/>
          <w:i w:val="0"/>
          <w:color w:val="08243A"/>
          <w:sz w:val="21"/>
        </w:rPr>
        <w:t xml:space="preserve">AI systems:  </w:t>
      </w:r>
      <w:r>
        <w:rPr>
          <w:rFonts w:ascii="Calibri" w:hAnsi="Calibri"/>
          <w:b w:val="0"/>
          <w:i w:val="0"/>
          <w:color w:val="222A30"/>
          <w:sz w:val="21"/>
        </w:rPr>
        <w:t>AI inventory and how much of it is governed.</w:t>
      </w:r>
    </w:p>
    <w:p>
      <w:pPr>
        <w:spacing w:before="240" w:after="80"/>
        <w:outlineLvl w:val="1"/>
      </w:pPr>
      <w:r>
        <w:rPr>
          <w:rFonts w:ascii="Georgia" w:hAnsi="Georgia"/>
          <w:b/>
          <w:i w:val="0"/>
          <w:color w:val="1A5FA0"/>
          <w:sz w:val="28"/>
        </w:rPr>
        <w:t>CLO — General Counsel</w:t>
      </w:r>
    </w:p>
    <w:p>
      <w:pPr>
        <w:pStyle w:val="ListBullet"/>
        <w:spacing w:after="60"/>
        <w:ind w:left="432"/>
      </w:pPr>
      <w:r>
        <w:rPr>
          <w:rFonts w:ascii="Calibri" w:hAnsi="Calibri"/>
          <w:b/>
          <w:i w:val="0"/>
          <w:color w:val="08243A"/>
          <w:sz w:val="21"/>
        </w:rPr>
        <w:t xml:space="preserve">Materiality:  </w:t>
      </w:r>
      <w:r>
        <w:rPr>
          <w:rFonts w:ascii="Calibri" w:hAnsi="Calibri"/>
          <w:b w:val="0"/>
          <w:i w:val="0"/>
          <w:color w:val="222A30"/>
          <w:sz w:val="21"/>
        </w:rPr>
        <w:t>a timed, evidenced determination workbench with a countdown.</w:t>
      </w:r>
    </w:p>
    <w:p>
      <w:pPr>
        <w:pStyle w:val="ListBullet"/>
        <w:spacing w:after="60"/>
        <w:ind w:left="432"/>
      </w:pPr>
      <w:r>
        <w:rPr>
          <w:rFonts w:ascii="Calibri" w:hAnsi="Calibri"/>
          <w:b/>
          <w:i w:val="0"/>
          <w:color w:val="08243A"/>
          <w:sz w:val="21"/>
        </w:rPr>
        <w:t xml:space="preserve">Privacy:  </w:t>
      </w:r>
      <w:r>
        <w:rPr>
          <w:rFonts w:ascii="Calibri" w:hAnsi="Calibri"/>
          <w:b w:val="0"/>
          <w:i w:val="0"/>
          <w:color w:val="222A30"/>
          <w:sz w:val="21"/>
        </w:rPr>
        <w:t>open and overdue DSARs, records of processing, and access to personal data.</w:t>
      </w:r>
    </w:p>
    <w:p>
      <w:pPr>
        <w:pStyle w:val="ListBullet"/>
        <w:spacing w:after="60"/>
        <w:ind w:left="432"/>
      </w:pPr>
      <w:r>
        <w:rPr>
          <w:rFonts w:ascii="Calibri" w:hAnsi="Calibri"/>
          <w:b/>
          <w:i w:val="0"/>
          <w:color w:val="08243A"/>
          <w:sz w:val="21"/>
        </w:rPr>
        <w:t xml:space="preserve">Litigation &amp; IP:  </w:t>
      </w:r>
      <w:r>
        <w:rPr>
          <w:rFonts w:ascii="Calibri" w:hAnsi="Calibri"/>
          <w:b w:val="0"/>
          <w:i w:val="0"/>
          <w:color w:val="222A30"/>
          <w:sz w:val="21"/>
        </w:rPr>
        <w:t>active litigation holds and IP exposure.</w:t>
      </w:r>
    </w:p>
    <w:p>
      <w:pPr>
        <w:pStyle w:val="ListBullet"/>
        <w:spacing w:after="60"/>
        <w:ind w:left="432"/>
      </w:pPr>
      <w:r>
        <w:rPr>
          <w:rFonts w:ascii="Calibri" w:hAnsi="Calibri"/>
          <w:b/>
          <w:i w:val="0"/>
          <w:color w:val="08243A"/>
          <w:sz w:val="21"/>
        </w:rPr>
        <w:t xml:space="preserve">Obligations:  </w:t>
      </w:r>
      <w:r>
        <w:rPr>
          <w:rFonts w:ascii="Calibri" w:hAnsi="Calibri"/>
          <w:b w:val="0"/>
          <w:i w:val="0"/>
          <w:color w:val="222A30"/>
          <w:sz w:val="21"/>
        </w:rPr>
        <w:t>regulatory obligations by jurisdiction, with notification clocks.</w:t>
      </w:r>
    </w:p>
    <w:p>
      <w:pPr>
        <w:spacing w:before="240" w:after="80"/>
        <w:outlineLvl w:val="1"/>
      </w:pPr>
      <w:r>
        <w:rPr>
          <w:rFonts w:ascii="Georgia" w:hAnsi="Georgia"/>
          <w:b/>
          <w:i w:val="0"/>
          <w:color w:val="1A5FA0"/>
          <w:sz w:val="28"/>
        </w:rPr>
        <w:t>COO — Operations</w:t>
      </w:r>
    </w:p>
    <w:p>
      <w:pPr>
        <w:pStyle w:val="ListBullet"/>
        <w:spacing w:after="60"/>
        <w:ind w:left="432"/>
      </w:pPr>
      <w:r>
        <w:rPr>
          <w:rFonts w:ascii="Calibri" w:hAnsi="Calibri"/>
          <w:b/>
          <w:i w:val="0"/>
          <w:color w:val="08243A"/>
          <w:sz w:val="21"/>
        </w:rPr>
        <w:t xml:space="preserve">Continuity:  </w:t>
      </w:r>
      <w:r>
        <w:rPr>
          <w:rFonts w:ascii="Calibri" w:hAnsi="Calibri"/>
          <w:b w:val="0"/>
          <w:i w:val="0"/>
          <w:color w:val="222A30"/>
          <w:sz w:val="21"/>
        </w:rPr>
        <w:t>business-continuity coverage and process resilience.</w:t>
      </w:r>
    </w:p>
    <w:p>
      <w:pPr>
        <w:pStyle w:val="ListBullet"/>
        <w:spacing w:after="60"/>
        <w:ind w:left="432"/>
      </w:pPr>
      <w:r>
        <w:rPr>
          <w:rFonts w:ascii="Calibri" w:hAnsi="Calibri"/>
          <w:b/>
          <w:i w:val="0"/>
          <w:color w:val="08243A"/>
          <w:sz w:val="21"/>
        </w:rPr>
        <w:t xml:space="preserve">Recovery:  </w:t>
      </w:r>
      <w:r>
        <w:rPr>
          <w:rFonts w:ascii="Calibri" w:hAnsi="Calibri"/>
          <w:b w:val="0"/>
          <w:i w:val="0"/>
          <w:color w:val="222A30"/>
          <w:sz w:val="21"/>
        </w:rPr>
        <w:t>recovery-time and recovery-point objectives (RTO/RPO) versus target.</w:t>
      </w:r>
    </w:p>
    <w:p>
      <w:pPr>
        <w:pStyle w:val="ListBullet"/>
        <w:spacing w:after="60"/>
        <w:ind w:left="432"/>
      </w:pPr>
      <w:r>
        <w:rPr>
          <w:rFonts w:ascii="Calibri" w:hAnsi="Calibri"/>
          <w:b/>
          <w:i w:val="0"/>
          <w:color w:val="08243A"/>
          <w:sz w:val="21"/>
        </w:rPr>
        <w:t xml:space="preserve">Backups:  </w:t>
      </w:r>
      <w:r>
        <w:rPr>
          <w:rFonts w:ascii="Calibri" w:hAnsi="Calibri"/>
          <w:b w:val="0"/>
          <w:i w:val="0"/>
          <w:color w:val="222A30"/>
          <w:sz w:val="21"/>
        </w:rPr>
        <w:t>backup immutability and identity-recovery readiness.</w:t>
      </w:r>
    </w:p>
    <w:p>
      <w:pPr>
        <w:spacing w:before="240" w:after="80"/>
        <w:outlineLvl w:val="1"/>
      </w:pPr>
      <w:r>
        <w:rPr>
          <w:rFonts w:ascii="Georgia" w:hAnsi="Georgia"/>
          <w:b/>
          <w:i w:val="0"/>
          <w:color w:val="1A5FA0"/>
          <w:sz w:val="28"/>
        </w:rPr>
        <w:t>CPO — Product</w:t>
      </w:r>
    </w:p>
    <w:p>
      <w:pPr>
        <w:pStyle w:val="ListBullet"/>
        <w:spacing w:after="60"/>
        <w:ind w:left="432"/>
      </w:pPr>
      <w:r>
        <w:rPr>
          <w:rFonts w:ascii="Calibri" w:hAnsi="Calibri"/>
          <w:b/>
          <w:i w:val="0"/>
          <w:color w:val="08243A"/>
          <w:sz w:val="21"/>
        </w:rPr>
        <w:t xml:space="preserve">Secure-by-design:  </w:t>
      </w:r>
      <w:r>
        <w:rPr>
          <w:rFonts w:ascii="Calibri" w:hAnsi="Calibri"/>
          <w:b w:val="0"/>
          <w:i w:val="0"/>
          <w:color w:val="222A30"/>
          <w:sz w:val="21"/>
        </w:rPr>
        <w:t>secure-by-design coverage across the product estate.</w:t>
      </w:r>
    </w:p>
    <w:p>
      <w:pPr>
        <w:pStyle w:val="ListBullet"/>
        <w:spacing w:after="60"/>
        <w:ind w:left="432"/>
      </w:pPr>
      <w:r>
        <w:rPr>
          <w:rFonts w:ascii="Calibri" w:hAnsi="Calibri"/>
          <w:b/>
          <w:i w:val="0"/>
          <w:color w:val="08243A"/>
          <w:sz w:val="21"/>
        </w:rPr>
        <w:t xml:space="preserve">Product risk:  </w:t>
      </w:r>
      <w:r>
        <w:rPr>
          <w:rFonts w:ascii="Calibri" w:hAnsi="Calibri"/>
          <w:b w:val="0"/>
          <w:i w:val="0"/>
          <w:color w:val="222A30"/>
          <w:sz w:val="21"/>
        </w:rPr>
        <w:t>open product risks, customer-data handling, and MFA adoption.</w:t>
      </w:r>
    </w:p>
    <w:p>
      <w:pPr>
        <w:spacing w:before="240" w:after="80"/>
        <w:outlineLvl w:val="1"/>
      </w:pPr>
      <w:r>
        <w:rPr>
          <w:rFonts w:ascii="Georgia" w:hAnsi="Georgia"/>
          <w:b/>
          <w:i w:val="0"/>
          <w:color w:val="1A5FA0"/>
          <w:sz w:val="28"/>
        </w:rPr>
        <w:t>Internal Audit — Chief Audit Executive</w:t>
      </w:r>
    </w:p>
    <w:p>
      <w:pPr>
        <w:spacing w:before="0" w:after="120"/>
      </w:pPr>
      <w:r>
        <w:rPr>
          <w:rFonts w:ascii="Calibri" w:hAnsi="Calibri"/>
          <w:b w:val="0"/>
          <w:i w:val="0"/>
          <w:color w:val="222A30"/>
          <w:sz w:val="21"/>
        </w:rPr>
        <w:t>Presents the audit plan, workpapers, and control assurance mapped to GRC, so audit can trace any assertion in the platform back to its evidence and coverage.</w:t>
      </w:r>
    </w:p>
    <w:p>
      <w:pPr>
        <w:spacing w:before="240" w:after="80"/>
        <w:outlineLvl w:val="1"/>
      </w:pPr>
      <w:r>
        <w:rPr>
          <w:rFonts w:ascii="Georgia" w:hAnsi="Georgia"/>
          <w:b/>
          <w:i w:val="0"/>
          <w:color w:val="1A5FA0"/>
          <w:sz w:val="28"/>
        </w:rPr>
        <w:t>Board — Directors</w:t>
      </w:r>
    </w:p>
    <w:p>
      <w:pPr>
        <w:spacing w:before="0" w:after="120"/>
      </w:pPr>
      <w:r>
        <w:rPr>
          <w:rFonts w:ascii="Calibri" w:hAnsi="Calibri"/>
          <w:b w:val="0"/>
          <w:i w:val="0"/>
          <w:color w:val="222A30"/>
          <w:sz w:val="21"/>
        </w:rPr>
        <w:t>A board-level view of oversight, disclosure readiness, resilience investment, and posture versus peers — printable as a board/regulator pack (Section 6).</w:t>
      </w:r>
    </w:p>
    <w:p>
      <w:r>
        <w:br w:type="page"/>
      </w:r>
    </w:p>
    <w:p>
      <w:pPr>
        <w:spacing w:before="40" w:after="40"/>
      </w:pPr>
      <w:r>
        <w:rPr>
          <w:rFonts w:ascii="Georgia" w:hAnsi="Georgia"/>
          <w:b/>
          <w:i w:val="0"/>
          <w:color w:val="2FA3D6"/>
          <w:sz w:val="60"/>
        </w:rPr>
        <w:t>06</w:t>
      </w:r>
    </w:p>
    <w:p>
      <w:pPr>
        <w:spacing w:after="200"/>
        <w:pBdr>
          <w:bottom w:val="single" w:sz="10" w:space="6" w:color="08243A"/>
        </w:pBdr>
        <w:outlineLvl w:val="0"/>
      </w:pPr>
      <w:r>
        <w:rPr>
          <w:rFonts w:ascii="Georgia" w:hAnsi="Georgia"/>
          <w:b/>
          <w:i w:val="0"/>
          <w:color w:val="08243A"/>
          <w:sz w:val="42"/>
        </w:rPr>
        <w:t>Core Workflows</w:t>
      </w:r>
    </w:p>
    <w:p>
      <w:pPr>
        <w:spacing w:before="240" w:after="80"/>
        <w:outlineLvl w:val="1"/>
      </w:pPr>
      <w:r>
        <w:rPr>
          <w:rFonts w:ascii="Georgia" w:hAnsi="Georgia"/>
          <w:b/>
          <w:i w:val="0"/>
          <w:color w:val="1A5FA0"/>
          <w:sz w:val="28"/>
        </w:rPr>
        <w:t>Recording and committing a decision</w:t>
      </w:r>
    </w:p>
    <w:p>
      <w:pPr>
        <w:spacing w:before="120" w:after="40"/>
      </w:pPr>
      <w:r>
        <w:rPr>
          <w:rFonts w:ascii="Georgia" w:hAnsi="Georgia"/>
          <w:b/>
          <w:i w:val="0"/>
          <w:color w:val="2FA3D6"/>
          <w:sz w:val="24"/>
        </w:rPr>
        <w:t xml:space="preserve">1  </w:t>
      </w:r>
      <w:r>
        <w:rPr>
          <w:rFonts w:ascii="Calibri" w:hAnsi="Calibri"/>
          <w:b/>
          <w:i w:val="0"/>
          <w:color w:val="08243A"/>
          <w:sz w:val="24"/>
        </w:rPr>
        <w:t>Open the decision</w:t>
      </w:r>
    </w:p>
    <w:p>
      <w:pPr>
        <w:spacing w:after="120"/>
        <w:ind w:left="461"/>
      </w:pPr>
      <w:r>
        <w:rPr>
          <w:rFonts w:ascii="Calibri" w:hAnsi="Calibri"/>
          <w:b w:val="0"/>
          <w:i w:val="0"/>
          <w:color w:val="222A30"/>
          <w:sz w:val="21"/>
        </w:rPr>
        <w:t>From any seat, select a surfaced decision to see its concrete pros, cons, cost, and the exposure it addresses.</w:t>
      </w:r>
    </w:p>
    <w:p>
      <w:pPr>
        <w:spacing w:before="120" w:after="40"/>
      </w:pPr>
      <w:r>
        <w:rPr>
          <w:rFonts w:ascii="Georgia" w:hAnsi="Georgia"/>
          <w:b/>
          <w:i w:val="0"/>
          <w:color w:val="2FA3D6"/>
          <w:sz w:val="24"/>
        </w:rPr>
        <w:t xml:space="preserve">2  </w:t>
      </w:r>
      <w:r>
        <w:rPr>
          <w:rFonts w:ascii="Calibri" w:hAnsi="Calibri"/>
          <w:b/>
          <w:i w:val="0"/>
          <w:color w:val="08243A"/>
          <w:sz w:val="24"/>
        </w:rPr>
        <w:t>Record your choice</w:t>
      </w:r>
    </w:p>
    <w:p>
      <w:pPr>
        <w:spacing w:after="120"/>
        <w:ind w:left="461"/>
      </w:pPr>
      <w:r>
        <w:rPr>
          <w:rFonts w:ascii="Calibri" w:hAnsi="Calibri"/>
          <w:b w:val="0"/>
          <w:i w:val="0"/>
          <w:color w:val="222A30"/>
          <w:sz w:val="21"/>
        </w:rPr>
        <w:t>Enter your rationale and confirm. The decision is stamped with your name and timestamp.</w:t>
      </w:r>
    </w:p>
    <w:p>
      <w:pPr>
        <w:spacing w:before="120" w:after="40"/>
      </w:pPr>
      <w:r>
        <w:rPr>
          <w:rFonts w:ascii="Georgia" w:hAnsi="Georgia"/>
          <w:b/>
          <w:i w:val="0"/>
          <w:color w:val="2FA3D6"/>
          <w:sz w:val="24"/>
        </w:rPr>
        <w:t xml:space="preserve">3  </w:t>
      </w:r>
      <w:r>
        <w:rPr>
          <w:rFonts w:ascii="Calibri" w:hAnsi="Calibri"/>
          <w:b/>
          <w:i w:val="0"/>
          <w:color w:val="08243A"/>
          <w:sz w:val="24"/>
        </w:rPr>
        <w:t>Edit within 24 hours</w:t>
      </w:r>
    </w:p>
    <w:p>
      <w:pPr>
        <w:spacing w:after="120"/>
        <w:ind w:left="461"/>
      </w:pPr>
      <w:r>
        <w:rPr>
          <w:rFonts w:ascii="Calibri" w:hAnsi="Calibri"/>
          <w:b w:val="0"/>
          <w:i w:val="0"/>
          <w:color w:val="222A30"/>
          <w:sz w:val="21"/>
        </w:rPr>
        <w:t>For 24 hours the decision remains editable. After that it commits to the permanent, accountable record.</w:t>
      </w:r>
    </w:p>
    <w:p>
      <w:pPr>
        <w:spacing w:before="120" w:after="40"/>
      </w:pPr>
      <w:r>
        <w:rPr>
          <w:rFonts w:ascii="Georgia" w:hAnsi="Georgia"/>
          <w:b/>
          <w:i w:val="0"/>
          <w:color w:val="2FA3D6"/>
          <w:sz w:val="24"/>
        </w:rPr>
        <w:t xml:space="preserve">4  </w:t>
      </w:r>
      <w:r>
        <w:rPr>
          <w:rFonts w:ascii="Calibri" w:hAnsi="Calibri"/>
          <w:b/>
          <w:i w:val="0"/>
          <w:color w:val="08243A"/>
          <w:sz w:val="24"/>
        </w:rPr>
        <w:t>Push to ticketing</w:t>
      </w:r>
    </w:p>
    <w:p>
      <w:pPr>
        <w:spacing w:after="120"/>
        <w:ind w:left="461"/>
      </w:pPr>
      <w:r>
        <w:rPr>
          <w:rFonts w:ascii="Calibri" w:hAnsi="Calibri"/>
          <w:b w:val="0"/>
          <w:i w:val="0"/>
          <w:color w:val="222A30"/>
          <w:sz w:val="21"/>
        </w:rPr>
        <w:t>Send a committed decision to Jira or ServiceNow so execution is tracked in your existing workflow. Status is pulled back on refresh.</w:t>
      </w:r>
    </w:p>
    <w:p>
      <w:pPr>
        <w:spacing w:before="240" w:after="80"/>
        <w:outlineLvl w:val="1"/>
      </w:pPr>
      <w:r>
        <w:rPr>
          <w:rFonts w:ascii="Georgia" w:hAnsi="Georgia"/>
          <w:b/>
          <w:i w:val="0"/>
          <w:color w:val="1A5FA0"/>
          <w:sz w:val="28"/>
        </w:rPr>
        <w:t>Refreshing live signals</w:t>
      </w:r>
    </w:p>
    <w:p>
      <w:pPr>
        <w:spacing w:before="0" w:after="120"/>
      </w:pPr>
      <w:r>
        <w:rPr>
          <w:rFonts w:ascii="Calibri" w:hAnsi="Calibri"/>
          <w:b w:val="0"/>
          <w:i w:val="0"/>
          <w:color w:val="222A30"/>
          <w:sz w:val="21"/>
        </w:rPr>
        <w:t>Selecting refresh re-reads your connected tools and updates every live metric, with the ‘as of’ timestamp advancing to match. Illustrative metrics are unaffected. Connected integrations can also refresh automatically on a schedule set by your administrator.</w:t>
      </w:r>
    </w:p>
    <w:p>
      <w:pPr>
        <w:spacing w:before="240" w:after="80"/>
        <w:outlineLvl w:val="1"/>
      </w:pPr>
      <w:r>
        <w:rPr>
          <w:rFonts w:ascii="Georgia" w:hAnsi="Georgia"/>
          <w:b/>
          <w:i w:val="0"/>
          <w:color w:val="1A5FA0"/>
          <w:sz w:val="28"/>
        </w:rPr>
        <w:t>Running the peer benchmark</w:t>
      </w:r>
    </w:p>
    <w:p>
      <w:pPr>
        <w:spacing w:before="0" w:after="120"/>
      </w:pPr>
      <w:r>
        <w:rPr>
          <w:rFonts w:ascii="Calibri" w:hAnsi="Calibri"/>
          <w:b w:val="0"/>
          <w:i w:val="0"/>
          <w:color w:val="222A30"/>
          <w:sz w:val="21"/>
        </w:rPr>
        <w:t>From the CEO or Board seat, the peer benchmark compares your posture to published medians for your industry. It is drawn from published baselines and requires no data sharing — nothing about your organization leaves the appliance to produce it.</w:t>
      </w:r>
    </w:p>
    <w:p>
      <w:pPr>
        <w:spacing w:before="240" w:after="80"/>
        <w:outlineLvl w:val="1"/>
      </w:pPr>
      <w:r>
        <w:rPr>
          <w:rFonts w:ascii="Georgia" w:hAnsi="Georgia"/>
          <w:b/>
          <w:i w:val="0"/>
          <w:color w:val="1A5FA0"/>
          <w:sz w:val="28"/>
        </w:rPr>
        <w:t>Drilling a framework control</w:t>
      </w:r>
    </w:p>
    <w:p>
      <w:pPr>
        <w:spacing w:before="0" w:after="120"/>
      </w:pPr>
      <w:r>
        <w:rPr>
          <w:rFonts w:ascii="Calibri" w:hAnsi="Calibri"/>
          <w:b w:val="0"/>
          <w:i w:val="0"/>
          <w:color w:val="222A30"/>
          <w:sz w:val="21"/>
        </w:rPr>
        <w:t>In the CISO Frameworks tab, expand a control group, select a control, and inspect its assessed maturity, the telemetry behind it, and its crosswalk to NIST CSF. Export the assessment as a PDF for auditors. All mapped control identifiers are validated against the source frameworks.</w:t>
      </w:r>
    </w:p>
    <w:p>
      <w:pPr>
        <w:spacing w:before="240" w:after="80"/>
        <w:outlineLvl w:val="1"/>
      </w:pPr>
      <w:r>
        <w:rPr>
          <w:rFonts w:ascii="Georgia" w:hAnsi="Georgia"/>
          <w:b/>
          <w:i w:val="0"/>
          <w:color w:val="1A5FA0"/>
          <w:sz w:val="28"/>
        </w:rPr>
        <w:t>Exporting the board pack</w:t>
      </w:r>
    </w:p>
    <w:p>
      <w:pPr>
        <w:spacing w:before="0" w:after="120"/>
      </w:pPr>
      <w:r>
        <w:rPr>
          <w:rFonts w:ascii="Calibri" w:hAnsi="Calibri"/>
          <w:b w:val="0"/>
          <w:i w:val="0"/>
          <w:color w:val="222A30"/>
          <w:sz w:val="21"/>
        </w:rPr>
        <w:t>The Board seat produces a printable board- and regulator-ready report of oversight, disclosure readiness, and peer posture. Generate it ahead of a board meeting or a regulatory filing window.</w:t>
      </w:r>
    </w:p>
    <w:p>
      <w:r>
        <w:br w:type="page"/>
      </w:r>
    </w:p>
    <w:p>
      <w:pPr>
        <w:spacing w:before="40" w:after="40"/>
      </w:pPr>
      <w:r>
        <w:rPr>
          <w:rFonts w:ascii="Georgia" w:hAnsi="Georgia"/>
          <w:b/>
          <w:i w:val="0"/>
          <w:color w:val="2FA3D6"/>
          <w:sz w:val="60"/>
        </w:rPr>
        <w:t>07</w:t>
      </w:r>
    </w:p>
    <w:p>
      <w:pPr>
        <w:spacing w:after="200"/>
        <w:pBdr>
          <w:bottom w:val="single" w:sz="10" w:space="6" w:color="08243A"/>
        </w:pBdr>
        <w:outlineLvl w:val="0"/>
      </w:pPr>
      <w:r>
        <w:rPr>
          <w:rFonts w:ascii="Georgia" w:hAnsi="Georgia"/>
          <w:b/>
          <w:i w:val="0"/>
          <w:color w:val="08243A"/>
          <w:sz w:val="42"/>
        </w:rPr>
        <w:t>Administration</w:t>
      </w:r>
    </w:p>
    <w:p>
      <w:pPr>
        <w:spacing w:before="240" w:after="80"/>
        <w:outlineLvl w:val="1"/>
      </w:pPr>
      <w:r>
        <w:rPr>
          <w:rFonts w:ascii="Georgia" w:hAnsi="Georgia"/>
          <w:b/>
          <w:i w:val="0"/>
          <w:color w:val="1A5FA0"/>
          <w:sz w:val="28"/>
        </w:rPr>
        <w:t>The appliance</w:t>
      </w:r>
    </w:p>
    <w:p>
      <w:pPr>
        <w:spacing w:before="0" w:after="120"/>
      </w:pPr>
      <w:r>
        <w:rPr>
          <w:rFonts w:ascii="Calibri" w:hAnsi="Calibri"/>
          <w:b w:val="0"/>
          <w:i w:val="0"/>
          <w:color w:val="222A30"/>
          <w:sz w:val="21"/>
        </w:rPr>
        <w:t>Nerion runs as a hardened virtual appliance in your environment. Administrators are responsible for deploying the image, installing the license file, and setting the small number of environment controls that govern enforcement. Because the platform is fully offline, routine operation requires no outbound connectivity.</w:t>
      </w:r>
    </w:p>
    <w:p>
      <w:pPr>
        <w:spacing w:before="240" w:after="80"/>
        <w:outlineLvl w:val="1"/>
      </w:pPr>
      <w:r>
        <w:rPr>
          <w:rFonts w:ascii="Georgia" w:hAnsi="Georgia"/>
          <w:b/>
          <w:i w:val="0"/>
          <w:color w:val="1A5FA0"/>
          <w:sz w:val="28"/>
        </w:rPr>
        <w:t>Licensing and renewal</w:t>
      </w:r>
    </w:p>
    <w:p>
      <w:pPr>
        <w:spacing w:before="120" w:after="40"/>
      </w:pPr>
      <w:r>
        <w:rPr>
          <w:rFonts w:ascii="Georgia" w:hAnsi="Georgia"/>
          <w:b/>
          <w:i w:val="0"/>
          <w:color w:val="2FA3D6"/>
          <w:sz w:val="24"/>
        </w:rPr>
        <w:t xml:space="preserve">1  </w:t>
      </w:r>
      <w:r>
        <w:rPr>
          <w:rFonts w:ascii="Calibri" w:hAnsi="Calibri"/>
          <w:b/>
          <w:i w:val="0"/>
          <w:color w:val="08243A"/>
          <w:sz w:val="24"/>
        </w:rPr>
        <w:t>Read the machine fingerprint</w:t>
      </w:r>
    </w:p>
    <w:p>
      <w:pPr>
        <w:spacing w:after="120"/>
        <w:ind w:left="461"/>
      </w:pPr>
      <w:r>
        <w:rPr>
          <w:rFonts w:ascii="Calibri" w:hAnsi="Calibri"/>
          <w:b w:val="0"/>
          <w:i w:val="0"/>
          <w:color w:val="222A30"/>
          <w:sz w:val="21"/>
        </w:rPr>
        <w:t>Each appliance has a unique hardware fingerprint, visible to the administrator. A license can be bound to it so it cannot be copied to another VM.</w:t>
      </w:r>
    </w:p>
    <w:p>
      <w:pPr>
        <w:spacing w:before="120" w:after="40"/>
      </w:pPr>
      <w:r>
        <w:rPr>
          <w:rFonts w:ascii="Georgia" w:hAnsi="Georgia"/>
          <w:b/>
          <w:i w:val="0"/>
          <w:color w:val="2FA3D6"/>
          <w:sz w:val="24"/>
        </w:rPr>
        <w:t xml:space="preserve">2  </w:t>
      </w:r>
      <w:r>
        <w:rPr>
          <w:rFonts w:ascii="Calibri" w:hAnsi="Calibri"/>
          <w:b/>
          <w:i w:val="0"/>
          <w:color w:val="08243A"/>
          <w:sz w:val="24"/>
        </w:rPr>
        <w:t>Install the license</w:t>
      </w:r>
    </w:p>
    <w:p>
      <w:pPr>
        <w:spacing w:after="120"/>
        <w:ind w:left="461"/>
      </w:pPr>
      <w:r>
        <w:rPr>
          <w:rFonts w:ascii="Calibri" w:hAnsi="Calibri"/>
          <w:b w:val="0"/>
          <w:i w:val="0"/>
          <w:color w:val="222A30"/>
          <w:sz w:val="21"/>
        </w:rPr>
        <w:t>Place the license file provided by your vendor into the appliance. The platform validates it cryptographically — it cannot be forged or edited.</w:t>
      </w:r>
    </w:p>
    <w:p>
      <w:pPr>
        <w:spacing w:before="120" w:after="40"/>
      </w:pPr>
      <w:r>
        <w:rPr>
          <w:rFonts w:ascii="Georgia" w:hAnsi="Georgia"/>
          <w:b/>
          <w:i w:val="0"/>
          <w:color w:val="2FA3D6"/>
          <w:sz w:val="24"/>
        </w:rPr>
        <w:t xml:space="preserve">3  </w:t>
      </w:r>
      <w:r>
        <w:rPr>
          <w:rFonts w:ascii="Calibri" w:hAnsi="Calibri"/>
          <w:b/>
          <w:i w:val="0"/>
          <w:color w:val="08243A"/>
          <w:sz w:val="24"/>
        </w:rPr>
        <w:t>Watch the countdown</w:t>
      </w:r>
    </w:p>
    <w:p>
      <w:pPr>
        <w:spacing w:after="120"/>
        <w:ind w:left="461"/>
      </w:pPr>
      <w:r>
        <w:rPr>
          <w:rFonts w:ascii="Calibri" w:hAnsi="Calibri"/>
          <w:b w:val="0"/>
          <w:i w:val="0"/>
          <w:color w:val="222A30"/>
          <w:sz w:val="21"/>
        </w:rPr>
        <w:t>The platform shows days remaining. A banner prompts renewal as expiry approaches; a short grace period follows expiry before access is blocked.</w:t>
      </w:r>
    </w:p>
    <w:p>
      <w:pPr>
        <w:spacing w:before="120" w:after="40"/>
      </w:pPr>
      <w:r>
        <w:rPr>
          <w:rFonts w:ascii="Georgia" w:hAnsi="Georgia"/>
          <w:b/>
          <w:i w:val="0"/>
          <w:color w:val="2FA3D6"/>
          <w:sz w:val="24"/>
        </w:rPr>
        <w:t xml:space="preserve">4  </w:t>
      </w:r>
      <w:r>
        <w:rPr>
          <w:rFonts w:ascii="Calibri" w:hAnsi="Calibri"/>
          <w:b/>
          <w:i w:val="0"/>
          <w:color w:val="08243A"/>
          <w:sz w:val="24"/>
        </w:rPr>
        <w:t>Renew</w:t>
      </w:r>
    </w:p>
    <w:p>
      <w:pPr>
        <w:spacing w:after="120"/>
        <w:ind w:left="461"/>
      </w:pPr>
      <w:r>
        <w:rPr>
          <w:rFonts w:ascii="Calibri" w:hAnsi="Calibri"/>
          <w:b w:val="0"/>
          <w:i w:val="0"/>
          <w:color w:val="222A30"/>
          <w:sz w:val="21"/>
        </w:rPr>
        <w:t>Your vendor issues a fresh license for the new term; installing it extends the clock with no reinstallation.</w:t>
      </w:r>
    </w:p>
    <w:p>
      <w:pPr>
        <w:spacing w:before="160" w:after="160"/>
        <w:ind w:left="115"/>
        <w:shd w:val="clear" w:color="auto" w:fill="EEF2F5"/>
        <w:pBdr>
          <w:left w:val="single" w:sz="24" w:space="6" w:color="1A5FA0"/>
        </w:pBdr>
      </w:pPr>
      <w:r>
        <w:rPr>
          <w:rFonts w:ascii="Calibri" w:hAnsi="Calibri"/>
          <w:b/>
          <w:i w:val="0"/>
          <w:caps/>
          <w:color w:val="1A5FA0"/>
          <w:sz w:val="17"/>
          <w:spacing w:val="30"/>
        </w:rPr>
        <w:t xml:space="preserve">TAMPER PROTECTION   </w:t>
      </w:r>
      <w:r>
        <w:rPr>
          <w:rFonts w:ascii="Calibri" w:hAnsi="Calibri"/>
          <w:b w:val="0"/>
          <w:i w:val="0"/>
          <w:color w:val="222A30"/>
          <w:sz w:val="20"/>
        </w:rPr>
        <w:t>The appliance protects the vendor’s intellectual property, not your data. If the software itself is tampered with, it seals and renders its own protected components inert — it never touches, encrypts, or deletes your business data. An accidental lock is cleared by a vendor recovery token in minutes.</w:t>
      </w:r>
    </w:p>
    <w:p>
      <w:pPr>
        <w:spacing w:before="240" w:after="80"/>
        <w:outlineLvl w:val="1"/>
      </w:pPr>
      <w:r>
        <w:rPr>
          <w:rFonts w:ascii="Georgia" w:hAnsi="Georgia"/>
          <w:b/>
          <w:i w:val="0"/>
          <w:color w:val="1A5FA0"/>
          <w:sz w:val="28"/>
        </w:rPr>
        <w:t>Data residency</w:t>
      </w:r>
    </w:p>
    <w:p>
      <w:pPr>
        <w:spacing w:before="0" w:after="120"/>
      </w:pPr>
      <w:r>
        <w:rPr>
          <w:rFonts w:ascii="Calibri" w:hAnsi="Calibri"/>
          <w:b w:val="0"/>
          <w:i w:val="0"/>
          <w:color w:val="222A30"/>
          <w:sz w:val="21"/>
        </w:rPr>
        <w:t>All customer data remains inside the appliance in your environment for the life of the subscription. Nerion does not transmit your business data externally to operate, benchmark, or validate its license.</w:t>
      </w:r>
    </w:p>
    <w:p>
      <w:r>
        <w:br w:type="page"/>
      </w:r>
    </w:p>
    <w:p>
      <w:pPr>
        <w:spacing w:before="40" w:after="40"/>
      </w:pPr>
      <w:r>
        <w:rPr>
          <w:rFonts w:ascii="Georgia" w:hAnsi="Georgia"/>
          <w:b/>
          <w:i w:val="0"/>
          <w:color w:val="2FA3D6"/>
          <w:sz w:val="60"/>
        </w:rPr>
        <w:t>08</w:t>
      </w:r>
    </w:p>
    <w:p>
      <w:pPr>
        <w:spacing w:after="200"/>
        <w:pBdr>
          <w:bottom w:val="single" w:sz="10" w:space="6" w:color="08243A"/>
        </w:pBdr>
        <w:outlineLvl w:val="0"/>
      </w:pPr>
      <w:r>
        <w:rPr>
          <w:rFonts w:ascii="Georgia" w:hAnsi="Georgia"/>
          <w:b/>
          <w:i w:val="0"/>
          <w:color w:val="08243A"/>
          <w:sz w:val="42"/>
        </w:rPr>
        <w:t>Support &amp; Frequently Asked Questions</w:t>
      </w:r>
    </w:p>
    <w:p>
      <w:pPr>
        <w:spacing w:before="160" w:after="40"/>
      </w:pPr>
      <w:r>
        <w:rPr>
          <w:rFonts w:ascii="Georgia" w:hAnsi="Georgia"/>
          <w:b/>
          <w:i w:val="0"/>
          <w:color w:val="2FA3D6"/>
          <w:sz w:val="22"/>
        </w:rPr>
        <w:t xml:space="preserve">Q  </w:t>
      </w:r>
      <w:r>
        <w:rPr>
          <w:rFonts w:ascii="Calibri" w:hAnsi="Calibri"/>
          <w:b/>
          <w:i w:val="0"/>
          <w:color w:val="08243A"/>
          <w:sz w:val="22"/>
        </w:rPr>
        <w:t>A metric shows as “illustrative”. How do I make it live?</w:t>
      </w:r>
    </w:p>
    <w:p>
      <w:pPr>
        <w:spacing w:after="80"/>
        <w:ind w:left="403"/>
      </w:pPr>
      <w:r>
        <w:rPr>
          <w:rFonts w:ascii="Calibri" w:hAnsi="Calibri"/>
          <w:b w:val="0"/>
          <w:i w:val="0"/>
          <w:color w:val="222A30"/>
          <w:sz w:val="21"/>
        </w:rPr>
        <w:t>Connect the tool that feeds it in onboarding Step 6, or provide the underlying value in the relevant onboarding section. The metric switches to live on the next refresh.</w:t>
      </w:r>
    </w:p>
    <w:p>
      <w:pPr>
        <w:spacing w:before="160" w:after="40"/>
      </w:pPr>
      <w:r>
        <w:rPr>
          <w:rFonts w:ascii="Georgia" w:hAnsi="Georgia"/>
          <w:b/>
          <w:i w:val="0"/>
          <w:color w:val="2FA3D6"/>
          <w:sz w:val="22"/>
        </w:rPr>
        <w:t xml:space="preserve">Q  </w:t>
      </w:r>
      <w:r>
        <w:rPr>
          <w:rFonts w:ascii="Calibri" w:hAnsi="Calibri"/>
          <w:b/>
          <w:i w:val="0"/>
          <w:color w:val="08243A"/>
          <w:sz w:val="22"/>
        </w:rPr>
        <w:t>Can I change onboarding answers after going live?</w:t>
      </w:r>
    </w:p>
    <w:p>
      <w:pPr>
        <w:spacing w:after="80"/>
        <w:ind w:left="403"/>
      </w:pPr>
      <w:r>
        <w:rPr>
          <w:rFonts w:ascii="Calibri" w:hAnsi="Calibri"/>
          <w:b w:val="0"/>
          <w:i w:val="0"/>
          <w:color w:val="222A30"/>
          <w:sz w:val="21"/>
        </w:rPr>
        <w:t>Yes. Every input is editable at any time; the cockpit recomputes from your changes. Nothing is locked.</w:t>
      </w:r>
    </w:p>
    <w:p>
      <w:pPr>
        <w:spacing w:before="160" w:after="40"/>
      </w:pPr>
      <w:r>
        <w:rPr>
          <w:rFonts w:ascii="Georgia" w:hAnsi="Georgia"/>
          <w:b/>
          <w:i w:val="0"/>
          <w:color w:val="2FA3D6"/>
          <w:sz w:val="22"/>
        </w:rPr>
        <w:t xml:space="preserve">Q  </w:t>
      </w:r>
      <w:r>
        <w:rPr>
          <w:rFonts w:ascii="Calibri" w:hAnsi="Calibri"/>
          <w:b/>
          <w:i w:val="0"/>
          <w:color w:val="08243A"/>
          <w:sz w:val="22"/>
        </w:rPr>
        <w:t>Where do my decisions go?</w:t>
      </w:r>
    </w:p>
    <w:p>
      <w:pPr>
        <w:spacing w:after="80"/>
        <w:ind w:left="403"/>
      </w:pPr>
      <w:r>
        <w:rPr>
          <w:rFonts w:ascii="Calibri" w:hAnsi="Calibri"/>
          <w:b w:val="0"/>
          <w:i w:val="0"/>
          <w:color w:val="222A30"/>
          <w:sz w:val="21"/>
        </w:rPr>
        <w:t>They are recorded against your name, committed after 24 hours, and — if you choose — pushed to Jira or ServiceNow, with status pulled back on refresh.</w:t>
      </w:r>
    </w:p>
    <w:p>
      <w:pPr>
        <w:spacing w:before="160" w:after="40"/>
      </w:pPr>
      <w:r>
        <w:rPr>
          <w:rFonts w:ascii="Georgia" w:hAnsi="Georgia"/>
          <w:b/>
          <w:i w:val="0"/>
          <w:color w:val="2FA3D6"/>
          <w:sz w:val="22"/>
        </w:rPr>
        <w:t xml:space="preserve">Q  </w:t>
      </w:r>
      <w:r>
        <w:rPr>
          <w:rFonts w:ascii="Calibri" w:hAnsi="Calibri"/>
          <w:b/>
          <w:i w:val="0"/>
          <w:color w:val="08243A"/>
          <w:sz w:val="22"/>
        </w:rPr>
        <w:t>Does any of our data leave the environment?</w:t>
      </w:r>
    </w:p>
    <w:p>
      <w:pPr>
        <w:spacing w:after="80"/>
        <w:ind w:left="403"/>
      </w:pPr>
      <w:r>
        <w:rPr>
          <w:rFonts w:ascii="Calibri" w:hAnsi="Calibri"/>
          <w:b w:val="0"/>
          <w:i w:val="0"/>
          <w:color w:val="222A30"/>
          <w:sz w:val="21"/>
        </w:rPr>
        <w:t>No. The appliance is fully offline for operation, benchmarking, and licensing. Your data stays in your network.</w:t>
      </w:r>
    </w:p>
    <w:p>
      <w:pPr>
        <w:spacing w:before="160" w:after="40"/>
      </w:pPr>
      <w:r>
        <w:rPr>
          <w:rFonts w:ascii="Georgia" w:hAnsi="Georgia"/>
          <w:b/>
          <w:i w:val="0"/>
          <w:color w:val="2FA3D6"/>
          <w:sz w:val="22"/>
        </w:rPr>
        <w:t xml:space="preserve">Q  </w:t>
      </w:r>
      <w:r>
        <w:rPr>
          <w:rFonts w:ascii="Calibri" w:hAnsi="Calibri"/>
          <w:b/>
          <w:i w:val="0"/>
          <w:color w:val="08243A"/>
          <w:sz w:val="22"/>
        </w:rPr>
        <w:t>What happens when the license expires?</w:t>
      </w:r>
    </w:p>
    <w:p>
      <w:pPr>
        <w:spacing w:after="80"/>
        <w:ind w:left="403"/>
      </w:pPr>
      <w:r>
        <w:rPr>
          <w:rFonts w:ascii="Calibri" w:hAnsi="Calibri"/>
          <w:b w:val="0"/>
          <w:i w:val="0"/>
          <w:color w:val="222A30"/>
          <w:sz w:val="21"/>
        </w:rPr>
        <w:t>A renewal banner appears before expiry; a short grace period follows. Installing a renewed license restores full access without reinstalling the platform.</w:t>
      </w:r>
    </w:p>
    <w:p>
      <w:pPr>
        <w:spacing w:before="160" w:after="40"/>
      </w:pPr>
      <w:r>
        <w:rPr>
          <w:rFonts w:ascii="Georgia" w:hAnsi="Georgia"/>
          <w:b/>
          <w:i w:val="0"/>
          <w:color w:val="2FA3D6"/>
          <w:sz w:val="22"/>
        </w:rPr>
        <w:t xml:space="preserve">Q  </w:t>
      </w:r>
      <w:r>
        <w:rPr>
          <w:rFonts w:ascii="Calibri" w:hAnsi="Calibri"/>
          <w:b/>
          <w:i w:val="0"/>
          <w:color w:val="08243A"/>
          <w:sz w:val="22"/>
        </w:rPr>
        <w:t>The platform is locked after a change to the VM. What now?</w:t>
      </w:r>
    </w:p>
    <w:p>
      <w:pPr>
        <w:spacing w:after="80"/>
        <w:ind w:left="403"/>
      </w:pPr>
      <w:r>
        <w:rPr>
          <w:rFonts w:ascii="Calibri" w:hAnsi="Calibri"/>
          <w:b w:val="0"/>
          <w:i w:val="0"/>
          <w:color w:val="222A30"/>
          <w:sz w:val="21"/>
        </w:rPr>
        <w:t>This is the tamper seal. Contact your vendor with the fingerprint and code shown; a signed recovery token clears it in minutes. Your data is untouched.</w:t>
      </w:r>
    </w:p>
    <w:p>
      <w:pPr>
        <w:spacing w:before="240" w:after="80"/>
        <w:outlineLvl w:val="1"/>
      </w:pPr>
      <w:r>
        <w:rPr>
          <w:rFonts w:ascii="Georgia" w:hAnsi="Georgia"/>
          <w:b/>
          <w:i w:val="0"/>
          <w:color w:val="1A5FA0"/>
          <w:sz w:val="28"/>
        </w:rPr>
        <w:t>Getting help</w:t>
      </w:r>
    </w:p>
    <w:p>
      <w:pPr>
        <w:spacing w:before="0" w:after="120"/>
      </w:pPr>
      <w:r>
        <w:rPr>
          <w:rFonts w:ascii="Calibri" w:hAnsi="Calibri"/>
          <w:b w:val="0"/>
          <w:i w:val="0"/>
          <w:color w:val="222A30"/>
          <w:sz w:val="21"/>
        </w:rPr>
        <w:t>For platform questions, contact your Nerion administrator first — most seat and onboarding questions are answered by reviewing the relevant section above. For licensing, appliance, or recovery matters, your administrator will engage your Nerion vendor contact.</w:t>
      </w:r>
    </w:p>
    <w:p>
      <w:pPr>
        <w:spacing w:before="360"/>
        <w:pBdr>
          <w:bottom w:val="single" w:sz="10" w:space="6" w:color="08243A"/>
        </w:pBdr>
      </w:pPr>
    </w:p>
    <w:p>
      <w:pPr>
        <w:jc w:val="center"/>
      </w:pPr>
      <w:r>
        <w:rPr>
          <w:rFonts w:ascii="Calibri" w:hAnsi="Calibri"/>
          <w:b/>
          <w:i w:val="0"/>
          <w:color w:val="1A5FA0"/>
          <w:sz w:val="18"/>
          <w:spacing w:val="30"/>
        </w:rPr>
        <w:t>NERION  ·  Cyber Business Operations Platform</w:t>
      </w:r>
    </w:p>
    <w:p>
      <w:pPr>
        <w:jc w:val="center"/>
      </w:pPr>
      <w:r>
        <w:rPr>
          <w:rFonts w:ascii="Calibri" w:hAnsi="Calibri"/>
          <w:b w:val="0"/>
          <w:i/>
          <w:color w:val="5B6B76"/>
          <w:sz w:val="16"/>
        </w:rPr>
        <w:t>Confidential — Distribution limited to licensed users</w:t>
      </w:r>
    </w:p>
    <w:sectPr w:rsidR="00FC693F" w:rsidRPr="0006063C" w:rsidSect="00034616">
      <w:footerReference w:type="default" r:id="rId9"/>
      <w:head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B76"/>
        <w:sz w:val="16"/>
      </w:rPr>
      <w:t xml:space="preserve">Nerion User Guide   ·   Confidential      </w:t>
    </w:r>
    <w:r>
      <w:fldChar w:fldCharType="begin"/>
      <w:instrText xml:space="preserve">PAGE</w:instrText>
      <w:fldChar w:fldCharType="separate"/>
      <w:fldChar w:fldCharType="end"/>
    </w:r>
    <w:r>
      <w:rPr>
        <w:rFonts w:ascii="Calibri" w:hAnsi="Calibri"/>
        <w:b w:val="0"/>
        <w:i w:val="0"/>
        <w:color w:val="5B6B76"/>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1A5FA0"/>
        <w:sz w:val="16"/>
        <w:spacing w:val="30"/>
      </w:rPr>
      <w:t>NERION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