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shd w:val="clear" w:color="auto" w:fill="08243A"/>
      </w:pPr>
      <w:r>
        <w:rPr>
          <w:rFonts w:ascii="Calibri" w:hAnsi="Calibri"/>
          <w:b w:val="0"/>
          <w:i w:val="0"/>
          <w:color w:val="222A30"/>
          <w:sz w:val="4"/>
        </w:rPr>
        <w:t xml:space="preserve"> </w:t>
      </w:r>
    </w:p>
    <w:p/>
    <w:p>
      <w:pPr>
        <w:spacing w:after="40"/>
      </w:pPr>
      <w:r>
        <w:rPr>
          <w:rFonts w:ascii="Georgia" w:hAnsi="Georgia"/>
          <w:b/>
          <w:i w:val="0"/>
          <w:color w:val="08243A"/>
          <w:sz w:val="26"/>
          <w:spacing w:val="60"/>
        </w:rPr>
        <w:t>NERION</w:t>
      </w:r>
    </w:p>
    <w:p>
      <w:pPr>
        <w:spacing w:after="800"/>
      </w:pPr>
      <w:r>
        <w:rPr>
          <w:rFonts w:ascii="Calibri" w:hAnsi="Calibri"/>
          <w:b w:val="0"/>
          <w:i w:val="0"/>
          <w:color w:val="1A5FA0"/>
          <w:sz w:val="22"/>
          <w:spacing w:val="20"/>
        </w:rPr>
        <w:t>Cyber Business Operations Platform</w:t>
      </w:r>
    </w:p>
    <w:p>
      <w:pPr>
        <w:spacing w:after="40"/>
      </w:pPr>
      <w:r>
        <w:rPr>
          <w:rFonts w:ascii="Georgia" w:hAnsi="Georgia"/>
          <w:b/>
          <w:i w:val="0"/>
          <w:color w:val="08243A"/>
          <w:sz w:val="80"/>
        </w:rPr>
        <w:t>User Guide</w:t>
      </w:r>
    </w:p>
    <w:p>
      <w:pPr>
        <w:spacing w:after="440"/>
      </w:pPr>
      <w:r>
        <w:rPr>
          <w:rFonts w:ascii="Georgia" w:hAnsi="Georgia"/>
          <w:b w:val="0"/>
          <w:i/>
          <w:color w:val="5B6B76"/>
          <w:sz w:val="30"/>
        </w:rPr>
        <w:t>The complete reference — onboarding, cockpit, decisions, administration</w:t>
      </w:r>
    </w:p>
    <w:p>
      <w:pPr>
        <w:spacing w:after="360"/>
        <w:pBdr>
          <w:bottom w:val="single" w:sz="18" w:space="6" w:color="1A5FA0"/>
        </w:pBdr>
      </w:pPr>
    </w:p>
    <w:p>
      <w:r>
        <w:rPr>
          <w:rFonts w:ascii="Calibri" w:hAnsi="Calibri"/>
          <w:b w:val="0"/>
          <w:i w:val="0"/>
          <w:color w:val="222A30"/>
          <w:sz w:val="23"/>
        </w:rPr>
        <w:t>Give Nerion your business, and it returns your cyber position — in dollars, and only what is true. This guide documents every screen, field, seat, metric, connector and workflow, with the honesty principles that let a Fortune-100 buyer trust every number on the page.</w:t>
      </w:r>
    </w:p>
    <w:p/>
    <w:p/>
    <w:p/>
    <w:p/>
    <w:p/>
    <w:p/>
    <w:p/>
    <w:p>
      <w:pPr>
        <w:spacing w:after="20"/>
      </w:pPr>
      <w:r>
        <w:rPr>
          <w:rFonts w:ascii="Calibri" w:hAnsi="Calibri"/>
          <w:b w:val="0"/>
          <w:i w:val="0"/>
          <w:color w:val="5B6B76"/>
          <w:sz w:val="19"/>
        </w:rPr>
        <w:t>Prepared for platform users, executives and administrators</w:t>
      </w:r>
    </w:p>
    <w:p>
      <w:pPr>
        <w:spacing w:after="20"/>
      </w:pPr>
      <w:r>
        <w:rPr>
          <w:rFonts w:ascii="Calibri" w:hAnsi="Calibri"/>
          <w:b w:val="0"/>
          <w:i w:val="0"/>
          <w:color w:val="5B6B76"/>
          <w:sz w:val="19"/>
        </w:rPr>
        <w:t>Version 2.0  ·  July 2026</w:t>
      </w:r>
    </w:p>
    <w:p>
      <w:r>
        <w:rPr>
          <w:rFonts w:ascii="Calibri" w:hAnsi="Calibri"/>
          <w:b/>
          <w:i w:val="0"/>
          <w:caps/>
          <w:color w:val="1A5FA0"/>
          <w:sz w:val="17"/>
          <w:spacing w:val="20"/>
        </w:rPr>
        <w:t>CONFIDENTIAL — Distribution limited to licensed users</w:t>
      </w:r>
    </w:p>
    <w:p>
      <w:pPr>
        <w:spacing w:before="120"/>
        <w:shd w:val="clear" w:color="auto" w:fill="08243A"/>
      </w:pPr>
      <w:r>
        <w:rPr>
          <w:rFonts w:ascii="Calibri" w:hAnsi="Calibri"/>
          <w:b w:val="0"/>
          <w:i w:val="0"/>
          <w:color w:val="222A30"/>
          <w:sz w:val="4"/>
        </w:rPr>
        <w:t xml:space="preserve"> </w:t>
      </w:r>
    </w:p>
    <w:p>
      <w:r>
        <w:br w:type="page"/>
      </w:r>
    </w:p>
    <w:p>
      <w:pPr>
        <w:spacing w:after="160"/>
        <w:pBdr>
          <w:bottom w:val="single" w:sz="10" w:space="6" w:color="08243A"/>
        </w:pBdr>
      </w:pPr>
      <w:r>
        <w:rPr>
          <w:rFonts w:ascii="Georgia" w:hAnsi="Georgia"/>
          <w:b/>
          <w:i w:val="0"/>
          <w:color w:val="08243A"/>
          <w:sz w:val="40"/>
        </w:rPr>
        <w:t>Contents</w:t>
      </w:r>
    </w:p>
    <w:p>
      <w:r>
        <w:fldChar w:fldCharType="begin"/>
        <w:instrText xml:space="preserve">TOC \o "1-2" \h \z \u</w:instrText>
        <w:fldChar w:fldCharType="separate"/>
        <w:fldChar w:fldCharType="end"/>
      </w:r>
    </w:p>
    <w:p>
      <w:r>
        <w:rPr>
          <w:rFonts w:ascii="Calibri" w:hAnsi="Calibri"/>
          <w:b w:val="0"/>
          <w:i/>
          <w:color w:val="5B6B76"/>
          <w:sz w:val="17"/>
        </w:rPr>
        <w:t>To populate: right-click the contents above and choose “Update Field” (or press F9).</w:t>
      </w:r>
    </w:p>
    <w:p>
      <w:r>
        <w:br w:type="page"/>
      </w:r>
    </w:p>
    <w:p>
      <w:pPr>
        <w:spacing w:after="0"/>
      </w:pPr>
      <w:r>
        <w:rPr>
          <w:rFonts w:ascii="Calibri" w:hAnsi="Calibri"/>
          <w:b/>
          <w:i w:val="0"/>
          <w:caps/>
          <w:color w:val="2FA3D6"/>
          <w:sz w:val="18"/>
          <w:spacing w:val="40"/>
        </w:rPr>
        <w:t>CHAPTER 01</w:t>
      </w:r>
    </w:p>
    <w:p>
      <w:pPr>
        <w:spacing w:after="200"/>
        <w:pBdr>
          <w:bottom w:val="single" w:sz="12" w:space="6" w:color="08243A"/>
        </w:pBdr>
        <w:outlineLvl w:val="0"/>
      </w:pPr>
      <w:r>
        <w:rPr>
          <w:rFonts w:ascii="Georgia" w:hAnsi="Georgia"/>
          <w:b/>
          <w:i w:val="0"/>
          <w:color w:val="08243A"/>
          <w:sz w:val="44"/>
        </w:rPr>
        <w:t>The Nerion Model</w:t>
      </w:r>
    </w:p>
    <w:p>
      <w:pPr>
        <w:spacing w:before="0" w:after="120"/>
      </w:pPr>
      <w:r>
        <w:rPr>
          <w:rFonts w:ascii="Calibri" w:hAnsi="Calibri"/>
          <w:b w:val="0"/>
          <w:i w:val="0"/>
          <w:color w:val="222A30"/>
          <w:sz w:val="21"/>
        </w:rPr>
        <w:t>Nerion turns what your business is — its revenue processes, the systems that run them, its crown-jewel data, its vendors and its security tools — into your cyber position expressed the way the board and C-suite think: in dollars of exposure, in decisions, and in defensible evidence. This chapter explains the ideas the rest of the guide builds on.</w:t>
      </w:r>
    </w:p>
    <w:p>
      <w:pPr>
        <w:spacing w:before="260" w:after="60"/>
        <w:outlineLvl w:val="1"/>
      </w:pPr>
      <w:r>
        <w:rPr>
          <w:rFonts w:ascii="Georgia" w:hAnsi="Georgia"/>
          <w:b/>
          <w:i w:val="0"/>
          <w:color w:val="2FA3D6"/>
          <w:sz w:val="28"/>
        </w:rPr>
        <w:t xml:space="preserve">1.1  </w:t>
      </w:r>
      <w:r>
        <w:rPr>
          <w:rFonts w:ascii="Georgia" w:hAnsi="Georgia"/>
          <w:b/>
          <w:i w:val="0"/>
          <w:color w:val="1A5FA0"/>
          <w:sz w:val="28"/>
        </w:rPr>
        <w:t>One platform, ten executive lenses</w:t>
      </w:r>
    </w:p>
    <w:p>
      <w:pPr>
        <w:spacing w:before="0" w:after="120"/>
      </w:pPr>
      <w:r>
        <w:rPr>
          <w:rFonts w:ascii="Calibri" w:hAnsi="Calibri"/>
          <w:b w:val="0"/>
          <w:i w:val="0"/>
          <w:color w:val="222A30"/>
          <w:sz w:val="21"/>
        </w:rPr>
        <w:t>Nerion presents a single system through ten executive seats. Each seat is addressed to a named leader, speaks in that leader’s language, and shows the same underlying figures — the shared numbers match exactly across seats.</w:t>
      </w:r>
    </w:p>
    <w:p>
      <w:pPr>
        <w:spacing w:before="200" w:after="60"/>
      </w:pPr>
      <w:r>
        <w:rPr>
          <w:rFonts w:ascii="Calibri" w:hAnsi="Calibri"/>
          <w:b/>
          <w:i w:val="0"/>
          <w:caps/>
          <w:color w:val="2FA3D6"/>
          <w:sz w:val="17"/>
          <w:spacing w:val="18"/>
        </w:rPr>
        <w:t xml:space="preserve">EXHIBIT — </w:t>
      </w:r>
      <w:r>
        <w:rPr>
          <w:rFonts w:ascii="Calibri" w:hAnsi="Calibri"/>
          <w:b/>
          <w:i w:val="0"/>
          <w:caps/>
          <w:color w:val="5B6B76"/>
          <w:sz w:val="17"/>
          <w:spacing w:val="18"/>
        </w:rPr>
        <w:t>The ten executive seats</w:t>
      </w:r>
    </w:p>
    <w:tbl>
      <w:tblPr>
        <w:tblW w:type="auto" w:w="0"/>
        <w:jc w:val="center"/>
        <w:tblLook w:firstColumn="1" w:firstRow="1" w:lastColumn="0" w:lastRow="0" w:noHBand="0" w:noVBand="1" w:val="04A0"/>
      </w:tblPr>
      <w:tblGrid>
        <w:gridCol w:w="3120"/>
        <w:gridCol w:w="3120"/>
        <w:gridCol w:w="3120"/>
      </w:tblGrid>
      <w:tr>
        <w:tc>
          <w:tcPr>
            <w:tcW w:type="dxa" w:w="2016"/>
            <w:shd w:val="clear" w:color="auto" w:fill="08243A"/>
          </w:tcPr>
          <w:p>
            <w:pPr>
              <w:spacing w:before="40" w:after="40"/>
            </w:pPr>
            <w:r>
              <w:rPr>
                <w:rFonts w:ascii="Calibri" w:hAnsi="Calibri"/>
                <w:b/>
                <w:i w:val="0"/>
                <w:color w:val="FFFFFF"/>
                <w:sz w:val="18"/>
              </w:rPr>
              <w:t>Seat</w:t>
            </w:r>
          </w:p>
        </w:tc>
        <w:tc>
          <w:tcPr>
            <w:tcW w:type="dxa" w:w="1296"/>
            <w:shd w:val="clear" w:color="auto" w:fill="08243A"/>
          </w:tcPr>
          <w:p>
            <w:pPr>
              <w:spacing w:before="40" w:after="40"/>
            </w:pPr>
            <w:r>
              <w:rPr>
                <w:rFonts w:ascii="Calibri" w:hAnsi="Calibri"/>
                <w:b/>
                <w:i w:val="0"/>
                <w:color w:val="FFFFFF"/>
                <w:sz w:val="18"/>
              </w:rPr>
              <w:t>Key</w:t>
            </w:r>
          </w:p>
        </w:tc>
        <w:tc>
          <w:tcPr>
            <w:tcW w:type="dxa" w:w="6192"/>
            <w:shd w:val="clear" w:color="auto" w:fill="08243A"/>
          </w:tcPr>
          <w:p>
            <w:pPr>
              <w:spacing w:before="40" w:after="40"/>
            </w:pPr>
            <w:r>
              <w:rPr>
                <w:rFonts w:ascii="Calibri" w:hAnsi="Calibri"/>
                <w:b/>
                <w:i w:val="0"/>
                <w:color w:val="FFFFFF"/>
                <w:sz w:val="18"/>
              </w:rPr>
              <w:t>The question it answers</w:t>
            </w:r>
          </w:p>
        </w:tc>
      </w:tr>
      <w:tr>
        <w:tc>
          <w:tcPr>
            <w:tcW w:type="dxa" w:w="2016"/>
          </w:tcPr>
          <w:p>
            <w:pPr>
              <w:spacing w:before="20" w:after="20"/>
            </w:pPr>
            <w:r>
              <w:rPr>
                <w:rFonts w:ascii="Calibri" w:hAnsi="Calibri"/>
                <w:b/>
                <w:i w:val="0"/>
                <w:color w:val="08243A"/>
                <w:sz w:val="18"/>
              </w:rPr>
              <w:t>CISO</w:t>
            </w:r>
          </w:p>
        </w:tc>
        <w:tc>
          <w:tcPr>
            <w:tcW w:type="dxa" w:w="1296"/>
          </w:tcPr>
          <w:p>
            <w:pPr>
              <w:spacing w:before="20" w:after="20"/>
            </w:pPr>
            <w:r>
              <w:rPr>
                <w:rFonts w:ascii="Calibri" w:hAnsi="Calibri"/>
                <w:b w:val="0"/>
                <w:i w:val="0"/>
                <w:color w:val="222A30"/>
                <w:sz w:val="18"/>
              </w:rPr>
              <w:t>ciso</w:t>
            </w:r>
          </w:p>
        </w:tc>
        <w:tc>
          <w:tcPr>
            <w:tcW w:type="dxa" w:w="6192"/>
          </w:tcPr>
          <w:p>
            <w:pPr>
              <w:spacing w:before="20" w:after="20"/>
            </w:pPr>
            <w:r>
              <w:rPr>
                <w:rFonts w:ascii="Calibri" w:hAnsi="Calibri"/>
                <w:b w:val="0"/>
                <w:i w:val="0"/>
                <w:color w:val="222A30"/>
                <w:sz w:val="18"/>
              </w:rPr>
              <w:t>Where is exposure, and are the controls actually working?</w:t>
            </w:r>
          </w:p>
        </w:tc>
      </w:tr>
      <w:tr>
        <w:tc>
          <w:tcPr>
            <w:tcW w:type="dxa" w:w="2016"/>
            <w:shd w:val="clear" w:color="auto" w:fill="E7EEF3"/>
          </w:tcPr>
          <w:p>
            <w:pPr>
              <w:spacing w:before="20" w:after="20"/>
            </w:pPr>
            <w:r>
              <w:rPr>
                <w:rFonts w:ascii="Calibri" w:hAnsi="Calibri"/>
                <w:b/>
                <w:i w:val="0"/>
                <w:color w:val="08243A"/>
                <w:sz w:val="18"/>
              </w:rPr>
              <w:t>CEO</w:t>
            </w:r>
          </w:p>
        </w:tc>
        <w:tc>
          <w:tcPr>
            <w:tcW w:type="dxa" w:w="1296"/>
            <w:shd w:val="clear" w:color="auto" w:fill="E7EEF3"/>
          </w:tcPr>
          <w:p>
            <w:pPr>
              <w:spacing w:before="20" w:after="20"/>
            </w:pPr>
            <w:r>
              <w:rPr>
                <w:rFonts w:ascii="Calibri" w:hAnsi="Calibri"/>
                <w:b w:val="0"/>
                <w:i w:val="0"/>
                <w:color w:val="222A30"/>
                <w:sz w:val="18"/>
              </w:rPr>
              <w:t>ceo</w:t>
            </w:r>
          </w:p>
        </w:tc>
        <w:tc>
          <w:tcPr>
            <w:tcW w:type="dxa" w:w="6192"/>
            <w:shd w:val="clear" w:color="auto" w:fill="E7EEF3"/>
          </w:tcPr>
          <w:p>
            <w:pPr>
              <w:spacing w:before="20" w:after="20"/>
            </w:pPr>
            <w:r>
              <w:rPr>
                <w:rFonts w:ascii="Calibri" w:hAnsi="Calibri"/>
                <w:b w:val="0"/>
                <w:i w:val="0"/>
                <w:color w:val="222A30"/>
                <w:sz w:val="18"/>
              </w:rPr>
              <w:t>Is cyber a tailwind or a risk to the strategy?</w:t>
            </w:r>
          </w:p>
        </w:tc>
      </w:tr>
      <w:tr>
        <w:tc>
          <w:tcPr>
            <w:tcW w:type="dxa" w:w="2016"/>
          </w:tcPr>
          <w:p>
            <w:pPr>
              <w:spacing w:before="20" w:after="20"/>
            </w:pPr>
            <w:r>
              <w:rPr>
                <w:rFonts w:ascii="Calibri" w:hAnsi="Calibri"/>
                <w:b/>
                <w:i w:val="0"/>
                <w:color w:val="08243A"/>
                <w:sz w:val="18"/>
              </w:rPr>
              <w:t>CFO</w:t>
            </w:r>
          </w:p>
        </w:tc>
        <w:tc>
          <w:tcPr>
            <w:tcW w:type="dxa" w:w="1296"/>
          </w:tcPr>
          <w:p>
            <w:pPr>
              <w:spacing w:before="20" w:after="20"/>
            </w:pPr>
            <w:r>
              <w:rPr>
                <w:rFonts w:ascii="Calibri" w:hAnsi="Calibri"/>
                <w:b w:val="0"/>
                <w:i w:val="0"/>
                <w:color w:val="222A30"/>
                <w:sz w:val="18"/>
              </w:rPr>
              <w:t>cfo</w:t>
            </w:r>
          </w:p>
        </w:tc>
        <w:tc>
          <w:tcPr>
            <w:tcW w:type="dxa" w:w="6192"/>
          </w:tcPr>
          <w:p>
            <w:pPr>
              <w:spacing w:before="20" w:after="20"/>
            </w:pPr>
            <w:r>
              <w:rPr>
                <w:rFonts w:ascii="Calibri" w:hAnsi="Calibri"/>
                <w:b w:val="0"/>
                <w:i w:val="0"/>
                <w:color w:val="222A30"/>
                <w:sz w:val="18"/>
              </w:rPr>
              <w:t>What is the dollar exposure, the insurance gap, and the ROI?</w:t>
            </w:r>
          </w:p>
        </w:tc>
      </w:tr>
      <w:tr>
        <w:tc>
          <w:tcPr>
            <w:tcW w:type="dxa" w:w="2016"/>
            <w:shd w:val="clear" w:color="auto" w:fill="E7EEF3"/>
          </w:tcPr>
          <w:p>
            <w:pPr>
              <w:spacing w:before="20" w:after="20"/>
            </w:pPr>
            <w:r>
              <w:rPr>
                <w:rFonts w:ascii="Calibri" w:hAnsi="Calibri"/>
                <w:b/>
                <w:i w:val="0"/>
                <w:color w:val="08243A"/>
                <w:sz w:val="18"/>
              </w:rPr>
              <w:t>COO</w:t>
            </w:r>
          </w:p>
        </w:tc>
        <w:tc>
          <w:tcPr>
            <w:tcW w:type="dxa" w:w="1296"/>
            <w:shd w:val="clear" w:color="auto" w:fill="E7EEF3"/>
          </w:tcPr>
          <w:p>
            <w:pPr>
              <w:spacing w:before="20" w:after="20"/>
            </w:pPr>
            <w:r>
              <w:rPr>
                <w:rFonts w:ascii="Calibri" w:hAnsi="Calibri"/>
                <w:b w:val="0"/>
                <w:i w:val="0"/>
                <w:color w:val="222A30"/>
                <w:sz w:val="18"/>
              </w:rPr>
              <w:t>coo</w:t>
            </w:r>
          </w:p>
        </w:tc>
        <w:tc>
          <w:tcPr>
            <w:tcW w:type="dxa" w:w="6192"/>
            <w:shd w:val="clear" w:color="auto" w:fill="E7EEF3"/>
          </w:tcPr>
          <w:p>
            <w:pPr>
              <w:spacing w:before="20" w:after="20"/>
            </w:pPr>
            <w:r>
              <w:rPr>
                <w:rFonts w:ascii="Calibri" w:hAnsi="Calibri"/>
                <w:b w:val="0"/>
                <w:i w:val="0"/>
                <w:color w:val="222A30"/>
                <w:sz w:val="18"/>
              </w:rPr>
              <w:t>Can the business keep running through a cyber disruption?</w:t>
            </w:r>
          </w:p>
        </w:tc>
      </w:tr>
      <w:tr>
        <w:tc>
          <w:tcPr>
            <w:tcW w:type="dxa" w:w="2016"/>
          </w:tcPr>
          <w:p>
            <w:pPr>
              <w:spacing w:before="20" w:after="20"/>
            </w:pPr>
            <w:r>
              <w:rPr>
                <w:rFonts w:ascii="Calibri" w:hAnsi="Calibri"/>
                <w:b/>
                <w:i w:val="0"/>
                <w:color w:val="08243A"/>
                <w:sz w:val="18"/>
              </w:rPr>
              <w:t>CTO</w:t>
            </w:r>
          </w:p>
        </w:tc>
        <w:tc>
          <w:tcPr>
            <w:tcW w:type="dxa" w:w="1296"/>
          </w:tcPr>
          <w:p>
            <w:pPr>
              <w:spacing w:before="20" w:after="20"/>
            </w:pPr>
            <w:r>
              <w:rPr>
                <w:rFonts w:ascii="Calibri" w:hAnsi="Calibri"/>
                <w:b w:val="0"/>
                <w:i w:val="0"/>
                <w:color w:val="222A30"/>
                <w:sz w:val="18"/>
              </w:rPr>
              <w:t>cio</w:t>
            </w:r>
          </w:p>
        </w:tc>
        <w:tc>
          <w:tcPr>
            <w:tcW w:type="dxa" w:w="6192"/>
          </w:tcPr>
          <w:p>
            <w:pPr>
              <w:spacing w:before="20" w:after="20"/>
            </w:pPr>
            <w:r>
              <w:rPr>
                <w:rFonts w:ascii="Calibri" w:hAnsi="Calibri"/>
                <w:b w:val="0"/>
                <w:i w:val="0"/>
                <w:color w:val="222A30"/>
                <w:sz w:val="18"/>
              </w:rPr>
              <w:t>Which systems carry the business, and how healthy is the stack?</w:t>
            </w:r>
          </w:p>
        </w:tc>
      </w:tr>
      <w:tr>
        <w:tc>
          <w:tcPr>
            <w:tcW w:type="dxa" w:w="2016"/>
            <w:shd w:val="clear" w:color="auto" w:fill="E7EEF3"/>
          </w:tcPr>
          <w:p>
            <w:pPr>
              <w:spacing w:before="20" w:after="20"/>
            </w:pPr>
            <w:r>
              <w:rPr>
                <w:rFonts w:ascii="Calibri" w:hAnsi="Calibri"/>
                <w:b/>
                <w:i w:val="0"/>
                <w:color w:val="08243A"/>
                <w:sz w:val="18"/>
              </w:rPr>
              <w:t>CPO</w:t>
            </w:r>
          </w:p>
        </w:tc>
        <w:tc>
          <w:tcPr>
            <w:tcW w:type="dxa" w:w="1296"/>
            <w:shd w:val="clear" w:color="auto" w:fill="E7EEF3"/>
          </w:tcPr>
          <w:p>
            <w:pPr>
              <w:spacing w:before="20" w:after="20"/>
            </w:pPr>
            <w:r>
              <w:rPr>
                <w:rFonts w:ascii="Calibri" w:hAnsi="Calibri"/>
                <w:b w:val="0"/>
                <w:i w:val="0"/>
                <w:color w:val="222A30"/>
                <w:sz w:val="18"/>
              </w:rPr>
              <w:t>cpo</w:t>
            </w:r>
          </w:p>
        </w:tc>
        <w:tc>
          <w:tcPr>
            <w:tcW w:type="dxa" w:w="6192"/>
            <w:shd w:val="clear" w:color="auto" w:fill="E7EEF3"/>
          </w:tcPr>
          <w:p>
            <w:pPr>
              <w:spacing w:before="20" w:after="20"/>
            </w:pPr>
            <w:r>
              <w:rPr>
                <w:rFonts w:ascii="Calibri" w:hAnsi="Calibri"/>
                <w:b w:val="0"/>
                <w:i w:val="0"/>
                <w:color w:val="222A30"/>
                <w:sz w:val="18"/>
              </w:rPr>
              <w:t>Does the product ship secure by design?</w:t>
            </w:r>
          </w:p>
        </w:tc>
      </w:tr>
      <w:tr>
        <w:tc>
          <w:tcPr>
            <w:tcW w:type="dxa" w:w="2016"/>
          </w:tcPr>
          <w:p>
            <w:pPr>
              <w:spacing w:before="20" w:after="20"/>
            </w:pPr>
            <w:r>
              <w:rPr>
                <w:rFonts w:ascii="Calibri" w:hAnsi="Calibri"/>
                <w:b/>
                <w:i w:val="0"/>
                <w:color w:val="08243A"/>
                <w:sz w:val="18"/>
              </w:rPr>
              <w:t>CRO</w:t>
            </w:r>
          </w:p>
        </w:tc>
        <w:tc>
          <w:tcPr>
            <w:tcW w:type="dxa" w:w="1296"/>
          </w:tcPr>
          <w:p>
            <w:pPr>
              <w:spacing w:before="20" w:after="20"/>
            </w:pPr>
            <w:r>
              <w:rPr>
                <w:rFonts w:ascii="Calibri" w:hAnsi="Calibri"/>
                <w:b w:val="0"/>
                <w:i w:val="0"/>
                <w:color w:val="222A30"/>
                <w:sz w:val="18"/>
              </w:rPr>
              <w:t>cro</w:t>
            </w:r>
          </w:p>
        </w:tc>
        <w:tc>
          <w:tcPr>
            <w:tcW w:type="dxa" w:w="6192"/>
          </w:tcPr>
          <w:p>
            <w:pPr>
              <w:spacing w:before="20" w:after="20"/>
            </w:pPr>
            <w:r>
              <w:rPr>
                <w:rFonts w:ascii="Calibri" w:hAnsi="Calibri"/>
                <w:b w:val="0"/>
                <w:i w:val="0"/>
                <w:color w:val="222A30"/>
                <w:sz w:val="18"/>
              </w:rPr>
              <w:t>How does cyber sit beside our other principal risks?</w:t>
            </w:r>
          </w:p>
        </w:tc>
      </w:tr>
      <w:tr>
        <w:tc>
          <w:tcPr>
            <w:tcW w:type="dxa" w:w="2016"/>
            <w:shd w:val="clear" w:color="auto" w:fill="E7EEF3"/>
          </w:tcPr>
          <w:p>
            <w:pPr>
              <w:spacing w:before="20" w:after="20"/>
            </w:pPr>
            <w:r>
              <w:rPr>
                <w:rFonts w:ascii="Calibri" w:hAnsi="Calibri"/>
                <w:b/>
                <w:i w:val="0"/>
                <w:color w:val="08243A"/>
                <w:sz w:val="18"/>
              </w:rPr>
              <w:t>CLO</w:t>
            </w:r>
          </w:p>
        </w:tc>
        <w:tc>
          <w:tcPr>
            <w:tcW w:type="dxa" w:w="1296"/>
            <w:shd w:val="clear" w:color="auto" w:fill="E7EEF3"/>
          </w:tcPr>
          <w:p>
            <w:pPr>
              <w:spacing w:before="20" w:after="20"/>
            </w:pPr>
            <w:r>
              <w:rPr>
                <w:rFonts w:ascii="Calibri" w:hAnsi="Calibri"/>
                <w:b w:val="0"/>
                <w:i w:val="0"/>
                <w:color w:val="222A30"/>
                <w:sz w:val="18"/>
              </w:rPr>
              <w:t>clo</w:t>
            </w:r>
          </w:p>
        </w:tc>
        <w:tc>
          <w:tcPr>
            <w:tcW w:type="dxa" w:w="6192"/>
            <w:shd w:val="clear" w:color="auto" w:fill="E7EEF3"/>
          </w:tcPr>
          <w:p>
            <w:pPr>
              <w:spacing w:before="20" w:after="20"/>
            </w:pPr>
            <w:r>
              <w:rPr>
                <w:rFonts w:ascii="Calibri" w:hAnsi="Calibri"/>
                <w:b w:val="0"/>
                <w:i w:val="0"/>
                <w:color w:val="222A30"/>
                <w:sz w:val="18"/>
              </w:rPr>
              <w:t>Materiality, notification clocks, contracts, privacy — obligations surfaced.</w:t>
            </w:r>
          </w:p>
        </w:tc>
      </w:tr>
      <w:tr>
        <w:tc>
          <w:tcPr>
            <w:tcW w:type="dxa" w:w="2016"/>
          </w:tcPr>
          <w:p>
            <w:pPr>
              <w:spacing w:before="20" w:after="20"/>
            </w:pPr>
            <w:r>
              <w:rPr>
                <w:rFonts w:ascii="Calibri" w:hAnsi="Calibri"/>
                <w:b/>
                <w:i w:val="0"/>
                <w:color w:val="08243A"/>
                <w:sz w:val="18"/>
              </w:rPr>
              <w:t>Internal Audit</w:t>
            </w:r>
          </w:p>
        </w:tc>
        <w:tc>
          <w:tcPr>
            <w:tcW w:type="dxa" w:w="1296"/>
          </w:tcPr>
          <w:p>
            <w:pPr>
              <w:spacing w:before="20" w:after="20"/>
            </w:pPr>
            <w:r>
              <w:rPr>
                <w:rFonts w:ascii="Calibri" w:hAnsi="Calibri"/>
                <w:b w:val="0"/>
                <w:i w:val="0"/>
                <w:color w:val="222A30"/>
                <w:sz w:val="18"/>
              </w:rPr>
              <w:t>audit</w:t>
            </w:r>
          </w:p>
        </w:tc>
        <w:tc>
          <w:tcPr>
            <w:tcW w:type="dxa" w:w="6192"/>
          </w:tcPr>
          <w:p>
            <w:pPr>
              <w:spacing w:before="20" w:after="20"/>
            </w:pPr>
            <w:r>
              <w:rPr>
                <w:rFonts w:ascii="Calibri" w:hAnsi="Calibri"/>
                <w:b w:val="0"/>
                <w:i w:val="0"/>
                <w:color w:val="222A30"/>
                <w:sz w:val="18"/>
              </w:rPr>
              <w:t>Is control assurance evidence-based, not self-attested?</w:t>
            </w:r>
          </w:p>
        </w:tc>
      </w:tr>
      <w:tr>
        <w:tc>
          <w:tcPr>
            <w:tcW w:type="dxa" w:w="2016"/>
            <w:shd w:val="clear" w:color="auto" w:fill="E7EEF3"/>
          </w:tcPr>
          <w:p>
            <w:pPr>
              <w:spacing w:before="20" w:after="20"/>
            </w:pPr>
            <w:r>
              <w:rPr>
                <w:rFonts w:ascii="Calibri" w:hAnsi="Calibri"/>
                <w:b/>
                <w:i w:val="0"/>
                <w:color w:val="08243A"/>
                <w:sz w:val="18"/>
              </w:rPr>
              <w:t>Board</w:t>
            </w:r>
          </w:p>
        </w:tc>
        <w:tc>
          <w:tcPr>
            <w:tcW w:type="dxa" w:w="1296"/>
            <w:shd w:val="clear" w:color="auto" w:fill="E7EEF3"/>
          </w:tcPr>
          <w:p>
            <w:pPr>
              <w:spacing w:before="20" w:after="20"/>
            </w:pPr>
            <w:r>
              <w:rPr>
                <w:rFonts w:ascii="Calibri" w:hAnsi="Calibri"/>
                <w:b w:val="0"/>
                <w:i w:val="0"/>
                <w:color w:val="222A30"/>
                <w:sz w:val="18"/>
              </w:rPr>
              <w:t>board</w:t>
            </w:r>
          </w:p>
        </w:tc>
        <w:tc>
          <w:tcPr>
            <w:tcW w:type="dxa" w:w="6192"/>
            <w:shd w:val="clear" w:color="auto" w:fill="E7EEF3"/>
          </w:tcPr>
          <w:p>
            <w:pPr>
              <w:spacing w:before="20" w:after="20"/>
            </w:pPr>
            <w:r>
              <w:rPr>
                <w:rFonts w:ascii="Calibri" w:hAnsi="Calibri"/>
                <w:b w:val="0"/>
                <w:i w:val="0"/>
                <w:color w:val="222A30"/>
                <w:sz w:val="18"/>
              </w:rPr>
              <w:t>Oversight, disclosure readiness, and how we compare to peers.</w:t>
            </w:r>
          </w:p>
        </w:tc>
      </w:tr>
    </w:tbl>
    <w:p>
      <w:pPr>
        <w:spacing w:after="40"/>
      </w:pPr>
    </w:p>
    <w:p>
      <w:pPr>
        <w:spacing w:before="140" w:after="160"/>
        <w:ind w:left="86"/>
        <w:shd w:val="clear" w:color="auto" w:fill="EEF2F5"/>
        <w:pBdr>
          <w:left w:val="single" w:sz="24" w:space="6" w:color="1A5FA0"/>
        </w:pBdr>
      </w:pPr>
      <w:r>
        <w:rPr>
          <w:rFonts w:ascii="Calibri" w:hAnsi="Calibri"/>
          <w:b/>
          <w:i w:val="0"/>
          <w:caps/>
          <w:color w:val="1A5FA0"/>
          <w:sz w:val="17"/>
          <w:spacing w:val="25"/>
        </w:rPr>
        <w:t xml:space="preserve">KEY TAKEAWAY   </w:t>
      </w:r>
      <w:r>
        <w:rPr>
          <w:rFonts w:ascii="Calibri" w:hAnsi="Calibri"/>
          <w:b w:val="0"/>
          <w:i w:val="0"/>
          <w:color w:val="222A30"/>
          <w:sz w:val="20"/>
        </w:rPr>
        <w:t>You describe the business once during onboarding. Nerion maps process → system → crown jewel → risk → control, prices the exposure, and lights up all ten seats from that single description.</w:t>
      </w:r>
    </w:p>
    <w:p>
      <w:pPr>
        <w:spacing w:before="260" w:after="60"/>
        <w:outlineLvl w:val="1"/>
      </w:pPr>
      <w:r>
        <w:rPr>
          <w:rFonts w:ascii="Georgia" w:hAnsi="Georgia"/>
          <w:b/>
          <w:i w:val="0"/>
          <w:color w:val="2FA3D6"/>
          <w:sz w:val="28"/>
        </w:rPr>
        <w:t xml:space="preserve">1.2  </w:t>
      </w:r>
      <w:r>
        <w:rPr>
          <w:rFonts w:ascii="Georgia" w:hAnsi="Georgia"/>
          <w:b/>
          <w:i w:val="0"/>
          <w:color w:val="1A5FA0"/>
          <w:sz w:val="28"/>
        </w:rPr>
        <w:t>The provenance engine — how to read any number</w:t>
      </w:r>
    </w:p>
    <w:p>
      <w:pPr>
        <w:spacing w:before="0" w:after="120"/>
      </w:pPr>
      <w:r>
        <w:rPr>
          <w:rFonts w:ascii="Calibri" w:hAnsi="Calibri"/>
          <w:b w:val="0"/>
          <w:i w:val="0"/>
          <w:color w:val="222A30"/>
          <w:sz w:val="21"/>
        </w:rPr>
        <w:t>Every headline number in Nerion is backed by a provenance record. Tapping any tile, card or stat opens an inspection panel that shows exactly how the number was produced. This is what makes the platform defensible in front of an auditor or regulator — no figure is a black box.</w:t>
      </w:r>
    </w:p>
    <w:p>
      <w:pPr>
        <w:spacing w:before="200" w:after="60"/>
      </w:pPr>
      <w:r>
        <w:rPr>
          <w:rFonts w:ascii="Calibri" w:hAnsi="Calibri"/>
          <w:b/>
          <w:i w:val="0"/>
          <w:caps/>
          <w:color w:val="2FA3D6"/>
          <w:sz w:val="17"/>
          <w:spacing w:val="18"/>
        </w:rPr>
        <w:t xml:space="preserve">EXHIBIT — </w:t>
      </w:r>
      <w:r>
        <w:rPr>
          <w:rFonts w:ascii="Calibri" w:hAnsi="Calibri"/>
          <w:b/>
          <w:i w:val="0"/>
          <w:caps/>
          <w:color w:val="5B6B76"/>
          <w:sz w:val="17"/>
          <w:spacing w:val="18"/>
        </w:rPr>
        <w:t>What the inspection panel shows, top to bottom</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Section</w:t>
            </w:r>
          </w:p>
        </w:tc>
        <w:tc>
          <w:tcPr>
            <w:tcW w:type="dxa" w:w="6912"/>
            <w:shd w:val="clear" w:color="auto" w:fill="08243A"/>
          </w:tcPr>
          <w:p>
            <w:pPr>
              <w:spacing w:before="40" w:after="40"/>
            </w:pPr>
            <w:r>
              <w:rPr>
                <w:rFonts w:ascii="Calibri" w:hAnsi="Calibri"/>
                <w:b/>
                <w:i w:val="0"/>
                <w:color w:val="FFFFFF"/>
                <w:sz w:val="18"/>
              </w:rPr>
              <w:t>What it contains</w:t>
            </w:r>
          </w:p>
        </w:tc>
      </w:tr>
      <w:tr>
        <w:tc>
          <w:tcPr>
            <w:tcW w:type="dxa" w:w="2448"/>
          </w:tcPr>
          <w:p>
            <w:pPr>
              <w:spacing w:before="20" w:after="20"/>
            </w:pPr>
            <w:r>
              <w:rPr>
                <w:rFonts w:ascii="Calibri" w:hAnsi="Calibri"/>
                <w:b/>
                <w:i w:val="0"/>
                <w:color w:val="08243A"/>
                <w:sz w:val="18"/>
              </w:rPr>
              <w:t>Claim + label</w:t>
            </w:r>
          </w:p>
        </w:tc>
        <w:tc>
          <w:tcPr>
            <w:tcW w:type="dxa" w:w="6912"/>
          </w:tcPr>
          <w:p>
            <w:pPr>
              <w:spacing w:before="20" w:after="20"/>
            </w:pPr>
            <w:r>
              <w:rPr>
                <w:rFonts w:ascii="Calibri" w:hAnsi="Calibri"/>
                <w:b w:val="0"/>
                <w:i w:val="0"/>
                <w:color w:val="222A30"/>
                <w:sz w:val="18"/>
              </w:rPr>
              <w:t>The metric name and its provenance chip (live / computed / modeled / self-reported).</w:t>
            </w:r>
          </w:p>
        </w:tc>
      </w:tr>
      <w:tr>
        <w:tc>
          <w:tcPr>
            <w:tcW w:type="dxa" w:w="2448"/>
            <w:shd w:val="clear" w:color="auto" w:fill="E7EEF3"/>
          </w:tcPr>
          <w:p>
            <w:pPr>
              <w:spacing w:before="20" w:after="20"/>
            </w:pPr>
            <w:r>
              <w:rPr>
                <w:rFonts w:ascii="Calibri" w:hAnsi="Calibri"/>
                <w:b/>
                <w:i w:val="0"/>
                <w:color w:val="08243A"/>
                <w:sz w:val="18"/>
              </w:rPr>
              <w:t>Result</w:t>
            </w:r>
          </w:p>
        </w:tc>
        <w:tc>
          <w:tcPr>
            <w:tcW w:type="dxa" w:w="6912"/>
            <w:shd w:val="clear" w:color="auto" w:fill="E7EEF3"/>
          </w:tcPr>
          <w:p>
            <w:pPr>
              <w:spacing w:before="20" w:after="20"/>
            </w:pPr>
            <w:r>
              <w:rPr>
                <w:rFonts w:ascii="Calibri" w:hAnsi="Calibri"/>
                <w:b w:val="0"/>
                <w:i w:val="0"/>
                <w:color w:val="222A30"/>
                <w:sz w:val="18"/>
              </w:rPr>
              <w:t>The value, coloured by status; or an honest “Not connected”.</w:t>
            </w:r>
          </w:p>
        </w:tc>
      </w:tr>
      <w:tr>
        <w:tc>
          <w:tcPr>
            <w:tcW w:type="dxa" w:w="2448"/>
          </w:tcPr>
          <w:p>
            <w:pPr>
              <w:spacing w:before="20" w:after="20"/>
            </w:pPr>
            <w:r>
              <w:rPr>
                <w:rFonts w:ascii="Calibri" w:hAnsi="Calibri"/>
                <w:b/>
                <w:i w:val="0"/>
                <w:color w:val="08243A"/>
                <w:sz w:val="18"/>
              </w:rPr>
              <w:t>How it’s computed</w:t>
            </w:r>
          </w:p>
        </w:tc>
        <w:tc>
          <w:tcPr>
            <w:tcW w:type="dxa" w:w="6912"/>
          </w:tcPr>
          <w:p>
            <w:pPr>
              <w:spacing w:before="20" w:after="20"/>
            </w:pPr>
            <w:r>
              <w:rPr>
                <w:rFonts w:ascii="Calibri" w:hAnsi="Calibri"/>
                <w:b w:val="0"/>
                <w:i w:val="0"/>
                <w:color w:val="222A30"/>
                <w:sz w:val="18"/>
              </w:rPr>
              <w:t>The formula — the exact arithmetic or rule.</w:t>
            </w:r>
          </w:p>
        </w:tc>
      </w:tr>
      <w:tr>
        <w:tc>
          <w:tcPr>
            <w:tcW w:type="dxa" w:w="2448"/>
            <w:shd w:val="clear" w:color="auto" w:fill="E7EEF3"/>
          </w:tcPr>
          <w:p>
            <w:pPr>
              <w:spacing w:before="20" w:after="20"/>
            </w:pPr>
            <w:r>
              <w:rPr>
                <w:rFonts w:ascii="Calibri" w:hAnsi="Calibri"/>
                <w:b/>
                <w:i w:val="0"/>
                <w:color w:val="08243A"/>
                <w:sz w:val="18"/>
              </w:rPr>
              <w:t>Method</w:t>
            </w:r>
          </w:p>
        </w:tc>
        <w:tc>
          <w:tcPr>
            <w:tcW w:type="dxa" w:w="6912"/>
            <w:shd w:val="clear" w:color="auto" w:fill="E7EEF3"/>
          </w:tcPr>
          <w:p>
            <w:pPr>
              <w:spacing w:before="20" w:after="20"/>
            </w:pPr>
            <w:r>
              <w:rPr>
                <w:rFonts w:ascii="Calibri" w:hAnsi="Calibri"/>
                <w:b w:val="0"/>
                <w:i w:val="0"/>
                <w:color w:val="222A30"/>
                <w:sz w:val="18"/>
              </w:rPr>
              <w:t>A plain-language explanation, including thresholds and definitions.</w:t>
            </w:r>
          </w:p>
        </w:tc>
      </w:tr>
      <w:tr>
        <w:tc>
          <w:tcPr>
            <w:tcW w:type="dxa" w:w="2448"/>
          </w:tcPr>
          <w:p>
            <w:pPr>
              <w:spacing w:before="20" w:after="20"/>
            </w:pPr>
            <w:r>
              <w:rPr>
                <w:rFonts w:ascii="Calibri" w:hAnsi="Calibri"/>
                <w:b/>
                <w:i w:val="0"/>
                <w:color w:val="08243A"/>
                <w:sz w:val="18"/>
              </w:rPr>
              <w:t>Inputs</w:t>
            </w:r>
          </w:p>
        </w:tc>
        <w:tc>
          <w:tcPr>
            <w:tcW w:type="dxa" w:w="6912"/>
          </w:tcPr>
          <w:p>
            <w:pPr>
              <w:spacing w:before="20" w:after="20"/>
            </w:pPr>
            <w:r>
              <w:rPr>
                <w:rFonts w:ascii="Calibri" w:hAnsi="Calibri"/>
                <w:b w:val="0"/>
                <w:i w:val="0"/>
                <w:color w:val="222A30"/>
                <w:sz w:val="18"/>
              </w:rPr>
              <w:t>A table of every input, its value and its source — ending in a “= result” row so the number reconstructs from what you see.</w:t>
            </w:r>
          </w:p>
        </w:tc>
      </w:tr>
      <w:tr>
        <w:tc>
          <w:tcPr>
            <w:tcW w:type="dxa" w:w="2448"/>
            <w:shd w:val="clear" w:color="auto" w:fill="E7EEF3"/>
          </w:tcPr>
          <w:p>
            <w:pPr>
              <w:spacing w:before="20" w:after="20"/>
            </w:pPr>
            <w:r>
              <w:rPr>
                <w:rFonts w:ascii="Calibri" w:hAnsi="Calibri"/>
                <w:b/>
                <w:i w:val="0"/>
                <w:color w:val="08243A"/>
                <w:sz w:val="18"/>
              </w:rPr>
              <w:t>Sources</w:t>
            </w:r>
          </w:p>
        </w:tc>
        <w:tc>
          <w:tcPr>
            <w:tcW w:type="dxa" w:w="6912"/>
            <w:shd w:val="clear" w:color="auto" w:fill="E7EEF3"/>
          </w:tcPr>
          <w:p>
            <w:pPr>
              <w:spacing w:before="20" w:after="20"/>
            </w:pPr>
            <w:r>
              <w:rPr>
                <w:rFonts w:ascii="Calibri" w:hAnsi="Calibri"/>
                <w:b w:val="0"/>
                <w:i w:val="0"/>
                <w:color w:val="222A30"/>
                <w:sz w:val="18"/>
              </w:rPr>
              <w:t>The tool · connector · field · last-refresh behind each input.</w:t>
            </w:r>
          </w:p>
        </w:tc>
      </w:tr>
      <w:tr>
        <w:tc>
          <w:tcPr>
            <w:tcW w:type="dxa" w:w="2448"/>
          </w:tcPr>
          <w:p>
            <w:pPr>
              <w:spacing w:before="20" w:after="20"/>
            </w:pPr>
            <w:r>
              <w:rPr>
                <w:rFonts w:ascii="Calibri" w:hAnsi="Calibri"/>
                <w:b/>
                <w:i w:val="0"/>
                <w:color w:val="08243A"/>
                <w:sz w:val="18"/>
              </w:rPr>
              <w:t>Why it matters</w:t>
            </w:r>
          </w:p>
        </w:tc>
        <w:tc>
          <w:tcPr>
            <w:tcW w:type="dxa" w:w="6912"/>
          </w:tcPr>
          <w:p>
            <w:pPr>
              <w:spacing w:before="20" w:after="20"/>
            </w:pPr>
            <w:r>
              <w:rPr>
                <w:rFonts w:ascii="Calibri" w:hAnsi="Calibri"/>
                <w:b w:val="0"/>
                <w:i w:val="0"/>
                <w:color w:val="222A30"/>
                <w:sz w:val="18"/>
              </w:rPr>
              <w:t>One sentence of business context.</w:t>
            </w:r>
          </w:p>
        </w:tc>
      </w:tr>
    </w:tbl>
    <w:p>
      <w:pPr>
        <w:spacing w:after="40"/>
      </w:pPr>
    </w:p>
    <w:p>
      <w:pPr>
        <w:spacing w:before="140" w:after="160"/>
        <w:ind w:left="86"/>
        <w:shd w:val="clear" w:color="auto" w:fill="EEF2F5"/>
        <w:pBdr>
          <w:left w:val="single" w:sz="24" w:space="6" w:color="1A5FA0"/>
        </w:pBdr>
      </w:pPr>
      <w:r>
        <w:rPr>
          <w:rFonts w:ascii="Calibri" w:hAnsi="Calibri"/>
          <w:b/>
          <w:i w:val="0"/>
          <w:caps/>
          <w:color w:val="1A5FA0"/>
          <w:sz w:val="17"/>
          <w:spacing w:val="25"/>
        </w:rPr>
        <w:t xml:space="preserve">NOTE   </w:t>
      </w:r>
      <w:r>
        <w:rPr>
          <w:rFonts w:ascii="Calibri" w:hAnsi="Calibri"/>
          <w:b w:val="0"/>
          <w:i w:val="0"/>
          <w:color w:val="222A30"/>
          <w:sz w:val="20"/>
        </w:rPr>
        <w:t>Hover any box for a one-line explanation; tap it for the full trace above. Every computed number is designed to “stand alone” — its inputs, shown in the panel, reconstruct the displayed value.</w:t>
      </w:r>
    </w:p>
    <w:p>
      <w:pPr>
        <w:spacing w:before="260" w:after="60"/>
        <w:outlineLvl w:val="1"/>
      </w:pPr>
      <w:r>
        <w:rPr>
          <w:rFonts w:ascii="Georgia" w:hAnsi="Georgia"/>
          <w:b/>
          <w:i w:val="0"/>
          <w:color w:val="2FA3D6"/>
          <w:sz w:val="28"/>
        </w:rPr>
        <w:t xml:space="preserve">1.3  </w:t>
      </w:r>
      <w:r>
        <w:rPr>
          <w:rFonts w:ascii="Georgia" w:hAnsi="Georgia"/>
          <w:b/>
          <w:i w:val="0"/>
          <w:color w:val="1A5FA0"/>
          <w:sz w:val="28"/>
        </w:rPr>
        <w:t>The four provenance labels</w:t>
      </w:r>
    </w:p>
    <w:p>
      <w:pPr>
        <w:spacing w:before="0" w:after="120"/>
      </w:pPr>
      <w:r>
        <w:rPr>
          <w:rFonts w:ascii="Calibri" w:hAnsi="Calibri"/>
          <w:b w:val="0"/>
          <w:i w:val="0"/>
          <w:color w:val="222A30"/>
          <w:sz w:val="21"/>
        </w:rPr>
        <w:t>Every metric declares what kind of number it is. The label is the heart of the honesty system: a big precise figure means nothing unless you know whether it is a measurement, a model, or an input you provided.</w:t>
      </w:r>
    </w:p>
    <w:p>
      <w:pPr>
        <w:spacing w:before="200" w:after="60"/>
      </w:pPr>
      <w:r>
        <w:rPr>
          <w:rFonts w:ascii="Calibri" w:hAnsi="Calibri"/>
          <w:b/>
          <w:i w:val="0"/>
          <w:caps/>
          <w:color w:val="2FA3D6"/>
          <w:sz w:val="17"/>
          <w:spacing w:val="18"/>
        </w:rPr>
        <w:t xml:space="preserve">EXHIBIT — </w:t>
      </w:r>
      <w:r>
        <w:rPr>
          <w:rFonts w:ascii="Calibri" w:hAnsi="Calibri"/>
          <w:b/>
          <w:i w:val="0"/>
          <w:caps/>
          <w:color w:val="5B6B76"/>
          <w:sz w:val="17"/>
          <w:spacing w:val="18"/>
        </w:rPr>
        <w:t>Provenance labels</w:t>
      </w:r>
    </w:p>
    <w:tbl>
      <w:tblPr>
        <w:tblW w:type="auto" w:w="0"/>
        <w:jc w:val="center"/>
        <w:tblLook w:firstColumn="1" w:firstRow="1" w:lastColumn="0" w:lastRow="0" w:noHBand="0" w:noVBand="1" w:val="04A0"/>
      </w:tblPr>
      <w:tblGrid>
        <w:gridCol w:w="3120"/>
        <w:gridCol w:w="3120"/>
        <w:gridCol w:w="3120"/>
      </w:tblGrid>
      <w:tr>
        <w:tc>
          <w:tcPr>
            <w:tcW w:type="dxa" w:w="2016"/>
            <w:shd w:val="clear" w:color="auto" w:fill="08243A"/>
          </w:tcPr>
          <w:p>
            <w:pPr>
              <w:spacing w:before="40" w:after="40"/>
            </w:pPr>
            <w:r>
              <w:rPr>
                <w:rFonts w:ascii="Calibri" w:hAnsi="Calibri"/>
                <w:b/>
                <w:i w:val="0"/>
                <w:color w:val="FFFFFF"/>
                <w:sz w:val="18"/>
              </w:rPr>
              <w:t>Label</w:t>
            </w:r>
          </w:p>
        </w:tc>
        <w:tc>
          <w:tcPr>
            <w:tcW w:type="dxa" w:w="4320"/>
            <w:shd w:val="clear" w:color="auto" w:fill="08243A"/>
          </w:tcPr>
          <w:p>
            <w:pPr>
              <w:spacing w:before="40" w:after="40"/>
            </w:pPr>
            <w:r>
              <w:rPr>
                <w:rFonts w:ascii="Calibri" w:hAnsi="Calibri"/>
                <w:b/>
                <w:i w:val="0"/>
                <w:color w:val="FFFFFF"/>
                <w:sz w:val="18"/>
              </w:rPr>
              <w:t>Meaning</w:t>
            </w:r>
          </w:p>
        </w:tc>
        <w:tc>
          <w:tcPr>
            <w:tcW w:type="dxa" w:w="3024"/>
            <w:shd w:val="clear" w:color="auto" w:fill="08243A"/>
          </w:tcPr>
          <w:p>
            <w:pPr>
              <w:spacing w:before="40" w:after="40"/>
            </w:pPr>
            <w:r>
              <w:rPr>
                <w:rFonts w:ascii="Calibri" w:hAnsi="Calibri"/>
                <w:b/>
                <w:i w:val="0"/>
                <w:color w:val="FFFFFF"/>
                <w:sz w:val="18"/>
              </w:rPr>
              <w:t>Trust it because…</w:t>
            </w:r>
          </w:p>
        </w:tc>
      </w:tr>
      <w:tr>
        <w:tc>
          <w:tcPr>
            <w:tcW w:type="dxa" w:w="2016"/>
          </w:tcPr>
          <w:p>
            <w:pPr>
              <w:spacing w:before="20" w:after="20"/>
            </w:pPr>
            <w:r>
              <w:rPr>
                <w:rFonts w:ascii="Calibri" w:hAnsi="Calibri"/>
                <w:b/>
                <w:i w:val="0"/>
                <w:color w:val="08243A"/>
                <w:sz w:val="18"/>
              </w:rPr>
              <w:t>LIVE</w:t>
            </w:r>
          </w:p>
        </w:tc>
        <w:tc>
          <w:tcPr>
            <w:tcW w:type="dxa" w:w="4320"/>
          </w:tcPr>
          <w:p>
            <w:pPr>
              <w:spacing w:before="20" w:after="20"/>
            </w:pPr>
            <w:r>
              <w:rPr>
                <w:rFonts w:ascii="Calibri" w:hAnsi="Calibri"/>
                <w:b w:val="0"/>
                <w:i w:val="0"/>
                <w:color w:val="222A30"/>
                <w:sz w:val="18"/>
              </w:rPr>
              <w:t>A direct/continuous read from a connected tool</w:t>
            </w:r>
          </w:p>
        </w:tc>
        <w:tc>
          <w:tcPr>
            <w:tcW w:type="dxa" w:w="3024"/>
          </w:tcPr>
          <w:p>
            <w:pPr>
              <w:spacing w:before="20" w:after="20"/>
            </w:pPr>
            <w:r>
              <w:rPr>
                <w:rFonts w:ascii="Calibri" w:hAnsi="Calibri"/>
                <w:b w:val="0"/>
                <w:i w:val="0"/>
                <w:color w:val="222A30"/>
                <w:sz w:val="18"/>
              </w:rPr>
              <w:t>it is your tool’s own number, refreshed on load.</w:t>
            </w:r>
          </w:p>
        </w:tc>
      </w:tr>
      <w:tr>
        <w:tc>
          <w:tcPr>
            <w:tcW w:type="dxa" w:w="2016"/>
            <w:shd w:val="clear" w:color="auto" w:fill="E7EEF3"/>
          </w:tcPr>
          <w:p>
            <w:pPr>
              <w:spacing w:before="20" w:after="20"/>
            </w:pPr>
            <w:r>
              <w:rPr>
                <w:rFonts w:ascii="Calibri" w:hAnsi="Calibri"/>
                <w:b/>
                <w:i w:val="0"/>
                <w:color w:val="08243A"/>
                <w:sz w:val="18"/>
              </w:rPr>
              <w:t>COMPUTED</w:t>
            </w:r>
          </w:p>
        </w:tc>
        <w:tc>
          <w:tcPr>
            <w:tcW w:type="dxa" w:w="4320"/>
            <w:shd w:val="clear" w:color="auto" w:fill="E7EEF3"/>
          </w:tcPr>
          <w:p>
            <w:pPr>
              <w:spacing w:before="20" w:after="20"/>
            </w:pPr>
            <w:r>
              <w:rPr>
                <w:rFonts w:ascii="Calibri" w:hAnsi="Calibri"/>
                <w:b w:val="0"/>
                <w:i w:val="0"/>
                <w:color w:val="222A30"/>
                <w:sz w:val="18"/>
              </w:rPr>
              <w:t>Arithmetic derived from connected data</w:t>
            </w:r>
          </w:p>
        </w:tc>
        <w:tc>
          <w:tcPr>
            <w:tcW w:type="dxa" w:w="3024"/>
            <w:shd w:val="clear" w:color="auto" w:fill="E7EEF3"/>
          </w:tcPr>
          <w:p>
            <w:pPr>
              <w:spacing w:before="20" w:after="20"/>
            </w:pPr>
            <w:r>
              <w:rPr>
                <w:rFonts w:ascii="Calibri" w:hAnsi="Calibri"/>
                <w:b w:val="0"/>
                <w:i w:val="0"/>
                <w:color w:val="222A30"/>
                <w:sz w:val="18"/>
              </w:rPr>
              <w:t>every input is shown and traceable.</w:t>
            </w:r>
          </w:p>
        </w:tc>
      </w:tr>
      <w:tr>
        <w:tc>
          <w:tcPr>
            <w:tcW w:type="dxa" w:w="2016"/>
          </w:tcPr>
          <w:p>
            <w:pPr>
              <w:spacing w:before="20" w:after="20"/>
            </w:pPr>
            <w:r>
              <w:rPr>
                <w:rFonts w:ascii="Calibri" w:hAnsi="Calibri"/>
                <w:b/>
                <w:i w:val="0"/>
                <w:color w:val="08243A"/>
                <w:sz w:val="18"/>
              </w:rPr>
              <w:t>MODELED</w:t>
            </w:r>
          </w:p>
        </w:tc>
        <w:tc>
          <w:tcPr>
            <w:tcW w:type="dxa" w:w="4320"/>
          </w:tcPr>
          <w:p>
            <w:pPr>
              <w:spacing w:before="20" w:after="20"/>
            </w:pPr>
            <w:r>
              <w:rPr>
                <w:rFonts w:ascii="Calibri" w:hAnsi="Calibri"/>
                <w:b w:val="0"/>
                <w:i w:val="0"/>
                <w:color w:val="222A30"/>
                <w:sz w:val="18"/>
              </w:rPr>
              <w:t>A simulation or estimate (e.g. ALE, tail VaR)</w:t>
            </w:r>
          </w:p>
        </w:tc>
        <w:tc>
          <w:tcPr>
            <w:tcW w:type="dxa" w:w="3024"/>
          </w:tcPr>
          <w:p>
            <w:pPr>
              <w:spacing w:before="20" w:after="20"/>
            </w:pPr>
            <w:r>
              <w:rPr>
                <w:rFonts w:ascii="Calibri" w:hAnsi="Calibri"/>
                <w:b w:val="0"/>
                <w:i w:val="0"/>
                <w:color w:val="222A30"/>
                <w:sz w:val="18"/>
              </w:rPr>
              <w:t>it is a model, not a measurement; the panel shows how the model runs.</w:t>
            </w:r>
          </w:p>
        </w:tc>
      </w:tr>
      <w:tr>
        <w:tc>
          <w:tcPr>
            <w:tcW w:type="dxa" w:w="2016"/>
            <w:shd w:val="clear" w:color="auto" w:fill="E7EEF3"/>
          </w:tcPr>
          <w:p>
            <w:pPr>
              <w:spacing w:before="20" w:after="20"/>
            </w:pPr>
            <w:r>
              <w:rPr>
                <w:rFonts w:ascii="Calibri" w:hAnsi="Calibri"/>
                <w:b/>
                <w:i w:val="0"/>
                <w:color w:val="08243A"/>
                <w:sz w:val="18"/>
              </w:rPr>
              <w:t>SELF-REPORTED</w:t>
            </w:r>
          </w:p>
        </w:tc>
        <w:tc>
          <w:tcPr>
            <w:tcW w:type="dxa" w:w="4320"/>
            <w:shd w:val="clear" w:color="auto" w:fill="E7EEF3"/>
          </w:tcPr>
          <w:p>
            <w:pPr>
              <w:spacing w:before="20" w:after="20"/>
            </w:pPr>
            <w:r>
              <w:rPr>
                <w:rFonts w:ascii="Calibri" w:hAnsi="Calibri"/>
                <w:b w:val="0"/>
                <w:i w:val="0"/>
                <w:color w:val="222A30"/>
                <w:sz w:val="18"/>
              </w:rPr>
              <w:t>A value you entered at onboarding</w:t>
            </w:r>
          </w:p>
        </w:tc>
        <w:tc>
          <w:tcPr>
            <w:tcW w:type="dxa" w:w="3024"/>
            <w:shd w:val="clear" w:color="auto" w:fill="E7EEF3"/>
          </w:tcPr>
          <w:p>
            <w:pPr>
              <w:spacing w:before="20" w:after="20"/>
            </w:pPr>
            <w:r>
              <w:rPr>
                <w:rFonts w:ascii="Calibri" w:hAnsi="Calibri"/>
                <w:b w:val="0"/>
                <w:i w:val="0"/>
                <w:color w:val="222A30"/>
                <w:sz w:val="18"/>
              </w:rPr>
              <w:t>it is your own input (e.g. board appetite, policy limit).</w:t>
            </w:r>
          </w:p>
        </w:tc>
      </w:tr>
    </w:tbl>
    <w:p>
      <w:pPr>
        <w:spacing w:after="40"/>
      </w:pPr>
    </w:p>
    <w:p>
      <w:pPr>
        <w:spacing w:before="140" w:after="160"/>
        <w:ind w:left="86"/>
        <w:shd w:val="clear" w:color="auto" w:fill="FBF1E4"/>
        <w:pBdr>
          <w:left w:val="single" w:sz="24" w:space="6" w:color="B06A00"/>
        </w:pBdr>
      </w:pPr>
      <w:r>
        <w:rPr>
          <w:rFonts w:ascii="Calibri" w:hAnsi="Calibri"/>
          <w:b/>
          <w:i w:val="0"/>
          <w:caps/>
          <w:color w:val="B06A00"/>
          <w:sz w:val="17"/>
          <w:spacing w:val="25"/>
        </w:rPr>
        <w:t xml:space="preserve">IMPORTANT   </w:t>
      </w:r>
      <w:r>
        <w:rPr>
          <w:rFonts w:ascii="Calibri" w:hAnsi="Calibri"/>
          <w:b w:val="0"/>
          <w:i w:val="0"/>
          <w:color w:val="222A30"/>
          <w:sz w:val="20"/>
        </w:rPr>
        <w:t>Until you connect tools and complete onboarding, many figures are MODELED defaults marked illustrative. They are labelled honestly rather than presented as your real position — connect your data to make them LIVE.</w:t>
      </w:r>
    </w:p>
    <w:p>
      <w:pPr>
        <w:spacing w:before="260" w:after="60"/>
        <w:outlineLvl w:val="1"/>
      </w:pPr>
      <w:r>
        <w:rPr>
          <w:rFonts w:ascii="Georgia" w:hAnsi="Georgia"/>
          <w:b/>
          <w:i w:val="0"/>
          <w:color w:val="2FA3D6"/>
          <w:sz w:val="28"/>
        </w:rPr>
        <w:t xml:space="preserve">1.4  </w:t>
      </w:r>
      <w:r>
        <w:rPr>
          <w:rFonts w:ascii="Georgia" w:hAnsi="Georgia"/>
          <w:b/>
          <w:i w:val="0"/>
          <w:color w:val="1A5FA0"/>
          <w:sz w:val="28"/>
        </w:rPr>
        <w:t>The status colours</w:t>
      </w:r>
    </w:p>
    <w:p>
      <w:pPr>
        <w:spacing w:before="200" w:after="60"/>
      </w:pPr>
      <w:r>
        <w:rPr>
          <w:rFonts w:ascii="Calibri" w:hAnsi="Calibri"/>
          <w:b/>
          <w:i w:val="0"/>
          <w:caps/>
          <w:color w:val="2FA3D6"/>
          <w:sz w:val="17"/>
          <w:spacing w:val="18"/>
        </w:rPr>
        <w:t xml:space="preserve">EXHIBIT — </w:t>
      </w:r>
      <w:r>
        <w:rPr>
          <w:rFonts w:ascii="Calibri" w:hAnsi="Calibri"/>
          <w:b/>
          <w:i w:val="0"/>
          <w:caps/>
          <w:color w:val="5B6B76"/>
          <w:sz w:val="17"/>
          <w:spacing w:val="18"/>
        </w:rPr>
        <w:t>Status colours</w:t>
      </w:r>
    </w:p>
    <w:tbl>
      <w:tblPr>
        <w:tblW w:type="auto" w:w="0"/>
        <w:jc w:val="center"/>
        <w:tblLook w:firstColumn="1" w:firstRow="1" w:lastColumn="0" w:lastRow="0" w:noHBand="0" w:noVBand="1" w:val="04A0"/>
      </w:tblPr>
      <w:tblGrid>
        <w:gridCol w:w="3120"/>
        <w:gridCol w:w="3120"/>
        <w:gridCol w:w="3120"/>
      </w:tblGrid>
      <w:tr>
        <w:tc>
          <w:tcPr>
            <w:tcW w:type="dxa" w:w="1728"/>
            <w:shd w:val="clear" w:color="auto" w:fill="08243A"/>
          </w:tcPr>
          <w:p>
            <w:pPr>
              <w:spacing w:before="40" w:after="40"/>
            </w:pPr>
            <w:r>
              <w:rPr>
                <w:rFonts w:ascii="Calibri" w:hAnsi="Calibri"/>
                <w:b/>
                <w:i w:val="0"/>
                <w:color w:val="FFFFFF"/>
                <w:sz w:val="18"/>
              </w:rPr>
              <w:t>Colour</w:t>
            </w:r>
          </w:p>
        </w:tc>
        <w:tc>
          <w:tcPr>
            <w:tcW w:type="dxa" w:w="2304"/>
            <w:shd w:val="clear" w:color="auto" w:fill="08243A"/>
          </w:tcPr>
          <w:p>
            <w:pPr>
              <w:spacing w:before="40" w:after="40"/>
            </w:pPr>
            <w:r>
              <w:rPr>
                <w:rFonts w:ascii="Calibri" w:hAnsi="Calibri"/>
                <w:b/>
                <w:i w:val="0"/>
                <w:color w:val="FFFFFF"/>
                <w:sz w:val="18"/>
              </w:rPr>
              <w:t>Tile label</w:t>
            </w:r>
          </w:p>
        </w:tc>
        <w:tc>
          <w:tcPr>
            <w:tcW w:type="dxa" w:w="5328"/>
            <w:shd w:val="clear" w:color="auto" w:fill="08243A"/>
          </w:tcPr>
          <w:p>
            <w:pPr>
              <w:spacing w:before="40" w:after="40"/>
            </w:pPr>
            <w:r>
              <w:rPr>
                <w:rFonts w:ascii="Calibri" w:hAnsi="Calibri"/>
                <w:b/>
                <w:i w:val="0"/>
                <w:color w:val="FFFFFF"/>
                <w:sz w:val="18"/>
              </w:rPr>
              <w:t>Capability scale (deployment %)</w:t>
            </w:r>
          </w:p>
        </w:tc>
      </w:tr>
      <w:tr>
        <w:tc>
          <w:tcPr>
            <w:tcW w:type="dxa" w:w="1728"/>
          </w:tcPr>
          <w:p>
            <w:pPr>
              <w:spacing w:before="20" w:after="20"/>
            </w:pPr>
            <w:r>
              <w:rPr>
                <w:rFonts w:ascii="Calibri" w:hAnsi="Calibri"/>
                <w:b/>
                <w:i w:val="0"/>
                <w:color w:val="08243A"/>
                <w:sz w:val="18"/>
              </w:rPr>
              <w:t>Green</w:t>
            </w:r>
          </w:p>
        </w:tc>
        <w:tc>
          <w:tcPr>
            <w:tcW w:type="dxa" w:w="2304"/>
          </w:tcPr>
          <w:p>
            <w:pPr>
              <w:spacing w:before="20" w:after="20"/>
            </w:pPr>
            <w:r>
              <w:rPr>
                <w:rFonts w:ascii="Calibri" w:hAnsi="Calibri"/>
                <w:b w:val="0"/>
                <w:i w:val="0"/>
                <w:color w:val="222A30"/>
                <w:sz w:val="18"/>
              </w:rPr>
              <w:t>Healthy</w:t>
            </w:r>
          </w:p>
        </w:tc>
        <w:tc>
          <w:tcPr>
            <w:tcW w:type="dxa" w:w="5328"/>
          </w:tcPr>
          <w:p>
            <w:pPr>
              <w:spacing w:before="20" w:after="20"/>
            </w:pPr>
            <w:r>
              <w:rPr>
                <w:rFonts w:ascii="Calibri" w:hAnsi="Calibri"/>
                <w:b w:val="0"/>
                <w:i w:val="0"/>
                <w:color w:val="222A30"/>
                <w:sz w:val="18"/>
              </w:rPr>
              <w:t>≥ 90% strong · and “healthy” = ≥ 75%</w:t>
            </w:r>
          </w:p>
        </w:tc>
      </w:tr>
      <w:tr>
        <w:tc>
          <w:tcPr>
            <w:tcW w:type="dxa" w:w="1728"/>
            <w:shd w:val="clear" w:color="auto" w:fill="E7EEF3"/>
          </w:tcPr>
          <w:p>
            <w:pPr>
              <w:spacing w:before="20" w:after="20"/>
            </w:pPr>
            <w:r>
              <w:rPr>
                <w:rFonts w:ascii="Calibri" w:hAnsi="Calibri"/>
                <w:b/>
                <w:i w:val="0"/>
                <w:color w:val="08243A"/>
                <w:sz w:val="18"/>
              </w:rPr>
              <w:t>Blue</w:t>
            </w:r>
          </w:p>
        </w:tc>
        <w:tc>
          <w:tcPr>
            <w:tcW w:type="dxa" w:w="2304"/>
            <w:shd w:val="clear" w:color="auto" w:fill="E7EEF3"/>
          </w:tcPr>
          <w:p>
            <w:pPr>
              <w:spacing w:before="20" w:after="20"/>
            </w:pPr>
            <w:r>
              <w:rPr>
                <w:rFonts w:ascii="Calibri" w:hAnsi="Calibri"/>
                <w:b w:val="0"/>
                <w:i w:val="0"/>
                <w:color w:val="222A30"/>
                <w:sz w:val="18"/>
              </w:rPr>
              <w:t>Monitoring</w:t>
            </w:r>
          </w:p>
        </w:tc>
        <w:tc>
          <w:tcPr>
            <w:tcW w:type="dxa" w:w="5328"/>
            <w:shd w:val="clear" w:color="auto" w:fill="E7EEF3"/>
          </w:tcPr>
          <w:p>
            <w:pPr>
              <w:spacing w:before="20" w:after="20"/>
            </w:pPr>
            <w:r>
              <w:rPr>
                <w:rFonts w:ascii="Calibri" w:hAnsi="Calibri"/>
                <w:b w:val="0"/>
                <w:i w:val="0"/>
                <w:color w:val="222A30"/>
                <w:sz w:val="18"/>
              </w:rPr>
              <w:t>75–89%</w:t>
            </w:r>
          </w:p>
        </w:tc>
      </w:tr>
      <w:tr>
        <w:tc>
          <w:tcPr>
            <w:tcW w:type="dxa" w:w="1728"/>
          </w:tcPr>
          <w:p>
            <w:pPr>
              <w:spacing w:before="20" w:after="20"/>
            </w:pPr>
            <w:r>
              <w:rPr>
                <w:rFonts w:ascii="Calibri" w:hAnsi="Calibri"/>
                <w:b/>
                <w:i w:val="0"/>
                <w:color w:val="08243A"/>
                <w:sz w:val="18"/>
              </w:rPr>
              <w:t>Amber</w:t>
            </w:r>
          </w:p>
        </w:tc>
        <w:tc>
          <w:tcPr>
            <w:tcW w:type="dxa" w:w="2304"/>
          </w:tcPr>
          <w:p>
            <w:pPr>
              <w:spacing w:before="20" w:after="20"/>
            </w:pPr>
            <w:r>
              <w:rPr>
                <w:rFonts w:ascii="Calibri" w:hAnsi="Calibri"/>
                <w:b w:val="0"/>
                <w:i w:val="0"/>
                <w:color w:val="222A30"/>
                <w:sz w:val="18"/>
              </w:rPr>
              <w:t>At risk</w:t>
            </w:r>
          </w:p>
        </w:tc>
        <w:tc>
          <w:tcPr>
            <w:tcW w:type="dxa" w:w="5328"/>
          </w:tcPr>
          <w:p>
            <w:pPr>
              <w:spacing w:before="20" w:after="20"/>
            </w:pPr>
            <w:r>
              <w:rPr>
                <w:rFonts w:ascii="Calibri" w:hAnsi="Calibri"/>
                <w:b w:val="0"/>
                <w:i w:val="0"/>
                <w:color w:val="222A30"/>
                <w:sz w:val="18"/>
              </w:rPr>
              <w:t>50–74%</w:t>
            </w:r>
          </w:p>
        </w:tc>
      </w:tr>
      <w:tr>
        <w:tc>
          <w:tcPr>
            <w:tcW w:type="dxa" w:w="1728"/>
            <w:shd w:val="clear" w:color="auto" w:fill="E7EEF3"/>
          </w:tcPr>
          <w:p>
            <w:pPr>
              <w:spacing w:before="20" w:after="20"/>
            </w:pPr>
            <w:r>
              <w:rPr>
                <w:rFonts w:ascii="Calibri" w:hAnsi="Calibri"/>
                <w:b/>
                <w:i w:val="0"/>
                <w:color w:val="08243A"/>
                <w:sz w:val="18"/>
              </w:rPr>
              <w:t>Red</w:t>
            </w:r>
          </w:p>
        </w:tc>
        <w:tc>
          <w:tcPr>
            <w:tcW w:type="dxa" w:w="2304"/>
            <w:shd w:val="clear" w:color="auto" w:fill="E7EEF3"/>
          </w:tcPr>
          <w:p>
            <w:pPr>
              <w:spacing w:before="20" w:after="20"/>
            </w:pPr>
            <w:r>
              <w:rPr>
                <w:rFonts w:ascii="Calibri" w:hAnsi="Calibri"/>
                <w:b w:val="0"/>
                <w:i w:val="0"/>
                <w:color w:val="222A30"/>
                <w:sz w:val="18"/>
              </w:rPr>
              <w:t>(critical)</w:t>
            </w:r>
          </w:p>
        </w:tc>
        <w:tc>
          <w:tcPr>
            <w:tcW w:type="dxa" w:w="5328"/>
            <w:shd w:val="clear" w:color="auto" w:fill="E7EEF3"/>
          </w:tcPr>
          <w:p>
            <w:pPr>
              <w:spacing w:before="20" w:after="20"/>
            </w:pPr>
            <w:r>
              <w:rPr>
                <w:rFonts w:ascii="Calibri" w:hAnsi="Calibri"/>
                <w:b w:val="0"/>
                <w:i w:val="0"/>
                <w:color w:val="222A30"/>
                <w:sz w:val="18"/>
              </w:rPr>
              <w:t>&lt; 50%</w:t>
            </w:r>
          </w:p>
        </w:tc>
      </w:tr>
      <w:tr>
        <w:tc>
          <w:tcPr>
            <w:tcW w:type="dxa" w:w="1728"/>
          </w:tcPr>
          <w:p>
            <w:pPr>
              <w:spacing w:before="20" w:after="20"/>
            </w:pPr>
            <w:r>
              <w:rPr>
                <w:rFonts w:ascii="Calibri" w:hAnsi="Calibri"/>
                <w:b/>
                <w:i w:val="0"/>
                <w:color w:val="08243A"/>
                <w:sz w:val="18"/>
              </w:rPr>
              <w:t>Grey</w:t>
            </w:r>
          </w:p>
        </w:tc>
        <w:tc>
          <w:tcPr>
            <w:tcW w:type="dxa" w:w="2304"/>
          </w:tcPr>
          <w:p>
            <w:pPr>
              <w:spacing w:before="20" w:after="20"/>
            </w:pPr>
            <w:r>
              <w:rPr>
                <w:rFonts w:ascii="Calibri" w:hAnsi="Calibri"/>
                <w:b w:val="0"/>
                <w:i w:val="0"/>
                <w:color w:val="222A30"/>
                <w:sz w:val="18"/>
              </w:rPr>
              <w:t>Not connected</w:t>
            </w:r>
          </w:p>
        </w:tc>
        <w:tc>
          <w:tcPr>
            <w:tcW w:type="dxa" w:w="5328"/>
          </w:tcPr>
          <w:p>
            <w:pPr>
              <w:spacing w:before="20" w:after="20"/>
            </w:pPr>
            <w:r>
              <w:rPr>
                <w:rFonts w:ascii="Calibri" w:hAnsi="Calibri"/>
                <w:b w:val="0"/>
                <w:i w:val="0"/>
                <w:color w:val="222A30"/>
                <w:sz w:val="18"/>
              </w:rPr>
              <w:t>no signal connected</w:t>
            </w:r>
          </w:p>
        </w:tc>
      </w:tr>
    </w:tbl>
    <w:p>
      <w:pPr>
        <w:spacing w:after="40"/>
      </w:pPr>
    </w:p>
    <w:p>
      <w:r>
        <w:br w:type="page"/>
      </w:r>
    </w:p>
    <w:p>
      <w:pPr>
        <w:spacing w:after="0"/>
      </w:pPr>
      <w:r>
        <w:rPr>
          <w:rFonts w:ascii="Calibri" w:hAnsi="Calibri"/>
          <w:b/>
          <w:i w:val="0"/>
          <w:caps/>
          <w:color w:val="2FA3D6"/>
          <w:sz w:val="18"/>
          <w:spacing w:val="40"/>
        </w:rPr>
        <w:t>CHAPTER 02</w:t>
      </w:r>
    </w:p>
    <w:p>
      <w:pPr>
        <w:spacing w:after="200"/>
        <w:pBdr>
          <w:bottom w:val="single" w:sz="12" w:space="6" w:color="08243A"/>
        </w:pBdr>
        <w:outlineLvl w:val="0"/>
      </w:pPr>
      <w:r>
        <w:rPr>
          <w:rFonts w:ascii="Georgia" w:hAnsi="Georgia"/>
          <w:b/>
          <w:i w:val="0"/>
          <w:color w:val="08243A"/>
          <w:sz w:val="44"/>
        </w:rPr>
        <w:t>Getting Started</w:t>
      </w:r>
    </w:p>
    <w:p>
      <w:pPr>
        <w:spacing w:before="260" w:after="60"/>
        <w:outlineLvl w:val="1"/>
      </w:pPr>
      <w:r>
        <w:rPr>
          <w:rFonts w:ascii="Georgia" w:hAnsi="Georgia"/>
          <w:b/>
          <w:i w:val="0"/>
          <w:color w:val="2FA3D6"/>
          <w:sz w:val="28"/>
        </w:rPr>
        <w:t xml:space="preserve">2.1  </w:t>
      </w:r>
      <w:r>
        <w:rPr>
          <w:rFonts w:ascii="Georgia" w:hAnsi="Georgia"/>
          <w:b/>
          <w:i w:val="0"/>
          <w:color w:val="1A5FA0"/>
          <w:sz w:val="28"/>
        </w:rPr>
        <w:t>How Nerion is delivered</w:t>
      </w:r>
    </w:p>
    <w:p>
      <w:pPr>
        <w:spacing w:before="0" w:after="120"/>
      </w:pPr>
      <w:r>
        <w:rPr>
          <w:rFonts w:ascii="Calibri" w:hAnsi="Calibri"/>
          <w:b w:val="0"/>
          <w:i w:val="0"/>
          <w:color w:val="222A30"/>
          <w:sz w:val="21"/>
        </w:rPr>
        <w:t>Nerion ships as a self-contained virtual appliance that runs inside your own environment. Your data never leaves your network — there is no phone-home, and the platform (including its licence check and peer benchmark) operates fully offline. Your administrator receives the appliance image and a licence file; users then reach Nerion through a browser.</w:t>
      </w:r>
    </w:p>
    <w:p>
      <w:pPr>
        <w:spacing w:before="200" w:after="60"/>
      </w:pPr>
      <w:r>
        <w:rPr>
          <w:rFonts w:ascii="Calibri" w:hAnsi="Calibri"/>
          <w:b/>
          <w:i w:val="0"/>
          <w:caps/>
          <w:color w:val="2FA3D6"/>
          <w:sz w:val="17"/>
          <w:spacing w:val="18"/>
        </w:rPr>
        <w:t xml:space="preserve">EXHIBIT — </w:t>
      </w:r>
      <w:r>
        <w:rPr>
          <w:rFonts w:ascii="Calibri" w:hAnsi="Calibri"/>
          <w:b/>
          <w:i w:val="0"/>
          <w:caps/>
          <w:color w:val="5B6B76"/>
          <w:sz w:val="17"/>
          <w:spacing w:val="18"/>
        </w:rPr>
        <w:t>Licence types</w:t>
      </w:r>
    </w:p>
    <w:tbl>
      <w:tblPr>
        <w:tblW w:type="auto" w:w="0"/>
        <w:jc w:val="center"/>
        <w:tblLook w:firstColumn="1" w:firstRow="1" w:lastColumn="0" w:lastRow="0" w:noHBand="0" w:noVBand="1" w:val="04A0"/>
      </w:tblPr>
      <w:tblGrid>
        <w:gridCol w:w="3120"/>
        <w:gridCol w:w="3120"/>
        <w:gridCol w:w="3120"/>
      </w:tblGrid>
      <w:tr>
        <w:tc>
          <w:tcPr>
            <w:tcW w:type="dxa" w:w="2448"/>
            <w:shd w:val="clear" w:color="auto" w:fill="08243A"/>
          </w:tcPr>
          <w:p>
            <w:pPr>
              <w:spacing w:before="40" w:after="40"/>
            </w:pPr>
            <w:r>
              <w:rPr>
                <w:rFonts w:ascii="Calibri" w:hAnsi="Calibri"/>
                <w:b/>
                <w:i w:val="0"/>
                <w:color w:val="FFFFFF"/>
                <w:sz w:val="18"/>
              </w:rPr>
              <w:t>Plan</w:t>
            </w:r>
          </w:p>
        </w:tc>
        <w:tc>
          <w:tcPr>
            <w:tcW w:type="dxa" w:w="1872"/>
            <w:shd w:val="clear" w:color="auto" w:fill="08243A"/>
          </w:tcPr>
          <w:p>
            <w:pPr>
              <w:spacing w:before="40" w:after="40"/>
            </w:pPr>
            <w:r>
              <w:rPr>
                <w:rFonts w:ascii="Calibri" w:hAnsi="Calibri"/>
                <w:b/>
                <w:i w:val="0"/>
                <w:color w:val="FFFFFF"/>
                <w:sz w:val="18"/>
              </w:rPr>
              <w:t>Term</w:t>
            </w:r>
          </w:p>
        </w:tc>
        <w:tc>
          <w:tcPr>
            <w:tcW w:type="dxa" w:w="5040"/>
            <w:shd w:val="clear" w:color="auto" w:fill="08243A"/>
          </w:tcPr>
          <w:p>
            <w:pPr>
              <w:spacing w:before="40" w:after="40"/>
            </w:pPr>
            <w:r>
              <w:rPr>
                <w:rFonts w:ascii="Calibri" w:hAnsi="Calibri"/>
                <w:b/>
                <w:i w:val="0"/>
                <w:color w:val="FFFFFF"/>
                <w:sz w:val="18"/>
              </w:rPr>
              <w:t>Use</w:t>
            </w:r>
          </w:p>
        </w:tc>
      </w:tr>
      <w:tr>
        <w:tc>
          <w:tcPr>
            <w:tcW w:type="dxa" w:w="2448"/>
          </w:tcPr>
          <w:p>
            <w:pPr>
              <w:spacing w:before="20" w:after="20"/>
            </w:pPr>
            <w:r>
              <w:rPr>
                <w:rFonts w:ascii="Calibri" w:hAnsi="Calibri"/>
                <w:b/>
                <w:i w:val="0"/>
                <w:color w:val="08243A"/>
                <w:sz w:val="18"/>
              </w:rPr>
              <w:t>Trial</w:t>
            </w:r>
          </w:p>
        </w:tc>
        <w:tc>
          <w:tcPr>
            <w:tcW w:type="dxa" w:w="1872"/>
          </w:tcPr>
          <w:p>
            <w:pPr>
              <w:spacing w:before="20" w:after="20"/>
            </w:pPr>
            <w:r>
              <w:rPr>
                <w:rFonts w:ascii="Calibri" w:hAnsi="Calibri"/>
                <w:b w:val="0"/>
                <w:i w:val="0"/>
                <w:color w:val="222A30"/>
                <w:sz w:val="18"/>
              </w:rPr>
              <w:t>14 days</w:t>
            </w:r>
          </w:p>
        </w:tc>
        <w:tc>
          <w:tcPr>
            <w:tcW w:type="dxa" w:w="5040"/>
          </w:tcPr>
          <w:p>
            <w:pPr>
              <w:spacing w:before="20" w:after="20"/>
            </w:pPr>
            <w:r>
              <w:rPr>
                <w:rFonts w:ascii="Calibri" w:hAnsi="Calibri"/>
                <w:b w:val="0"/>
                <w:i w:val="0"/>
                <w:color w:val="222A30"/>
                <w:sz w:val="18"/>
              </w:rPr>
              <w:t>Evaluation with your own data, full functionality.</w:t>
            </w:r>
          </w:p>
        </w:tc>
      </w:tr>
      <w:tr>
        <w:tc>
          <w:tcPr>
            <w:tcW w:type="dxa" w:w="2448"/>
            <w:shd w:val="clear" w:color="auto" w:fill="E7EEF3"/>
          </w:tcPr>
          <w:p>
            <w:pPr>
              <w:spacing w:before="20" w:after="20"/>
            </w:pPr>
            <w:r>
              <w:rPr>
                <w:rFonts w:ascii="Calibri" w:hAnsi="Calibri"/>
                <w:b/>
                <w:i w:val="0"/>
                <w:color w:val="08243A"/>
                <w:sz w:val="18"/>
              </w:rPr>
              <w:t>Paid subscription</w:t>
            </w:r>
          </w:p>
        </w:tc>
        <w:tc>
          <w:tcPr>
            <w:tcW w:type="dxa" w:w="1872"/>
            <w:shd w:val="clear" w:color="auto" w:fill="E7EEF3"/>
          </w:tcPr>
          <w:p>
            <w:pPr>
              <w:spacing w:before="20" w:after="20"/>
            </w:pPr>
            <w:r>
              <w:rPr>
                <w:rFonts w:ascii="Calibri" w:hAnsi="Calibri"/>
                <w:b w:val="0"/>
                <w:i w:val="0"/>
                <w:color w:val="222A30"/>
                <w:sz w:val="18"/>
              </w:rPr>
              <w:t>365 days</w:t>
            </w:r>
          </w:p>
        </w:tc>
        <w:tc>
          <w:tcPr>
            <w:tcW w:type="dxa" w:w="5040"/>
            <w:shd w:val="clear" w:color="auto" w:fill="E7EEF3"/>
          </w:tcPr>
          <w:p>
            <w:pPr>
              <w:spacing w:before="20" w:after="20"/>
            </w:pPr>
            <w:r>
              <w:rPr>
                <w:rFonts w:ascii="Calibri" w:hAnsi="Calibri"/>
                <w:b w:val="0"/>
                <w:i w:val="0"/>
                <w:color w:val="222A30"/>
                <w:sz w:val="18"/>
              </w:rPr>
              <w:t>Production use; renews annually. A short grace period follows expiry.</w:t>
            </w:r>
          </w:p>
        </w:tc>
      </w:tr>
    </w:tbl>
    <w:p>
      <w:pPr>
        <w:spacing w:after="40"/>
      </w:pPr>
    </w:p>
    <w:p>
      <w:pPr>
        <w:spacing w:before="260" w:after="60"/>
        <w:outlineLvl w:val="1"/>
      </w:pPr>
      <w:r>
        <w:rPr>
          <w:rFonts w:ascii="Georgia" w:hAnsi="Georgia"/>
          <w:b/>
          <w:i w:val="0"/>
          <w:color w:val="2FA3D6"/>
          <w:sz w:val="28"/>
        </w:rPr>
        <w:t xml:space="preserve">2.2  </w:t>
      </w:r>
      <w:r>
        <w:rPr>
          <w:rFonts w:ascii="Georgia" w:hAnsi="Georgia"/>
          <w:b/>
          <w:i w:val="0"/>
          <w:color w:val="1A5FA0"/>
          <w:sz w:val="28"/>
        </w:rPr>
        <w:t>First login</w:t>
      </w:r>
    </w:p>
    <w:p>
      <w:pPr>
        <w:spacing w:before="100" w:after="20"/>
      </w:pPr>
      <w:r>
        <w:rPr>
          <w:rFonts w:ascii="Georgia" w:hAnsi="Georgia"/>
          <w:b/>
          <w:i w:val="0"/>
          <w:color w:val="2FA3D6"/>
          <w:sz w:val="23"/>
        </w:rPr>
        <w:t xml:space="preserve">1  </w:t>
      </w:r>
      <w:r>
        <w:rPr>
          <w:rFonts w:ascii="Calibri" w:hAnsi="Calibri"/>
          <w:b/>
          <w:i w:val="0"/>
          <w:color w:val="08243A"/>
          <w:sz w:val="22"/>
        </w:rPr>
        <w:t>Open the platform</w:t>
      </w:r>
    </w:p>
    <w:p>
      <w:pPr>
        <w:spacing w:after="40"/>
        <w:ind w:left="432"/>
      </w:pPr>
      <w:r>
        <w:rPr>
          <w:rFonts w:ascii="Calibri" w:hAnsi="Calibri"/>
          <w:b w:val="0"/>
          <w:i w:val="0"/>
          <w:color w:val="222A30"/>
          <w:sz w:val="21"/>
        </w:rPr>
        <w:t>Navigate to the address your administrator provides — any modern browser, no plug-in.</w:t>
      </w:r>
    </w:p>
    <w:p>
      <w:pPr>
        <w:spacing w:after="80"/>
        <w:ind w:left="432"/>
      </w:pPr>
      <w:r>
        <w:rPr>
          <w:rFonts w:ascii="Calibri" w:hAnsi="Calibri"/>
          <w:b/>
          <w:i w:val="0"/>
          <w:color w:val="1E7A3C"/>
          <w:sz w:val="19"/>
        </w:rPr>
        <w:t xml:space="preserve">Result:  </w:t>
      </w:r>
      <w:r>
        <w:rPr>
          <w:rFonts w:ascii="Calibri" w:hAnsi="Calibri"/>
          <w:b w:val="0"/>
          <w:i/>
          <w:color w:val="5B6B76"/>
          <w:sz w:val="19"/>
        </w:rPr>
        <w:t>The seat bar loads with CISO selected.</w:t>
      </w:r>
    </w:p>
    <w:p>
      <w:pPr>
        <w:spacing w:before="100" w:after="20"/>
      </w:pPr>
      <w:r>
        <w:rPr>
          <w:rFonts w:ascii="Georgia" w:hAnsi="Georgia"/>
          <w:b/>
          <w:i w:val="0"/>
          <w:color w:val="2FA3D6"/>
          <w:sz w:val="23"/>
        </w:rPr>
        <w:t xml:space="preserve">2  </w:t>
      </w:r>
      <w:r>
        <w:rPr>
          <w:rFonts w:ascii="Calibri" w:hAnsi="Calibri"/>
          <w:b/>
          <w:i w:val="0"/>
          <w:color w:val="08243A"/>
          <w:sz w:val="22"/>
        </w:rPr>
        <w:t>Choose your seat</w:t>
      </w:r>
    </w:p>
    <w:p>
      <w:pPr>
        <w:spacing w:after="40"/>
        <w:ind w:left="432"/>
      </w:pPr>
      <w:r>
        <w:rPr>
          <w:rFonts w:ascii="Calibri" w:hAnsi="Calibri"/>
          <w:b w:val="0"/>
          <w:i w:val="0"/>
          <w:color w:val="222A30"/>
          <w:sz w:val="21"/>
        </w:rPr>
        <w:t>Select your executive lens from the top bar. Hover any seat to see its full title (e.g. CISO → Chief Information Security Officer).</w:t>
      </w:r>
    </w:p>
    <w:p>
      <w:pPr>
        <w:spacing w:after="80"/>
        <w:ind w:left="432"/>
      </w:pPr>
      <w:r>
        <w:rPr>
          <w:rFonts w:ascii="Calibri" w:hAnsi="Calibri"/>
          <w:b/>
          <w:i w:val="0"/>
          <w:color w:val="1E7A3C"/>
          <w:sz w:val="19"/>
        </w:rPr>
        <w:t xml:space="preserve">Result:  </w:t>
      </w:r>
      <w:r>
        <w:rPr>
          <w:rFonts w:ascii="Calibri" w:hAnsi="Calibri"/>
          <w:b w:val="0"/>
          <w:i/>
          <w:color w:val="5B6B76"/>
          <w:sz w:val="19"/>
        </w:rPr>
        <w:t>The cockpit re-addresses to that leader.</w:t>
      </w:r>
    </w:p>
    <w:p>
      <w:pPr>
        <w:spacing w:before="100" w:after="20"/>
      </w:pPr>
      <w:r>
        <w:rPr>
          <w:rFonts w:ascii="Georgia" w:hAnsi="Georgia"/>
          <w:b/>
          <w:i w:val="0"/>
          <w:color w:val="2FA3D6"/>
          <w:sz w:val="23"/>
        </w:rPr>
        <w:t xml:space="preserve">3  </w:t>
      </w:r>
      <w:r>
        <w:rPr>
          <w:rFonts w:ascii="Calibri" w:hAnsi="Calibri"/>
          <w:b/>
          <w:i w:val="0"/>
          <w:color w:val="08243A"/>
          <w:sz w:val="22"/>
        </w:rPr>
        <w:t>Complete onboarding, or land in the cockpit</w:t>
      </w:r>
    </w:p>
    <w:p>
      <w:pPr>
        <w:spacing w:after="40"/>
        <w:ind w:left="432"/>
      </w:pPr>
      <w:r>
        <w:rPr>
          <w:rFonts w:ascii="Calibri" w:hAnsi="Calibri"/>
          <w:b w:val="0"/>
          <w:i w:val="0"/>
          <w:color w:val="222A30"/>
          <w:sz w:val="21"/>
        </w:rPr>
        <w:t>If your organization is not yet described, you enter the onboarding wizard (Chapter 3). If setup is complete, you land in your seat with live data.</w:t>
      </w:r>
    </w:p>
    <w:p>
      <w:pPr>
        <w:spacing w:before="140" w:after="160"/>
        <w:ind w:left="86"/>
        <w:shd w:val="clear" w:color="auto" w:fill="EEF2F5"/>
        <w:pBdr>
          <w:left w:val="single" w:sz="24" w:space="6" w:color="1A5FA0"/>
        </w:pBdr>
      </w:pPr>
      <w:r>
        <w:rPr>
          <w:rFonts w:ascii="Calibri" w:hAnsi="Calibri"/>
          <w:b/>
          <w:i w:val="0"/>
          <w:caps/>
          <w:color w:val="1A5FA0"/>
          <w:sz w:val="17"/>
          <w:spacing w:val="25"/>
        </w:rPr>
        <w:t xml:space="preserve">NOTE   </w:t>
      </w:r>
      <w:r>
        <w:rPr>
          <w:rFonts w:ascii="Calibri" w:hAnsi="Calibri"/>
          <w:b w:val="0"/>
          <w:i w:val="0"/>
          <w:color w:val="222A30"/>
          <w:sz w:val="20"/>
        </w:rPr>
        <w:t>Onboarding fields are optional and reversible. Provide what you know now; refine any input later and the cockpit recomputes. Nothing is locked.</w:t>
      </w:r>
    </w:p>
    <w:p>
      <w:r>
        <w:br w:type="page"/>
      </w:r>
    </w:p>
    <w:p>
      <w:pPr>
        <w:spacing w:after="0"/>
      </w:pPr>
      <w:r>
        <w:rPr>
          <w:rFonts w:ascii="Calibri" w:hAnsi="Calibri"/>
          <w:b/>
          <w:i w:val="0"/>
          <w:caps/>
          <w:color w:val="2FA3D6"/>
          <w:sz w:val="18"/>
          <w:spacing w:val="40"/>
        </w:rPr>
        <w:t>CHAPTER 03</w:t>
      </w:r>
    </w:p>
    <w:p>
      <w:pPr>
        <w:spacing w:after="200"/>
        <w:pBdr>
          <w:bottom w:val="single" w:sz="12" w:space="6" w:color="08243A"/>
        </w:pBdr>
        <w:outlineLvl w:val="0"/>
      </w:pPr>
      <w:r>
        <w:rPr>
          <w:rFonts w:ascii="Georgia" w:hAnsi="Georgia"/>
          <w:b/>
          <w:i w:val="0"/>
          <w:color w:val="08243A"/>
          <w:sz w:val="44"/>
        </w:rPr>
        <w:t>Onboarding: Describing Your Business</w:t>
      </w:r>
    </w:p>
    <w:p>
      <w:pPr>
        <w:spacing w:before="0" w:after="120"/>
      </w:pPr>
      <w:r>
        <w:rPr>
          <w:rFonts w:ascii="Calibri" w:hAnsi="Calibri"/>
          <w:b w:val="0"/>
          <w:i w:val="0"/>
          <w:color w:val="222A30"/>
          <w:sz w:val="21"/>
        </w:rPr>
        <w:t>Onboarding is a guided single-page wizard organized into six top tabs. Its purpose is one sentence: give Nerion your business so it can return your cyber position in dollars. Each section you complete converts more of the cockpit from illustrative to live. None is mandatory except an organization name and either processes or systems.</w:t>
      </w:r>
    </w:p>
    <w:p>
      <w:pPr>
        <w:spacing w:before="200" w:after="60"/>
      </w:pPr>
      <w:r>
        <w:rPr>
          <w:rFonts w:ascii="Calibri" w:hAnsi="Calibri"/>
          <w:b/>
          <w:i w:val="0"/>
          <w:caps/>
          <w:color w:val="2FA3D6"/>
          <w:sz w:val="17"/>
          <w:spacing w:val="18"/>
        </w:rPr>
        <w:t xml:space="preserve">EXHIBIT — </w:t>
      </w:r>
      <w:r>
        <w:rPr>
          <w:rFonts w:ascii="Calibri" w:hAnsi="Calibri"/>
          <w:b/>
          <w:i w:val="0"/>
          <w:caps/>
          <w:color w:val="5B6B76"/>
          <w:sz w:val="17"/>
          <w:spacing w:val="18"/>
        </w:rPr>
        <w:t>The onboarding tabs and their sections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Tab</w:t>
            </w:r>
          </w:p>
        </w:tc>
        <w:tc>
          <w:tcPr>
            <w:tcW w:type="dxa" w:w="6912"/>
            <w:shd w:val="clear" w:color="auto" w:fill="08243A"/>
          </w:tcPr>
          <w:p>
            <w:pPr>
              <w:spacing w:before="40" w:after="40"/>
            </w:pPr>
            <w:r>
              <w:rPr>
                <w:rFonts w:ascii="Calibri" w:hAnsi="Calibri"/>
                <w:b/>
                <w:i w:val="0"/>
                <w:color w:val="FFFFFF"/>
                <w:sz w:val="18"/>
              </w:rPr>
              <w:t>Sections it contains</w:t>
            </w:r>
          </w:p>
        </w:tc>
      </w:tr>
      <w:tr>
        <w:tc>
          <w:tcPr>
            <w:tcW w:type="dxa" w:w="2448"/>
          </w:tcPr>
          <w:p>
            <w:pPr>
              <w:spacing w:before="20" w:after="20"/>
            </w:pPr>
            <w:r>
              <w:rPr>
                <w:rFonts w:ascii="Calibri" w:hAnsi="Calibri"/>
                <w:b/>
                <w:i w:val="0"/>
                <w:color w:val="08243A"/>
                <w:sz w:val="18"/>
              </w:rPr>
              <w:t>01 Organization</w:t>
            </w:r>
          </w:p>
        </w:tc>
        <w:tc>
          <w:tcPr>
            <w:tcW w:type="dxa" w:w="6912"/>
          </w:tcPr>
          <w:p>
            <w:pPr>
              <w:spacing w:before="20" w:after="20"/>
            </w:pPr>
            <w:r>
              <w:rPr>
                <w:rFonts w:ascii="Calibri" w:hAnsi="Calibri"/>
                <w:b w:val="0"/>
                <w:i w:val="0"/>
                <w:color w:val="222A30"/>
                <w:sz w:val="18"/>
              </w:rPr>
              <w:t>Organization · Leadership · Operating regions</w:t>
            </w:r>
          </w:p>
        </w:tc>
      </w:tr>
      <w:tr>
        <w:tc>
          <w:tcPr>
            <w:tcW w:type="dxa" w:w="2448"/>
            <w:shd w:val="clear" w:color="auto" w:fill="E7EEF3"/>
          </w:tcPr>
          <w:p>
            <w:pPr>
              <w:spacing w:before="20" w:after="20"/>
            </w:pPr>
            <w:r>
              <w:rPr>
                <w:rFonts w:ascii="Calibri" w:hAnsi="Calibri"/>
                <w:b/>
                <w:i w:val="0"/>
                <w:color w:val="08243A"/>
                <w:sz w:val="18"/>
              </w:rPr>
              <w:t>02 Governance &amp; AI</w:t>
            </w:r>
          </w:p>
        </w:tc>
        <w:tc>
          <w:tcPr>
            <w:tcW w:type="dxa" w:w="6912"/>
            <w:shd w:val="clear" w:color="auto" w:fill="E7EEF3"/>
          </w:tcPr>
          <w:p>
            <w:pPr>
              <w:spacing w:before="20" w:after="20"/>
            </w:pPr>
            <w:r>
              <w:rPr>
                <w:rFonts w:ascii="Calibri" w:hAnsi="Calibri"/>
                <w:b w:val="0"/>
                <w:i w:val="0"/>
                <w:color w:val="222A30"/>
                <w:sz w:val="18"/>
              </w:rPr>
              <w:t>Board governance &amp; incident readiness · AI risk &amp; governance · Strategic initiatives · Strategic objectives · Policy &amp; document evidence</w:t>
            </w:r>
          </w:p>
        </w:tc>
      </w:tr>
      <w:tr>
        <w:tc>
          <w:tcPr>
            <w:tcW w:type="dxa" w:w="2448"/>
          </w:tcPr>
          <w:p>
            <w:pPr>
              <w:spacing w:before="20" w:after="20"/>
            </w:pPr>
            <w:r>
              <w:rPr>
                <w:rFonts w:ascii="Calibri" w:hAnsi="Calibri"/>
                <w:b/>
                <w:i w:val="0"/>
                <w:color w:val="08243A"/>
                <w:sz w:val="18"/>
              </w:rPr>
              <w:t>03 Financials</w:t>
            </w:r>
          </w:p>
        </w:tc>
        <w:tc>
          <w:tcPr>
            <w:tcW w:type="dxa" w:w="6912"/>
          </w:tcPr>
          <w:p>
            <w:pPr>
              <w:spacing w:before="20" w:after="20"/>
            </w:pPr>
            <w:r>
              <w:rPr>
                <w:rFonts w:ascii="Calibri" w:hAnsi="Calibri"/>
                <w:b w:val="0"/>
                <w:i w:val="0"/>
                <w:color w:val="222A30"/>
                <w:sz w:val="18"/>
              </w:rPr>
              <w:t>Financials &amp; appetite · Enterprise risk portfolio · Security as a growth engine · Cyber insurance</w:t>
            </w:r>
          </w:p>
        </w:tc>
      </w:tr>
      <w:tr>
        <w:tc>
          <w:tcPr>
            <w:tcW w:type="dxa" w:w="2448"/>
            <w:shd w:val="clear" w:color="auto" w:fill="E7EEF3"/>
          </w:tcPr>
          <w:p>
            <w:pPr>
              <w:spacing w:before="20" w:after="20"/>
            </w:pPr>
            <w:r>
              <w:rPr>
                <w:rFonts w:ascii="Calibri" w:hAnsi="Calibri"/>
                <w:b/>
                <w:i w:val="0"/>
                <w:color w:val="08243A"/>
                <w:sz w:val="18"/>
              </w:rPr>
              <w:t>04 Inventory</w:t>
            </w:r>
          </w:p>
        </w:tc>
        <w:tc>
          <w:tcPr>
            <w:tcW w:type="dxa" w:w="6912"/>
            <w:shd w:val="clear" w:color="auto" w:fill="E7EEF3"/>
          </w:tcPr>
          <w:p>
            <w:pPr>
              <w:spacing w:before="20" w:after="20"/>
            </w:pPr>
            <w:r>
              <w:rPr>
                <w:rFonts w:ascii="Calibri" w:hAnsi="Calibri"/>
                <w:b w:val="0"/>
                <w:i w:val="0"/>
                <w:color w:val="222A30"/>
                <w:sz w:val="18"/>
              </w:rPr>
              <w:t>Business processes · Systems &amp; applications · Map applications → processes</w:t>
            </w:r>
          </w:p>
        </w:tc>
      </w:tr>
      <w:tr>
        <w:tc>
          <w:tcPr>
            <w:tcW w:type="dxa" w:w="2448"/>
          </w:tcPr>
          <w:p>
            <w:pPr>
              <w:spacing w:before="20" w:after="20"/>
            </w:pPr>
            <w:r>
              <w:rPr>
                <w:rFonts w:ascii="Calibri" w:hAnsi="Calibri"/>
                <w:b/>
                <w:i w:val="0"/>
                <w:color w:val="08243A"/>
                <w:sz w:val="18"/>
              </w:rPr>
              <w:t>05 Risks &amp; projects</w:t>
            </w:r>
          </w:p>
        </w:tc>
        <w:tc>
          <w:tcPr>
            <w:tcW w:type="dxa" w:w="6912"/>
          </w:tcPr>
          <w:p>
            <w:pPr>
              <w:spacing w:before="20" w:after="20"/>
            </w:pPr>
            <w:r>
              <w:rPr>
                <w:rFonts w:ascii="Calibri" w:hAnsi="Calibri"/>
                <w:b w:val="0"/>
                <w:i w:val="0"/>
                <w:color w:val="222A30"/>
                <w:sz w:val="18"/>
              </w:rPr>
              <w:t>Risk register · Current cyber projects · Third-party vendors</w:t>
            </w:r>
          </w:p>
        </w:tc>
      </w:tr>
      <w:tr>
        <w:tc>
          <w:tcPr>
            <w:tcW w:type="dxa" w:w="2448"/>
            <w:shd w:val="clear" w:color="auto" w:fill="E7EEF3"/>
          </w:tcPr>
          <w:p>
            <w:pPr>
              <w:spacing w:before="20" w:after="20"/>
            </w:pPr>
            <w:r>
              <w:rPr>
                <w:rFonts w:ascii="Calibri" w:hAnsi="Calibri"/>
                <w:b/>
                <w:i w:val="0"/>
                <w:color w:val="08243A"/>
                <w:sz w:val="18"/>
              </w:rPr>
              <w:t>06 Connect tools</w:t>
            </w:r>
          </w:p>
        </w:tc>
        <w:tc>
          <w:tcPr>
            <w:tcW w:type="dxa" w:w="6912"/>
            <w:shd w:val="clear" w:color="auto" w:fill="E7EEF3"/>
          </w:tcPr>
          <w:p>
            <w:pPr>
              <w:spacing w:before="20" w:after="20"/>
            </w:pPr>
            <w:r>
              <w:rPr>
                <w:rFonts w:ascii="Calibri" w:hAnsi="Calibri"/>
                <w:b w:val="0"/>
                <w:i w:val="0"/>
                <w:color w:val="222A30"/>
                <w:sz w:val="18"/>
              </w:rPr>
              <w:t>Connect your tools</w:t>
            </w:r>
          </w:p>
        </w:tc>
      </w:tr>
    </w:tbl>
    <w:p>
      <w:pPr>
        <w:spacing w:after="40"/>
      </w:pPr>
    </w:p>
    <w:p>
      <w:pPr>
        <w:spacing w:before="260" w:after="60"/>
        <w:outlineLvl w:val="1"/>
      </w:pPr>
      <w:r>
        <w:rPr>
          <w:rFonts w:ascii="Georgia" w:hAnsi="Georgia"/>
          <w:b/>
          <w:i w:val="0"/>
          <w:color w:val="2FA3D6"/>
          <w:sz w:val="28"/>
        </w:rPr>
        <w:t xml:space="preserve">3.1  </w:t>
      </w:r>
      <w:r>
        <w:rPr>
          <w:rFonts w:ascii="Georgia" w:hAnsi="Georgia"/>
          <w:b/>
          <w:i w:val="0"/>
          <w:color w:val="1A5FA0"/>
          <w:sz w:val="28"/>
        </w:rPr>
        <w:t>Organization</w:t>
      </w:r>
    </w:p>
    <w:p>
      <w:pPr>
        <w:spacing w:before="0" w:after="120"/>
      </w:pPr>
      <w:r>
        <w:rPr>
          <w:rFonts w:ascii="Calibri" w:hAnsi="Calibri"/>
          <w:b w:val="0"/>
          <w:i w:val="0"/>
          <w:color w:val="222A30"/>
          <w:sz w:val="21"/>
        </w:rPr>
        <w:t>Sets the industry lens and the regulators/jurisdictions that apply.</w:t>
      </w:r>
    </w:p>
    <w:p>
      <w:pPr>
        <w:spacing w:before="200" w:after="60"/>
      </w:pPr>
      <w:r>
        <w:rPr>
          <w:rFonts w:ascii="Calibri" w:hAnsi="Calibri"/>
          <w:b/>
          <w:i w:val="0"/>
          <w:caps/>
          <w:color w:val="2FA3D6"/>
          <w:sz w:val="17"/>
          <w:spacing w:val="18"/>
        </w:rPr>
        <w:t xml:space="preserve">FIELDS — </w:t>
      </w:r>
      <w:r>
        <w:rPr>
          <w:rFonts w:ascii="Calibri" w:hAnsi="Calibri"/>
          <w:b/>
          <w:i w:val="0"/>
          <w:caps/>
          <w:color w:val="5B6B76"/>
          <w:sz w:val="17"/>
          <w:spacing w:val="18"/>
        </w:rPr>
        <w:t>Organization fields</w:t>
      </w:r>
    </w:p>
    <w:tbl>
      <w:tblPr>
        <w:tblW w:type="auto" w:w="0"/>
        <w:jc w:val="center"/>
        <w:tblLook w:firstColumn="1" w:firstRow="1" w:lastColumn="0" w:lastRow="0" w:noHBand="0" w:noVBand="1" w:val="04A0"/>
      </w:tblPr>
      <w:tblGrid>
        <w:gridCol w:w="3120"/>
        <w:gridCol w:w="3120"/>
        <w:gridCol w:w="3120"/>
      </w:tblGrid>
      <w:tr>
        <w:tc>
          <w:tcPr>
            <w:tcW w:type="dxa" w:w="2448"/>
            <w:shd w:val="clear" w:color="auto" w:fill="08243A"/>
          </w:tcPr>
          <w:p>
            <w:pPr>
              <w:spacing w:before="40" w:after="40"/>
            </w:pPr>
            <w:r>
              <w:rPr>
                <w:rFonts w:ascii="Calibri" w:hAnsi="Calibri"/>
                <w:b/>
                <w:i w:val="0"/>
                <w:color w:val="FFFFFF"/>
                <w:sz w:val="18"/>
              </w:rPr>
              <w:t>Field</w:t>
            </w:r>
          </w:p>
        </w:tc>
        <w:tc>
          <w:tcPr>
            <w:tcW w:type="dxa" w:w="1440"/>
            <w:shd w:val="clear" w:color="auto" w:fill="08243A"/>
          </w:tcPr>
          <w:p>
            <w:pPr>
              <w:spacing w:before="40" w:after="40"/>
            </w:pPr>
            <w:r>
              <w:rPr>
                <w:rFonts w:ascii="Calibri" w:hAnsi="Calibri"/>
                <w:b/>
                <w:i w:val="0"/>
                <w:color w:val="FFFFFF"/>
                <w:sz w:val="18"/>
              </w:rPr>
              <w:t>Type</w:t>
            </w:r>
          </w:p>
        </w:tc>
        <w:tc>
          <w:tcPr>
            <w:tcW w:type="dxa" w:w="5472"/>
            <w:shd w:val="clear" w:color="auto" w:fill="08243A"/>
          </w:tcPr>
          <w:p>
            <w:pPr>
              <w:spacing w:before="40" w:after="40"/>
            </w:pPr>
            <w:r>
              <w:rPr>
                <w:rFonts w:ascii="Calibri" w:hAnsi="Calibri"/>
                <w:b/>
                <w:i w:val="0"/>
                <w:color w:val="FFFFFF"/>
                <w:sz w:val="18"/>
              </w:rPr>
              <w:t>What it does / options</w:t>
            </w:r>
          </w:p>
        </w:tc>
      </w:tr>
      <w:tr>
        <w:tc>
          <w:tcPr>
            <w:tcW w:type="dxa" w:w="2448"/>
          </w:tcPr>
          <w:p>
            <w:pPr>
              <w:spacing w:before="20" w:after="20"/>
            </w:pPr>
            <w:r>
              <w:rPr>
                <w:rFonts w:ascii="Calibri" w:hAnsi="Calibri"/>
                <w:b/>
                <w:i w:val="0"/>
                <w:color w:val="08243A"/>
                <w:sz w:val="18"/>
              </w:rPr>
              <w:t>Organization name</w:t>
            </w:r>
          </w:p>
        </w:tc>
        <w:tc>
          <w:tcPr>
            <w:tcW w:type="dxa" w:w="1440"/>
          </w:tcPr>
          <w:p>
            <w:pPr>
              <w:spacing w:before="20" w:after="20"/>
            </w:pPr>
            <w:r>
              <w:rPr>
                <w:rFonts w:ascii="Calibri" w:hAnsi="Calibri"/>
                <w:b w:val="0"/>
                <w:i w:val="0"/>
                <w:color w:val="222A30"/>
                <w:sz w:val="18"/>
              </w:rPr>
              <w:t>text</w:t>
            </w:r>
          </w:p>
        </w:tc>
        <w:tc>
          <w:tcPr>
            <w:tcW w:type="dxa" w:w="5472"/>
          </w:tcPr>
          <w:p>
            <w:pPr>
              <w:spacing w:before="20" w:after="20"/>
            </w:pPr>
            <w:r>
              <w:rPr>
                <w:rFonts w:ascii="Calibri" w:hAnsi="Calibri"/>
                <w:b w:val="0"/>
                <w:i w:val="0"/>
                <w:color w:val="222A30"/>
                <w:sz w:val="18"/>
              </w:rPr>
              <w:t>Your legal/brand name. Required to go live.</w:t>
            </w:r>
          </w:p>
        </w:tc>
      </w:tr>
      <w:tr>
        <w:tc>
          <w:tcPr>
            <w:tcW w:type="dxa" w:w="2448"/>
            <w:shd w:val="clear" w:color="auto" w:fill="E7EEF3"/>
          </w:tcPr>
          <w:p>
            <w:pPr>
              <w:spacing w:before="20" w:after="20"/>
            </w:pPr>
            <w:r>
              <w:rPr>
                <w:rFonts w:ascii="Calibri" w:hAnsi="Calibri"/>
                <w:b/>
                <w:i w:val="0"/>
                <w:color w:val="08243A"/>
                <w:sz w:val="18"/>
              </w:rPr>
              <w:t>Industry</w:t>
            </w:r>
          </w:p>
        </w:tc>
        <w:tc>
          <w:tcPr>
            <w:tcW w:type="dxa" w:w="1440"/>
            <w:shd w:val="clear" w:color="auto" w:fill="E7EEF3"/>
          </w:tcPr>
          <w:p>
            <w:pPr>
              <w:spacing w:before="20" w:after="20"/>
            </w:pPr>
            <w:r>
              <w:rPr>
                <w:rFonts w:ascii="Calibri" w:hAnsi="Calibri"/>
                <w:b w:val="0"/>
                <w:i w:val="0"/>
                <w:color w:val="222A30"/>
                <w:sz w:val="18"/>
              </w:rPr>
              <w:t>dropdown</w:t>
            </w:r>
          </w:p>
        </w:tc>
        <w:tc>
          <w:tcPr>
            <w:tcW w:type="dxa" w:w="5472"/>
            <w:shd w:val="clear" w:color="auto" w:fill="E7EEF3"/>
          </w:tcPr>
          <w:p>
            <w:pPr>
              <w:spacing w:before="20" w:after="20"/>
            </w:pPr>
            <w:r>
              <w:rPr>
                <w:rFonts w:ascii="Calibri" w:hAnsi="Calibri"/>
                <w:b w:val="0"/>
                <w:i w:val="0"/>
                <w:color w:val="222A30"/>
                <w:sz w:val="18"/>
              </w:rPr>
              <w:t>Financial services · Banking · Insurance · Healthcare · Technology/SaaS · Manufacturing · Retail · Energy · Telecom · Transport · Government · Professional services · Other</w:t>
            </w:r>
          </w:p>
        </w:tc>
      </w:tr>
      <w:tr>
        <w:tc>
          <w:tcPr>
            <w:tcW w:type="dxa" w:w="2448"/>
          </w:tcPr>
          <w:p>
            <w:pPr>
              <w:spacing w:before="20" w:after="20"/>
            </w:pPr>
            <w:r>
              <w:rPr>
                <w:rFonts w:ascii="Calibri" w:hAnsi="Calibri"/>
                <w:b/>
                <w:i w:val="0"/>
                <w:color w:val="08243A"/>
                <w:sz w:val="18"/>
              </w:rPr>
              <w:t>Reporting currency</w:t>
            </w:r>
          </w:p>
        </w:tc>
        <w:tc>
          <w:tcPr>
            <w:tcW w:type="dxa" w:w="1440"/>
          </w:tcPr>
          <w:p>
            <w:pPr>
              <w:spacing w:before="20" w:after="20"/>
            </w:pPr>
            <w:r>
              <w:rPr>
                <w:rFonts w:ascii="Calibri" w:hAnsi="Calibri"/>
                <w:b w:val="0"/>
                <w:i w:val="0"/>
                <w:color w:val="222A30"/>
                <w:sz w:val="18"/>
              </w:rPr>
              <w:t>dropdown</w:t>
            </w:r>
          </w:p>
        </w:tc>
        <w:tc>
          <w:tcPr>
            <w:tcW w:type="dxa" w:w="5472"/>
          </w:tcPr>
          <w:p>
            <w:pPr>
              <w:spacing w:before="20" w:after="20"/>
            </w:pPr>
            <w:r>
              <w:rPr>
                <w:rFonts w:ascii="Calibri" w:hAnsi="Calibri"/>
                <w:b w:val="0"/>
                <w:i w:val="0"/>
                <w:color w:val="222A30"/>
                <w:sz w:val="18"/>
              </w:rPr>
              <w:t>USD · EUR · GBP · CAD · AUD · SGD · JPY · CHF · INR (relabels every money field)</w:t>
            </w:r>
          </w:p>
        </w:tc>
      </w:tr>
      <w:tr>
        <w:tc>
          <w:tcPr>
            <w:tcW w:type="dxa" w:w="2448"/>
            <w:shd w:val="clear" w:color="auto" w:fill="E7EEF3"/>
          </w:tcPr>
          <w:p>
            <w:pPr>
              <w:spacing w:before="20" w:after="20"/>
            </w:pPr>
            <w:r>
              <w:rPr>
                <w:rFonts w:ascii="Calibri" w:hAnsi="Calibri"/>
                <w:b/>
                <w:i w:val="0"/>
                <w:color w:val="08243A"/>
                <w:sz w:val="18"/>
              </w:rPr>
              <w:t>Operating regions</w:t>
            </w:r>
          </w:p>
        </w:tc>
        <w:tc>
          <w:tcPr>
            <w:tcW w:type="dxa" w:w="1440"/>
            <w:shd w:val="clear" w:color="auto" w:fill="E7EEF3"/>
          </w:tcPr>
          <w:p>
            <w:pPr>
              <w:spacing w:before="20" w:after="20"/>
            </w:pPr>
            <w:r>
              <w:rPr>
                <w:rFonts w:ascii="Calibri" w:hAnsi="Calibri"/>
                <w:b w:val="0"/>
                <w:i w:val="0"/>
                <w:color w:val="222A30"/>
                <w:sz w:val="18"/>
              </w:rPr>
              <w:t>multi-select</w:t>
            </w:r>
          </w:p>
        </w:tc>
        <w:tc>
          <w:tcPr>
            <w:tcW w:type="dxa" w:w="5472"/>
            <w:shd w:val="clear" w:color="auto" w:fill="E7EEF3"/>
          </w:tcPr>
          <w:p>
            <w:pPr>
              <w:spacing w:before="20" w:after="20"/>
            </w:pPr>
            <w:r>
              <w:rPr>
                <w:rFonts w:ascii="Calibri" w:hAnsi="Calibri"/>
                <w:b w:val="0"/>
                <w:i w:val="0"/>
                <w:color w:val="222A30"/>
                <w:sz w:val="18"/>
              </w:rPr>
              <w:t>US · EU · UK · Canada · Singapore · Australia · APAC · Global — sets breach-notification clocks and penalty regimes</w:t>
            </w:r>
          </w:p>
        </w:tc>
      </w:tr>
    </w:tbl>
    <w:p>
      <w:pPr>
        <w:spacing w:after="40"/>
      </w:pPr>
    </w:p>
    <w:p>
      <w:pPr>
        <w:spacing w:before="0" w:after="120"/>
      </w:pPr>
      <w:r>
        <w:rPr>
          <w:rFonts w:ascii="Calibri" w:hAnsi="Calibri"/>
          <w:b w:val="0"/>
          <w:i w:val="0"/>
          <w:color w:val="222A30"/>
          <w:sz w:val="21"/>
        </w:rPr>
        <w:t>Leadership — enter the named owner of each seat: CEO, CFO, CISO, COO, CTO, CPO, General Counsel (CLO), Chief Risk Officer, Chief Audit Executive. Each seat is addressed to its owner, and every decision is stamped with that leader’s name.</w:t>
      </w:r>
    </w:p>
    <w:p>
      <w:pPr>
        <w:spacing w:before="140" w:after="160"/>
        <w:ind w:left="86"/>
        <w:shd w:val="clear" w:color="auto" w:fill="EEF2F5"/>
        <w:pBdr>
          <w:left w:val="single" w:sz="24" w:space="6" w:color="1A5FA0"/>
        </w:pBdr>
      </w:pPr>
      <w:r>
        <w:rPr>
          <w:rFonts w:ascii="Calibri" w:hAnsi="Calibri"/>
          <w:b/>
          <w:i w:val="0"/>
          <w:caps/>
          <w:color w:val="1A5FA0"/>
          <w:sz w:val="17"/>
          <w:spacing w:val="25"/>
        </w:rPr>
        <w:t xml:space="preserve">NOTE   </w:t>
      </w:r>
      <w:r>
        <w:rPr>
          <w:rFonts w:ascii="Calibri" w:hAnsi="Calibri"/>
          <w:b w:val="0"/>
          <w:i w:val="0"/>
          <w:color w:val="222A30"/>
          <w:sz w:val="20"/>
        </w:rPr>
        <w:t>Region drives real deadlines — it is used to compute notification countdowns and maximum penalties. Set every region in which you operate.</w:t>
      </w:r>
    </w:p>
    <w:p>
      <w:pPr>
        <w:spacing w:before="260" w:after="60"/>
        <w:outlineLvl w:val="1"/>
      </w:pPr>
      <w:r>
        <w:rPr>
          <w:rFonts w:ascii="Georgia" w:hAnsi="Georgia"/>
          <w:b/>
          <w:i w:val="0"/>
          <w:color w:val="2FA3D6"/>
          <w:sz w:val="28"/>
        </w:rPr>
        <w:t xml:space="preserve">3.2  </w:t>
      </w:r>
      <w:r>
        <w:rPr>
          <w:rFonts w:ascii="Georgia" w:hAnsi="Georgia"/>
          <w:b/>
          <w:i w:val="0"/>
          <w:color w:val="1A5FA0"/>
          <w:sz w:val="28"/>
        </w:rPr>
        <w:t>Governance, AI, strategy &amp; policy evidence</w:t>
      </w:r>
    </w:p>
    <w:p>
      <w:pPr>
        <w:pStyle w:val="ListBullet"/>
        <w:spacing w:after="40"/>
        <w:ind w:left="432"/>
      </w:pPr>
      <w:r>
        <w:rPr>
          <w:rFonts w:ascii="Calibri" w:hAnsi="Calibri"/>
          <w:b/>
          <w:i w:val="0"/>
          <w:color w:val="08243A"/>
          <w:sz w:val="21"/>
        </w:rPr>
        <w:t xml:space="preserve">Board governance &amp; incident readiness:  </w:t>
      </w:r>
      <w:r>
        <w:rPr>
          <w:rFonts w:ascii="Calibri" w:hAnsi="Calibri"/>
          <w:b w:val="0"/>
          <w:i w:val="0"/>
          <w:color w:val="222A30"/>
          <w:sz w:val="21"/>
        </w:rPr>
        <w:t>committee, cadence, CISO reporting line, board cyber-expertise, ERM integration, IR-plan test status, last tabletop, breach-counsel retainer, ransomware-payment policy, and compliance frameworks in scope. Powers the CEO/Board governance panel and SEC Item 106 readiness.</w:t>
      </w:r>
    </w:p>
    <w:p>
      <w:pPr>
        <w:pStyle w:val="ListBullet"/>
        <w:spacing w:after="40"/>
        <w:ind w:left="432"/>
      </w:pPr>
      <w:r>
        <w:rPr>
          <w:rFonts w:ascii="Calibri" w:hAnsi="Calibri"/>
          <w:b/>
          <w:i w:val="0"/>
          <w:color w:val="08243A"/>
          <w:sz w:val="21"/>
        </w:rPr>
        <w:t xml:space="preserve">AI risk &amp; governance:  </w:t>
      </w:r>
      <w:r>
        <w:rPr>
          <w:rFonts w:ascii="Calibri" w:hAnsi="Calibri"/>
          <w:b w:val="0"/>
          <w:i w:val="0"/>
          <w:color w:val="222A30"/>
          <w:sz w:val="21"/>
        </w:rPr>
        <w:t>AI/LLM systems in production, customer-facing AI decisioning, governance framework (NIST AI RMF / ISO 42001), acceptable-use policy, EU AI Act scope, inventory status. Powers the CEO &amp; CISO AI-risk panels.</w:t>
      </w:r>
    </w:p>
    <w:p>
      <w:pPr>
        <w:pStyle w:val="ListBullet"/>
        <w:spacing w:after="40"/>
        <w:ind w:left="432"/>
      </w:pPr>
      <w:r>
        <w:rPr>
          <w:rFonts w:ascii="Calibri" w:hAnsi="Calibri"/>
          <w:b/>
          <w:i w:val="0"/>
          <w:color w:val="08243A"/>
          <w:sz w:val="21"/>
        </w:rPr>
        <w:t xml:space="preserve">Strategic initiatives:  </w:t>
      </w:r>
      <w:r>
        <w:rPr>
          <w:rFonts w:ascii="Calibri" w:hAnsi="Calibri"/>
          <w:b w:val="0"/>
          <w:i w:val="0"/>
          <w:color w:val="222A30"/>
          <w:sz w:val="21"/>
        </w:rPr>
        <w:t>major moves in front of the board (acquisition, cloud migration, AI product, expansion) with value at stake and horizon — each gets a per-initiative go/no-go safety check.</w:t>
      </w:r>
    </w:p>
    <w:p>
      <w:pPr>
        <w:pStyle w:val="ListBullet"/>
        <w:spacing w:after="40"/>
        <w:ind w:left="432"/>
      </w:pPr>
      <w:r>
        <w:rPr>
          <w:rFonts w:ascii="Calibri" w:hAnsi="Calibri"/>
          <w:b/>
          <w:i w:val="0"/>
          <w:color w:val="08243A"/>
          <w:sz w:val="21"/>
        </w:rPr>
        <w:t xml:space="preserve">Strategic objectives:  </w:t>
      </w:r>
      <w:r>
        <w:rPr>
          <w:rFonts w:ascii="Calibri" w:hAnsi="Calibri"/>
          <w:b w:val="0"/>
          <w:i w:val="0"/>
          <w:color w:val="222A30"/>
          <w:sz w:val="21"/>
        </w:rPr>
        <w:t>enduring goals, each tagged with the cyber capability it leans on. The CEO cockpit reports how many objectives are cyber-safe.</w:t>
      </w:r>
    </w:p>
    <w:p>
      <w:pPr>
        <w:pStyle w:val="ListBullet"/>
        <w:spacing w:after="40"/>
        <w:ind w:left="432"/>
      </w:pPr>
      <w:r>
        <w:rPr>
          <w:rFonts w:ascii="Calibri" w:hAnsi="Calibri"/>
          <w:b/>
          <w:i w:val="0"/>
          <w:color w:val="08243A"/>
          <w:sz w:val="21"/>
        </w:rPr>
        <w:t xml:space="preserve">Policy &amp; document evidence:  </w:t>
      </w:r>
      <w:r>
        <w:rPr>
          <w:rFonts w:ascii="Calibri" w:hAnsi="Calibri"/>
          <w:b w:val="0"/>
          <w:i w:val="0"/>
          <w:color w:val="222A30"/>
          <w:sz w:val="21"/>
        </w:rPr>
        <w:t>upload security policies (PDF/DOCX/TXT). Nerion reads each against the NIST control catalog and scores every control’s CMMI maturity from the policy language — the document-review evidence behind your framework scores.</w:t>
      </w:r>
    </w:p>
    <w:p>
      <w:pPr>
        <w:spacing w:before="260" w:after="60"/>
        <w:outlineLvl w:val="1"/>
      </w:pPr>
      <w:r>
        <w:rPr>
          <w:rFonts w:ascii="Georgia" w:hAnsi="Georgia"/>
          <w:b/>
          <w:i w:val="0"/>
          <w:color w:val="2FA3D6"/>
          <w:sz w:val="28"/>
        </w:rPr>
        <w:t xml:space="preserve">3.3  </w:t>
      </w:r>
      <w:r>
        <w:rPr>
          <w:rFonts w:ascii="Georgia" w:hAnsi="Georgia"/>
          <w:b/>
          <w:i w:val="0"/>
          <w:color w:val="1A5FA0"/>
          <w:sz w:val="28"/>
        </w:rPr>
        <w:t>Financials, risk portfolio, growth &amp; insurance</w:t>
      </w:r>
    </w:p>
    <w:p>
      <w:pPr>
        <w:spacing w:before="0" w:after="120"/>
      </w:pPr>
      <w:r>
        <w:rPr>
          <w:rFonts w:ascii="Calibri" w:hAnsi="Calibri"/>
          <w:b w:val="0"/>
          <w:i w:val="0"/>
          <w:color w:val="222A30"/>
          <w:sz w:val="21"/>
        </w:rPr>
        <w:t>All money fields take a number, a unit (B/M/K) and show a formatted equivalent.</w:t>
      </w:r>
    </w:p>
    <w:p>
      <w:pPr>
        <w:spacing w:before="200" w:after="60"/>
      </w:pPr>
      <w:r>
        <w:rPr>
          <w:rFonts w:ascii="Calibri" w:hAnsi="Calibri"/>
          <w:b/>
          <w:i w:val="0"/>
          <w:caps/>
          <w:color w:val="2FA3D6"/>
          <w:sz w:val="17"/>
          <w:spacing w:val="18"/>
        </w:rPr>
        <w:t xml:space="preserve">FIELDS — </w:t>
      </w:r>
      <w:r>
        <w:rPr>
          <w:rFonts w:ascii="Calibri" w:hAnsi="Calibri"/>
          <w:b/>
          <w:i w:val="0"/>
          <w:caps/>
          <w:color w:val="5B6B76"/>
          <w:sz w:val="17"/>
          <w:spacing w:val="18"/>
        </w:rPr>
        <w:t>Financials &amp; appetite</w:t>
      </w:r>
    </w:p>
    <w:tbl>
      <w:tblPr>
        <w:tblW w:type="auto" w:w="0"/>
        <w:jc w:val="center"/>
        <w:tblLook w:firstColumn="1" w:firstRow="1" w:lastColumn="0" w:lastRow="0" w:noHBand="0" w:noVBand="1" w:val="04A0"/>
      </w:tblPr>
      <w:tblGrid>
        <w:gridCol w:w="3120"/>
        <w:gridCol w:w="3120"/>
        <w:gridCol w:w="3120"/>
      </w:tblGrid>
      <w:tr>
        <w:tc>
          <w:tcPr>
            <w:tcW w:type="dxa" w:w="2448"/>
            <w:shd w:val="clear" w:color="auto" w:fill="08243A"/>
          </w:tcPr>
          <w:p>
            <w:pPr>
              <w:spacing w:before="40" w:after="40"/>
            </w:pPr>
            <w:r>
              <w:rPr>
                <w:rFonts w:ascii="Calibri" w:hAnsi="Calibri"/>
                <w:b/>
                <w:i w:val="0"/>
                <w:color w:val="FFFFFF"/>
                <w:sz w:val="18"/>
              </w:rPr>
              <w:t>Field</w:t>
            </w:r>
          </w:p>
        </w:tc>
        <w:tc>
          <w:tcPr>
            <w:tcW w:type="dxa" w:w="1440"/>
            <w:shd w:val="clear" w:color="auto" w:fill="08243A"/>
          </w:tcPr>
          <w:p>
            <w:pPr>
              <w:spacing w:before="40" w:after="40"/>
            </w:pPr>
            <w:r>
              <w:rPr>
                <w:rFonts w:ascii="Calibri" w:hAnsi="Calibri"/>
                <w:b/>
                <w:i w:val="0"/>
                <w:color w:val="FFFFFF"/>
                <w:sz w:val="18"/>
              </w:rPr>
              <w:t>Type</w:t>
            </w:r>
          </w:p>
        </w:tc>
        <w:tc>
          <w:tcPr>
            <w:tcW w:type="dxa" w:w="5472"/>
            <w:shd w:val="clear" w:color="auto" w:fill="08243A"/>
          </w:tcPr>
          <w:p>
            <w:pPr>
              <w:spacing w:before="40" w:after="40"/>
            </w:pPr>
            <w:r>
              <w:rPr>
                <w:rFonts w:ascii="Calibri" w:hAnsi="Calibri"/>
                <w:b/>
                <w:i w:val="0"/>
                <w:color w:val="FFFFFF"/>
                <w:sz w:val="18"/>
              </w:rPr>
              <w:t>What it does / options</w:t>
            </w:r>
          </w:p>
        </w:tc>
      </w:tr>
      <w:tr>
        <w:tc>
          <w:tcPr>
            <w:tcW w:type="dxa" w:w="2448"/>
          </w:tcPr>
          <w:p>
            <w:pPr>
              <w:spacing w:before="20" w:after="20"/>
            </w:pPr>
            <w:r>
              <w:rPr>
                <w:rFonts w:ascii="Calibri" w:hAnsi="Calibri"/>
                <w:b/>
                <w:i w:val="0"/>
                <w:color w:val="08243A"/>
                <w:sz w:val="18"/>
              </w:rPr>
              <w:t>Annual revenue / Operating / Net income</w:t>
            </w:r>
          </w:p>
        </w:tc>
        <w:tc>
          <w:tcPr>
            <w:tcW w:type="dxa" w:w="1440"/>
          </w:tcPr>
          <w:p>
            <w:pPr>
              <w:spacing w:before="20" w:after="20"/>
            </w:pPr>
            <w:r>
              <w:rPr>
                <w:rFonts w:ascii="Calibri" w:hAnsi="Calibri"/>
                <w:b w:val="0"/>
                <w:i w:val="0"/>
                <w:color w:val="222A30"/>
                <w:sz w:val="18"/>
              </w:rPr>
              <w:t>money</w:t>
            </w:r>
          </w:p>
        </w:tc>
        <w:tc>
          <w:tcPr>
            <w:tcW w:type="dxa" w:w="5472"/>
          </w:tcPr>
          <w:p>
            <w:pPr>
              <w:spacing w:before="20" w:after="20"/>
            </w:pPr>
            <w:r>
              <w:rPr>
                <w:rFonts w:ascii="Calibri" w:hAnsi="Calibri"/>
                <w:b w:val="0"/>
                <w:i w:val="0"/>
                <w:color w:val="222A30"/>
                <w:sz w:val="18"/>
              </w:rPr>
              <w:t>Drive %-of-revenue, EPS-impact and materiality.</w:t>
            </w:r>
          </w:p>
        </w:tc>
      </w:tr>
      <w:tr>
        <w:tc>
          <w:tcPr>
            <w:tcW w:type="dxa" w:w="2448"/>
            <w:shd w:val="clear" w:color="auto" w:fill="E7EEF3"/>
          </w:tcPr>
          <w:p>
            <w:pPr>
              <w:spacing w:before="20" w:after="20"/>
            </w:pPr>
            <w:r>
              <w:rPr>
                <w:rFonts w:ascii="Calibri" w:hAnsi="Calibri"/>
                <w:b/>
                <w:i w:val="0"/>
                <w:color w:val="08243A"/>
                <w:sz w:val="18"/>
              </w:rPr>
              <w:t>Enterprise value / market cap</w:t>
            </w:r>
          </w:p>
        </w:tc>
        <w:tc>
          <w:tcPr>
            <w:tcW w:type="dxa" w:w="1440"/>
            <w:shd w:val="clear" w:color="auto" w:fill="E7EEF3"/>
          </w:tcPr>
          <w:p>
            <w:pPr>
              <w:spacing w:before="20" w:after="20"/>
            </w:pPr>
            <w:r>
              <w:rPr>
                <w:rFonts w:ascii="Calibri" w:hAnsi="Calibri"/>
                <w:b w:val="0"/>
                <w:i w:val="0"/>
                <w:color w:val="222A30"/>
                <w:sz w:val="18"/>
              </w:rPr>
              <w:t>money</w:t>
            </w:r>
          </w:p>
        </w:tc>
        <w:tc>
          <w:tcPr>
            <w:tcW w:type="dxa" w:w="5472"/>
            <w:shd w:val="clear" w:color="auto" w:fill="E7EEF3"/>
          </w:tcPr>
          <w:p>
            <w:pPr>
              <w:spacing w:before="20" w:after="20"/>
            </w:pPr>
            <w:r>
              <w:rPr>
                <w:rFonts w:ascii="Calibri" w:hAnsi="Calibri"/>
                <w:b w:val="0"/>
                <w:i w:val="0"/>
                <w:color w:val="222A30"/>
                <w:sz w:val="18"/>
              </w:rPr>
              <w:t>For %-of-enterprise-value framing.</w:t>
            </w:r>
          </w:p>
        </w:tc>
      </w:tr>
      <w:tr>
        <w:tc>
          <w:tcPr>
            <w:tcW w:type="dxa" w:w="2448"/>
          </w:tcPr>
          <w:p>
            <w:pPr>
              <w:spacing w:before="20" w:after="20"/>
            </w:pPr>
            <w:r>
              <w:rPr>
                <w:rFonts w:ascii="Calibri" w:hAnsi="Calibri"/>
                <w:b/>
                <w:i w:val="0"/>
                <w:color w:val="08243A"/>
                <w:sz w:val="18"/>
              </w:rPr>
              <w:t>Board cyber-risk appetite</w:t>
            </w:r>
          </w:p>
        </w:tc>
        <w:tc>
          <w:tcPr>
            <w:tcW w:type="dxa" w:w="1440"/>
          </w:tcPr>
          <w:p>
            <w:pPr>
              <w:spacing w:before="20" w:after="20"/>
            </w:pPr>
            <w:r>
              <w:rPr>
                <w:rFonts w:ascii="Calibri" w:hAnsi="Calibri"/>
                <w:b w:val="0"/>
                <w:i w:val="0"/>
                <w:color w:val="222A30"/>
                <w:sz w:val="18"/>
              </w:rPr>
              <w:t>money</w:t>
            </w:r>
          </w:p>
        </w:tc>
        <w:tc>
          <w:tcPr>
            <w:tcW w:type="dxa" w:w="5472"/>
          </w:tcPr>
          <w:p>
            <w:pPr>
              <w:spacing w:before="20" w:after="20"/>
            </w:pPr>
            <w:r>
              <w:rPr>
                <w:rFonts w:ascii="Calibri" w:hAnsi="Calibri"/>
                <w:b w:val="0"/>
                <w:i w:val="0"/>
                <w:color w:val="222A30"/>
                <w:sz w:val="18"/>
              </w:rPr>
              <w:t>The maximum annual cyber loss the board has approved.</w:t>
            </w:r>
          </w:p>
        </w:tc>
      </w:tr>
      <w:tr>
        <w:tc>
          <w:tcPr>
            <w:tcW w:type="dxa" w:w="2448"/>
            <w:shd w:val="clear" w:color="auto" w:fill="E7EEF3"/>
          </w:tcPr>
          <w:p>
            <w:pPr>
              <w:spacing w:before="20" w:after="20"/>
            </w:pPr>
            <w:r>
              <w:rPr>
                <w:rFonts w:ascii="Calibri" w:hAnsi="Calibri"/>
                <w:b/>
                <w:i w:val="0"/>
                <w:color w:val="08243A"/>
                <w:sz w:val="18"/>
              </w:rPr>
              <w:t>Annual cyber budget</w:t>
            </w:r>
          </w:p>
        </w:tc>
        <w:tc>
          <w:tcPr>
            <w:tcW w:type="dxa" w:w="1440"/>
            <w:shd w:val="clear" w:color="auto" w:fill="E7EEF3"/>
          </w:tcPr>
          <w:p>
            <w:pPr>
              <w:spacing w:before="20" w:after="20"/>
            </w:pPr>
            <w:r>
              <w:rPr>
                <w:rFonts w:ascii="Calibri" w:hAnsi="Calibri"/>
                <w:b w:val="0"/>
                <w:i w:val="0"/>
                <w:color w:val="222A30"/>
                <w:sz w:val="18"/>
              </w:rPr>
              <w:t>money</w:t>
            </w:r>
          </w:p>
        </w:tc>
        <w:tc>
          <w:tcPr>
            <w:tcW w:type="dxa" w:w="5472"/>
            <w:shd w:val="clear" w:color="auto" w:fill="E7EEF3"/>
          </w:tcPr>
          <w:p>
            <w:pPr>
              <w:spacing w:before="20" w:after="20"/>
            </w:pPr>
            <w:r>
              <w:rPr>
                <w:rFonts w:ascii="Calibri" w:hAnsi="Calibri"/>
                <w:b w:val="0"/>
                <w:i w:val="0"/>
                <w:color w:val="222A30"/>
                <w:sz w:val="18"/>
              </w:rPr>
              <w:t>Program spend.</w:t>
            </w:r>
          </w:p>
        </w:tc>
      </w:tr>
      <w:tr>
        <w:tc>
          <w:tcPr>
            <w:tcW w:type="dxa" w:w="2448"/>
          </w:tcPr>
          <w:p>
            <w:pPr>
              <w:spacing w:before="20" w:after="20"/>
            </w:pPr>
            <w:r>
              <w:rPr>
                <w:rFonts w:ascii="Calibri" w:hAnsi="Calibri"/>
                <w:b/>
                <w:i w:val="0"/>
                <w:color w:val="08243A"/>
                <w:sz w:val="18"/>
              </w:rPr>
              <w:t>Shares outstanding / Records held</w:t>
            </w:r>
          </w:p>
        </w:tc>
        <w:tc>
          <w:tcPr>
            <w:tcW w:type="dxa" w:w="1440"/>
          </w:tcPr>
          <w:p>
            <w:pPr>
              <w:spacing w:before="20" w:after="20"/>
            </w:pPr>
            <w:r>
              <w:rPr>
                <w:rFonts w:ascii="Calibri" w:hAnsi="Calibri"/>
                <w:b w:val="0"/>
                <w:i w:val="0"/>
                <w:color w:val="222A30"/>
                <w:sz w:val="18"/>
              </w:rPr>
              <w:t>count</w:t>
            </w:r>
          </w:p>
        </w:tc>
        <w:tc>
          <w:tcPr>
            <w:tcW w:type="dxa" w:w="5472"/>
          </w:tcPr>
          <w:p>
            <w:pPr>
              <w:spacing w:before="20" w:after="20"/>
            </w:pPr>
            <w:r>
              <w:rPr>
                <w:rFonts w:ascii="Calibri" w:hAnsi="Calibri"/>
                <w:b w:val="0"/>
                <w:i w:val="0"/>
                <w:color w:val="222A30"/>
                <w:sz w:val="18"/>
              </w:rPr>
              <w:t>For EPS-impact and legal-liability sizing.</w:t>
            </w:r>
          </w:p>
        </w:tc>
      </w:tr>
    </w:tbl>
    <w:p>
      <w:pPr>
        <w:spacing w:after="40"/>
      </w:pPr>
    </w:p>
    <w:p>
      <w:pPr>
        <w:pStyle w:val="ListBullet"/>
        <w:spacing w:after="40"/>
        <w:ind w:left="432"/>
      </w:pPr>
      <w:r>
        <w:rPr>
          <w:rFonts w:ascii="Calibri" w:hAnsi="Calibri"/>
          <w:b/>
          <w:i w:val="0"/>
          <w:color w:val="08243A"/>
          <w:sz w:val="21"/>
        </w:rPr>
        <w:t xml:space="preserve">Enterprise risk portfolio:  </w:t>
      </w:r>
      <w:r>
        <w:rPr>
          <w:rFonts w:ascii="Calibri" w:hAnsi="Calibri"/>
          <w:b w:val="0"/>
          <w:i w:val="0"/>
          <w:color w:val="222A30"/>
          <w:sz w:val="21"/>
        </w:rPr>
        <w:t>your other principal risks in dollars (credit/market, operational, third-party, compliance) so the CRO can place cyber on one comparable scale.</w:t>
      </w:r>
    </w:p>
    <w:p>
      <w:pPr>
        <w:pStyle w:val="ListBullet"/>
        <w:spacing w:after="40"/>
        <w:ind w:left="432"/>
      </w:pPr>
      <w:r>
        <w:rPr>
          <w:rFonts w:ascii="Calibri" w:hAnsi="Calibri"/>
          <w:b/>
          <w:i w:val="0"/>
          <w:color w:val="08243A"/>
          <w:sz w:val="21"/>
        </w:rPr>
        <w:t xml:space="preserve">Security as a growth engine:  </w:t>
      </w:r>
      <w:r>
        <w:rPr>
          <w:rFonts w:ascii="Calibri" w:hAnsi="Calibri"/>
          <w:b w:val="0"/>
          <w:i w:val="0"/>
          <w:color w:val="222A30"/>
          <w:sz w:val="21"/>
        </w:rPr>
        <w:t>pipeline in security review, review-cycle time, deals gated, trust reviews, certifications held. Powers the CISO growth view.</w:t>
      </w:r>
    </w:p>
    <w:p>
      <w:pPr>
        <w:pStyle w:val="ListBullet"/>
        <w:spacing w:after="40"/>
        <w:ind w:left="432"/>
      </w:pPr>
      <w:r>
        <w:rPr>
          <w:rFonts w:ascii="Calibri" w:hAnsi="Calibri"/>
          <w:b/>
          <w:i w:val="0"/>
          <w:color w:val="08243A"/>
          <w:sz w:val="21"/>
        </w:rPr>
        <w:t xml:space="preserve">Cyber insurance:  </w:t>
      </w:r>
      <w:r>
        <w:rPr>
          <w:rFonts w:ascii="Calibri" w:hAnsi="Calibri"/>
          <w:b w:val="0"/>
          <w:i w:val="0"/>
          <w:color w:val="222A30"/>
          <w:sz w:val="21"/>
        </w:rPr>
        <w:t>coverage limit, annual premium, renewal date. Powers the coverage-vs-tail gap and renewal position.</w:t>
      </w:r>
    </w:p>
    <w:p>
      <w:pPr>
        <w:spacing w:before="260" w:after="60"/>
        <w:outlineLvl w:val="1"/>
      </w:pPr>
      <w:r>
        <w:rPr>
          <w:rFonts w:ascii="Georgia" w:hAnsi="Georgia"/>
          <w:b/>
          <w:i w:val="0"/>
          <w:color w:val="2FA3D6"/>
          <w:sz w:val="28"/>
        </w:rPr>
        <w:t xml:space="preserve">3.4  </w:t>
      </w:r>
      <w:r>
        <w:rPr>
          <w:rFonts w:ascii="Georgia" w:hAnsi="Georgia"/>
          <w:b/>
          <w:i w:val="0"/>
          <w:color w:val="1A5FA0"/>
          <w:sz w:val="28"/>
        </w:rPr>
        <w:t>Inventory — processes, systems, crown jewels</w:t>
      </w:r>
    </w:p>
    <w:p>
      <w:pPr>
        <w:spacing w:before="0" w:after="120"/>
      </w:pPr>
      <w:r>
        <w:rPr>
          <w:rFonts w:ascii="Calibri" w:hAnsi="Calibri"/>
          <w:b w:val="0"/>
          <w:i w:val="0"/>
          <w:color w:val="222A30"/>
          <w:sz w:val="21"/>
        </w:rPr>
        <w:t>List your revenue-bearing processes (type, upload CSV, or connect a CMDB such as ServiceNow) and the systems/applications that run them (with hosting/exposure, data class, EOL, recovery, and transaction value). Nerion auto-maps applications to processes by shared data class and derives your crown jewels — the concentrations of value an attacker would target. A three-column visual map (processes → applications → crown jewels) lets you adjust the mapping.</w:t>
      </w:r>
    </w:p>
    <w:p>
      <w:pPr>
        <w:spacing w:before="140" w:after="160"/>
        <w:ind w:left="86"/>
        <w:shd w:val="clear" w:color="auto" w:fill="EEF2F5"/>
        <w:pBdr>
          <w:left w:val="single" w:sz="24" w:space="6" w:color="1A5FA0"/>
        </w:pBdr>
      </w:pPr>
      <w:r>
        <w:rPr>
          <w:rFonts w:ascii="Calibri" w:hAnsi="Calibri"/>
          <w:b/>
          <w:i w:val="0"/>
          <w:caps/>
          <w:color w:val="1A5FA0"/>
          <w:sz w:val="17"/>
          <w:spacing w:val="25"/>
        </w:rPr>
        <w:t xml:space="preserve">KEY TAKEAWAY   </w:t>
      </w:r>
      <w:r>
        <w:rPr>
          <w:rFonts w:ascii="Calibri" w:hAnsi="Calibri"/>
          <w:b w:val="0"/>
          <w:i w:val="0"/>
          <w:color w:val="222A30"/>
          <w:sz w:val="20"/>
        </w:rPr>
        <w:t>This is the most valuable section — it anchors the process → system → crown-jewel → risk → control chain that the entire platform is built on. Crown-jewel scoring uses data sensitivity × exposure × process criticality; the authoritative scoring runs on the engine at go-live.</w:t>
      </w:r>
    </w:p>
    <w:p>
      <w:pPr>
        <w:spacing w:before="260" w:after="60"/>
        <w:outlineLvl w:val="1"/>
      </w:pPr>
      <w:r>
        <w:rPr>
          <w:rFonts w:ascii="Georgia" w:hAnsi="Georgia"/>
          <w:b/>
          <w:i w:val="0"/>
          <w:color w:val="2FA3D6"/>
          <w:sz w:val="28"/>
        </w:rPr>
        <w:t xml:space="preserve">3.5  </w:t>
      </w:r>
      <w:r>
        <w:rPr>
          <w:rFonts w:ascii="Georgia" w:hAnsi="Georgia"/>
          <w:b/>
          <w:i w:val="0"/>
          <w:color w:val="1A5FA0"/>
          <w:sz w:val="28"/>
        </w:rPr>
        <w:t>Risks, projects &amp; vendors</w:t>
      </w:r>
    </w:p>
    <w:p>
      <w:pPr>
        <w:pStyle w:val="ListBullet"/>
        <w:spacing w:after="40"/>
        <w:ind w:left="432"/>
      </w:pPr>
      <w:r>
        <w:rPr>
          <w:rFonts w:ascii="Calibri" w:hAnsi="Calibri"/>
          <w:b/>
          <w:i w:val="0"/>
          <w:color w:val="08243A"/>
          <w:sz w:val="21"/>
        </w:rPr>
        <w:t xml:space="preserve">Risk register:  </w:t>
      </w:r>
      <w:r>
        <w:rPr>
          <w:rFonts w:ascii="Calibri" w:hAnsi="Calibri"/>
          <w:b w:val="0"/>
          <w:i w:val="0"/>
          <w:color w:val="222A30"/>
          <w:sz w:val="21"/>
        </w:rPr>
        <w:t>upload open risks with dollar exposure — turns the crown-jewel map into a material-exposure figure and feeds the Monte-Carlo tail model.</w:t>
      </w:r>
    </w:p>
    <w:p>
      <w:pPr>
        <w:pStyle w:val="ListBullet"/>
        <w:spacing w:after="40"/>
        <w:ind w:left="432"/>
      </w:pPr>
      <w:r>
        <w:rPr>
          <w:rFonts w:ascii="Calibri" w:hAnsi="Calibri"/>
          <w:b/>
          <w:i w:val="0"/>
          <w:color w:val="08243A"/>
          <w:sz w:val="21"/>
        </w:rPr>
        <w:t xml:space="preserve">Current cyber projects:  </w:t>
      </w:r>
      <w:r>
        <w:rPr>
          <w:rFonts w:ascii="Calibri" w:hAnsi="Calibri"/>
          <w:b w:val="0"/>
          <w:i w:val="0"/>
          <w:color w:val="222A30"/>
          <w:sz w:val="21"/>
        </w:rPr>
        <w:t>upload in-flight cyber spend (cost, expected ROI, status) or pull from ticketing — managed alongside new decisions in the cockpit.</w:t>
      </w:r>
    </w:p>
    <w:p>
      <w:pPr>
        <w:pStyle w:val="ListBullet"/>
        <w:spacing w:after="40"/>
        <w:ind w:left="432"/>
      </w:pPr>
      <w:r>
        <w:rPr>
          <w:rFonts w:ascii="Calibri" w:hAnsi="Calibri"/>
          <w:b/>
          <w:i w:val="0"/>
          <w:color w:val="08243A"/>
          <w:sz w:val="21"/>
        </w:rPr>
        <w:t xml:space="preserve">Third-party vendors:  </w:t>
      </w:r>
      <w:r>
        <w:rPr>
          <w:rFonts w:ascii="Calibri" w:hAnsi="Calibri"/>
          <w:b w:val="0"/>
          <w:i w:val="0"/>
          <w:color w:val="222A30"/>
          <w:sz w:val="21"/>
        </w:rPr>
        <w:t>capture tier-1/2 vendors (CSV or TPRM API). Your monitoring service then rates each live in the cockpit’s third-party panel.</w:t>
      </w:r>
    </w:p>
    <w:p>
      <w:pPr>
        <w:spacing w:before="260" w:after="60"/>
        <w:outlineLvl w:val="1"/>
      </w:pPr>
      <w:r>
        <w:rPr>
          <w:rFonts w:ascii="Georgia" w:hAnsi="Georgia"/>
          <w:b/>
          <w:i w:val="0"/>
          <w:color w:val="2FA3D6"/>
          <w:sz w:val="28"/>
        </w:rPr>
        <w:t xml:space="preserve">3.6  </w:t>
      </w:r>
      <w:r>
        <w:rPr>
          <w:rFonts w:ascii="Georgia" w:hAnsi="Georgia"/>
          <w:b/>
          <w:i w:val="0"/>
          <w:color w:val="1A5FA0"/>
          <w:sz w:val="28"/>
        </w:rPr>
        <w:t>Connect your tools</w:t>
      </w:r>
    </w:p>
    <w:p>
      <w:pPr>
        <w:spacing w:before="0" w:after="120"/>
      </w:pPr>
      <w:r>
        <w:rPr>
          <w:rFonts w:ascii="Calibri" w:hAnsi="Calibri"/>
          <w:b w:val="0"/>
          <w:i w:val="0"/>
          <w:color w:val="222A30"/>
          <w:sz w:val="21"/>
        </w:rPr>
        <w:t>Most of your evidence is pulled live from here. Nerion ships native connectors across the security and operations stack; connecting a tool turns modeled placeholders into live readings. An evidence-credibility meter shows how much of the cockpit is grounded in your data.</w:t>
      </w:r>
    </w:p>
    <w:p>
      <w:pPr>
        <w:spacing w:before="140" w:after="160"/>
        <w:ind w:left="86"/>
        <w:shd w:val="clear" w:color="auto" w:fill="ECF5EF"/>
        <w:pBdr>
          <w:left w:val="single" w:sz="24" w:space="6" w:color="1E7A3C"/>
        </w:pBdr>
      </w:pPr>
      <w:r>
        <w:rPr>
          <w:rFonts w:ascii="Calibri" w:hAnsi="Calibri"/>
          <w:b/>
          <w:i w:val="0"/>
          <w:caps/>
          <w:color w:val="1E7A3C"/>
          <w:sz w:val="17"/>
          <w:spacing w:val="25"/>
        </w:rPr>
        <w:t xml:space="preserve">TIP   </w:t>
      </w:r>
      <w:r>
        <w:rPr>
          <w:rFonts w:ascii="Calibri" w:hAnsi="Calibri"/>
          <w:b w:val="0"/>
          <w:i w:val="0"/>
          <w:color w:val="222A30"/>
          <w:sz w:val="20"/>
        </w:rPr>
        <w:t>Demo mode connects all tools with simulated signals (clearly labelled “Demo”, never counted as real) so you can explore before wiring live API keys.</w:t>
      </w:r>
    </w:p>
    <w:p>
      <w:pPr>
        <w:spacing w:before="0" w:after="120"/>
      </w:pPr>
      <w:r>
        <w:rPr>
          <w:rFonts w:ascii="Calibri" w:hAnsi="Calibri"/>
          <w:b w:val="0"/>
          <w:i w:val="0"/>
          <w:color w:val="222A30"/>
          <w:sz w:val="21"/>
        </w:rPr>
        <w:t>Go live submits your description to the platform, which ingests it, runs the crown-jewel and economics engines, and builds the cockpit.</w:t>
      </w:r>
    </w:p>
    <w:p>
      <w:r>
        <w:br w:type="page"/>
      </w:r>
    </w:p>
    <w:p>
      <w:pPr>
        <w:spacing w:after="0"/>
      </w:pPr>
      <w:r>
        <w:rPr>
          <w:rFonts w:ascii="Calibri" w:hAnsi="Calibri"/>
          <w:b/>
          <w:i w:val="0"/>
          <w:caps/>
          <w:color w:val="2FA3D6"/>
          <w:sz w:val="18"/>
          <w:spacing w:val="40"/>
        </w:rPr>
        <w:t>CHAPTER 04</w:t>
      </w:r>
    </w:p>
    <w:p>
      <w:pPr>
        <w:spacing w:after="200"/>
        <w:pBdr>
          <w:bottom w:val="single" w:sz="12" w:space="6" w:color="08243A"/>
        </w:pBdr>
        <w:outlineLvl w:val="0"/>
      </w:pPr>
      <w:r>
        <w:rPr>
          <w:rFonts w:ascii="Georgia" w:hAnsi="Georgia"/>
          <w:b/>
          <w:i w:val="0"/>
          <w:color w:val="08243A"/>
          <w:sz w:val="44"/>
        </w:rPr>
        <w:t>The Cockpit</w:t>
      </w:r>
    </w:p>
    <w:p>
      <w:pPr>
        <w:spacing w:before="260" w:after="60"/>
        <w:outlineLvl w:val="1"/>
      </w:pPr>
      <w:r>
        <w:rPr>
          <w:rFonts w:ascii="Georgia" w:hAnsi="Georgia"/>
          <w:b/>
          <w:i w:val="0"/>
          <w:color w:val="2FA3D6"/>
          <w:sz w:val="28"/>
        </w:rPr>
        <w:t xml:space="preserve">4.1  </w:t>
      </w:r>
      <w:r>
        <w:rPr>
          <w:rFonts w:ascii="Georgia" w:hAnsi="Georgia"/>
          <w:b/>
          <w:i w:val="0"/>
          <w:color w:val="1A5FA0"/>
          <w:sz w:val="28"/>
        </w:rPr>
        <w:t>Layout</w:t>
      </w:r>
    </w:p>
    <w:p>
      <w:pPr>
        <w:spacing w:before="0" w:after="120"/>
      </w:pPr>
      <w:r>
        <w:rPr>
          <w:rFonts w:ascii="Calibri" w:hAnsi="Calibri"/>
          <w:b w:val="0"/>
          <w:i w:val="0"/>
          <w:color w:val="222A30"/>
          <w:sz w:val="21"/>
        </w:rPr>
        <w:t>The cockpit has three constants: the seat bar (top) switches lenses; the seat header shows whose cockpit you are in and an “as of” timestamp; and the tab bar organizes that seat’s content. Most seats have five tabs; the CISO has six.</w:t>
      </w:r>
    </w:p>
    <w:p>
      <w:pPr>
        <w:spacing w:before="260" w:after="60"/>
        <w:outlineLvl w:val="1"/>
      </w:pPr>
      <w:r>
        <w:rPr>
          <w:rFonts w:ascii="Georgia" w:hAnsi="Georgia"/>
          <w:b/>
          <w:i w:val="0"/>
          <w:color w:val="2FA3D6"/>
          <w:sz w:val="28"/>
        </w:rPr>
        <w:t xml:space="preserve">4.2  </w:t>
      </w:r>
      <w:r>
        <w:rPr>
          <w:rFonts w:ascii="Georgia" w:hAnsi="Georgia"/>
          <w:b/>
          <w:i w:val="0"/>
          <w:color w:val="1A5FA0"/>
          <w:sz w:val="28"/>
        </w:rPr>
        <w:t>Reading a metric</w:t>
      </w:r>
    </w:p>
    <w:p>
      <w:pPr>
        <w:spacing w:before="0" w:after="120"/>
      </w:pPr>
      <w:r>
        <w:rPr>
          <w:rFonts w:ascii="Calibri" w:hAnsi="Calibri"/>
          <w:b w:val="0"/>
          <w:i w:val="0"/>
          <w:color w:val="222A30"/>
          <w:sz w:val="21"/>
        </w:rPr>
        <w:t>Hover any box for a short explanation. Tap it to open the inspection panel (Chapter 1) — formula, method, inputs (ending in a “= result” row), sources and why-it-matters. A not-connected metric names the exact tool to connect and shows where the data will come from, rather than a placeholder number.</w:t>
      </w:r>
    </w:p>
    <w:p>
      <w:r>
        <w:br w:type="page"/>
      </w:r>
    </w:p>
    <w:p>
      <w:pPr>
        <w:spacing w:after="0"/>
      </w:pPr>
      <w:r>
        <w:rPr>
          <w:rFonts w:ascii="Calibri" w:hAnsi="Calibri"/>
          <w:b/>
          <w:i w:val="0"/>
          <w:caps/>
          <w:color w:val="2FA3D6"/>
          <w:sz w:val="18"/>
          <w:spacing w:val="40"/>
        </w:rPr>
        <w:t>CHAPTER 05</w:t>
      </w:r>
    </w:p>
    <w:p>
      <w:pPr>
        <w:spacing w:after="200"/>
        <w:pBdr>
          <w:bottom w:val="single" w:sz="12" w:space="6" w:color="08243A"/>
        </w:pBdr>
        <w:outlineLvl w:val="0"/>
      </w:pPr>
      <w:r>
        <w:rPr>
          <w:rFonts w:ascii="Georgia" w:hAnsi="Georgia"/>
          <w:b/>
          <w:i w:val="0"/>
          <w:color w:val="08243A"/>
          <w:sz w:val="44"/>
        </w:rPr>
        <w:t>Decisions</w:t>
      </w:r>
    </w:p>
    <w:p>
      <w:pPr>
        <w:spacing w:before="0" w:after="120"/>
      </w:pPr>
      <w:r>
        <w:rPr>
          <w:rFonts w:ascii="Calibri" w:hAnsi="Calibri"/>
          <w:b w:val="0"/>
          <w:i w:val="0"/>
          <w:color w:val="222A30"/>
          <w:sz w:val="21"/>
        </w:rPr>
        <w:t>A decision is the unit of action in Nerion. Every executive seat surfaces the cyber calls that need that leader — and each is a real, interactive decision, not a read-only note.</w:t>
      </w:r>
    </w:p>
    <w:p>
      <w:pPr>
        <w:spacing w:before="260" w:after="60"/>
        <w:outlineLvl w:val="1"/>
      </w:pPr>
      <w:r>
        <w:rPr>
          <w:rFonts w:ascii="Georgia" w:hAnsi="Georgia"/>
          <w:b/>
          <w:i w:val="0"/>
          <w:color w:val="2FA3D6"/>
          <w:sz w:val="28"/>
        </w:rPr>
        <w:t xml:space="preserve">5.1  </w:t>
      </w:r>
      <w:r>
        <w:rPr>
          <w:rFonts w:ascii="Georgia" w:hAnsi="Georgia"/>
          <w:b/>
          <w:i w:val="0"/>
          <w:color w:val="1A5FA0"/>
          <w:sz w:val="28"/>
        </w:rPr>
        <w:t>The decision lifecycle</w:t>
      </w:r>
    </w:p>
    <w:p>
      <w:pPr>
        <w:spacing w:before="100" w:after="20"/>
      </w:pPr>
      <w:r>
        <w:rPr>
          <w:rFonts w:ascii="Georgia" w:hAnsi="Georgia"/>
          <w:b/>
          <w:i w:val="0"/>
          <w:color w:val="2FA3D6"/>
          <w:sz w:val="23"/>
        </w:rPr>
        <w:t xml:space="preserve">1  </w:t>
      </w:r>
      <w:r>
        <w:rPr>
          <w:rFonts w:ascii="Calibri" w:hAnsi="Calibri"/>
          <w:b/>
          <w:i w:val="0"/>
          <w:color w:val="08243A"/>
          <w:sz w:val="22"/>
        </w:rPr>
        <w:t>See the options</w:t>
      </w:r>
    </w:p>
    <w:p>
      <w:pPr>
        <w:spacing w:after="40"/>
        <w:ind w:left="432"/>
      </w:pPr>
      <w:r>
        <w:rPr>
          <w:rFonts w:ascii="Calibri" w:hAnsi="Calibri"/>
          <w:b w:val="0"/>
          <w:i w:val="0"/>
          <w:color w:val="222A30"/>
          <w:sz w:val="21"/>
        </w:rPr>
        <w:t>Each decision presents its options with the recommended one marked. You always have alternatives (e.g. defer, or accept the risk with a rationale) — the recommendation never removes the choice.</w:t>
      </w:r>
    </w:p>
    <w:p>
      <w:pPr>
        <w:spacing w:after="80"/>
        <w:ind w:left="432"/>
      </w:pPr>
      <w:r>
        <w:rPr>
          <w:rFonts w:ascii="Calibri" w:hAnsi="Calibri"/>
          <w:b/>
          <w:i w:val="0"/>
          <w:color w:val="1E7A3C"/>
          <w:sz w:val="19"/>
        </w:rPr>
        <w:t xml:space="preserve">Result:  </w:t>
      </w:r>
      <w:r>
        <w:rPr>
          <w:rFonts w:ascii="Calibri" w:hAnsi="Calibri"/>
          <w:b w:val="0"/>
          <w:i/>
          <w:color w:val="5B6B76"/>
          <w:sz w:val="19"/>
        </w:rPr>
        <w:t>Pros and cons are shown per option, priced from your exposure model.</w:t>
      </w:r>
    </w:p>
    <w:p>
      <w:pPr>
        <w:spacing w:before="100" w:after="20"/>
      </w:pPr>
      <w:r>
        <w:rPr>
          <w:rFonts w:ascii="Georgia" w:hAnsi="Georgia"/>
          <w:b/>
          <w:i w:val="0"/>
          <w:color w:val="2FA3D6"/>
          <w:sz w:val="23"/>
        </w:rPr>
        <w:t xml:space="preserve">2  </w:t>
      </w:r>
      <w:r>
        <w:rPr>
          <w:rFonts w:ascii="Calibri" w:hAnsi="Calibri"/>
          <w:b/>
          <w:i w:val="0"/>
          <w:color w:val="08243A"/>
          <w:sz w:val="22"/>
        </w:rPr>
        <w:t>Choose &amp; record</w:t>
      </w:r>
    </w:p>
    <w:p>
      <w:pPr>
        <w:spacing w:after="40"/>
        <w:ind w:left="432"/>
      </w:pPr>
      <w:r>
        <w:rPr>
          <w:rFonts w:ascii="Calibri" w:hAnsi="Calibri"/>
          <w:b w:val="0"/>
          <w:i w:val="0"/>
          <w:color w:val="222A30"/>
          <w:sz w:val="21"/>
        </w:rPr>
        <w:t>Selecting an option records it, stamped with the seat leader’s name and the timestamp.</w:t>
      </w:r>
    </w:p>
    <w:p>
      <w:pPr>
        <w:spacing w:after="80"/>
        <w:ind w:left="432"/>
      </w:pPr>
      <w:r>
        <w:rPr>
          <w:rFonts w:ascii="Calibri" w:hAnsi="Calibri"/>
          <w:b/>
          <w:i w:val="0"/>
          <w:color w:val="1E7A3C"/>
          <w:sz w:val="19"/>
        </w:rPr>
        <w:t xml:space="preserve">Result:  </w:t>
      </w:r>
      <w:r>
        <w:rPr>
          <w:rFonts w:ascii="Calibri" w:hAnsi="Calibri"/>
          <w:b w:val="0"/>
          <w:i/>
          <w:color w:val="5B6B76"/>
          <w:sz w:val="19"/>
        </w:rPr>
        <w:t>The card shows “Decision by &lt;name&gt; (&lt;SEAT&gt;) · Option X · &lt;time&gt;”.</w:t>
      </w:r>
    </w:p>
    <w:p>
      <w:pPr>
        <w:spacing w:before="100" w:after="20"/>
      </w:pPr>
      <w:r>
        <w:rPr>
          <w:rFonts w:ascii="Georgia" w:hAnsi="Georgia"/>
          <w:b/>
          <w:i w:val="0"/>
          <w:color w:val="2FA3D6"/>
          <w:sz w:val="23"/>
        </w:rPr>
        <w:t xml:space="preserve">3  </w:t>
      </w:r>
      <w:r>
        <w:rPr>
          <w:rFonts w:ascii="Calibri" w:hAnsi="Calibri"/>
          <w:b/>
          <w:i w:val="0"/>
          <w:color w:val="08243A"/>
          <w:sz w:val="22"/>
        </w:rPr>
        <w:t>Edit within 24 hours</w:t>
      </w:r>
    </w:p>
    <w:p>
      <w:pPr>
        <w:spacing w:after="40"/>
        <w:ind w:left="432"/>
      </w:pPr>
      <w:r>
        <w:rPr>
          <w:rFonts w:ascii="Calibri" w:hAnsi="Calibri"/>
          <w:b w:val="0"/>
          <w:i w:val="0"/>
          <w:color w:val="222A30"/>
          <w:sz w:val="21"/>
        </w:rPr>
        <w:t>For 24 hours the decision stays editable — pick a different option, or undo. After that it commits and locks.</w:t>
      </w:r>
    </w:p>
    <w:p>
      <w:pPr>
        <w:spacing w:after="80"/>
        <w:ind w:left="432"/>
      </w:pPr>
      <w:r>
        <w:rPr>
          <w:rFonts w:ascii="Calibri" w:hAnsi="Calibri"/>
          <w:b/>
          <w:i w:val="0"/>
          <w:color w:val="1E7A3C"/>
          <w:sz w:val="19"/>
        </w:rPr>
        <w:t xml:space="preserve">Result:  </w:t>
      </w:r>
      <w:r>
        <w:rPr>
          <w:rFonts w:ascii="Calibri" w:hAnsi="Calibri"/>
          <w:b w:val="0"/>
          <w:i/>
          <w:color w:val="5B6B76"/>
          <w:sz w:val="19"/>
        </w:rPr>
        <w:t>Header changes from “✓ Recorded” to “🔒 Committed”.</w:t>
      </w:r>
    </w:p>
    <w:p>
      <w:pPr>
        <w:spacing w:before="100" w:after="20"/>
      </w:pPr>
      <w:r>
        <w:rPr>
          <w:rFonts w:ascii="Georgia" w:hAnsi="Georgia"/>
          <w:b/>
          <w:i w:val="0"/>
          <w:color w:val="2FA3D6"/>
          <w:sz w:val="23"/>
        </w:rPr>
        <w:t xml:space="preserve">4  </w:t>
      </w:r>
      <w:r>
        <w:rPr>
          <w:rFonts w:ascii="Calibri" w:hAnsi="Calibri"/>
          <w:b/>
          <w:i w:val="0"/>
          <w:color w:val="08243A"/>
          <w:sz w:val="22"/>
        </w:rPr>
        <w:t>Track to done</w:t>
      </w:r>
    </w:p>
    <w:p>
      <w:pPr>
        <w:spacing w:after="40"/>
        <w:ind w:left="432"/>
      </w:pPr>
      <w:r>
        <w:rPr>
          <w:rFonts w:ascii="Calibri" w:hAnsi="Calibri"/>
          <w:b w:val="0"/>
          <w:i w:val="0"/>
          <w:color w:val="222A30"/>
          <w:sz w:val="21"/>
        </w:rPr>
        <w:t>Where you connected Jira / ServiceNow at onboarding, choosing auto-opens a tracked project. Its status is pulled back — on refresh and on a periodic poll — on a four-step track (Open → In review → In progress → Done).</w:t>
      </w:r>
    </w:p>
    <w:p>
      <w:pPr>
        <w:spacing w:after="80"/>
        <w:ind w:left="432"/>
      </w:pPr>
      <w:r>
        <w:rPr>
          <w:rFonts w:ascii="Calibri" w:hAnsi="Calibri"/>
          <w:b/>
          <w:i w:val="0"/>
          <w:color w:val="1E7A3C"/>
          <w:sz w:val="19"/>
        </w:rPr>
        <w:t xml:space="preserve">Result:  </w:t>
      </w:r>
      <w:r>
        <w:rPr>
          <w:rFonts w:ascii="Calibri" w:hAnsi="Calibri"/>
          <w:b w:val="0"/>
          <w:i/>
          <w:color w:val="5B6B76"/>
          <w:sz w:val="19"/>
        </w:rPr>
        <w:t>If no ticketing system is connected, it records in Nerion and prompts you to connect one.</w:t>
      </w:r>
    </w:p>
    <w:p>
      <w:pPr>
        <w:spacing w:before="140" w:after="160"/>
        <w:ind w:left="86"/>
        <w:shd w:val="clear" w:color="auto" w:fill="EEF2F5"/>
        <w:pBdr>
          <w:left w:val="single" w:sz="24" w:space="6" w:color="1A5FA0"/>
        </w:pBdr>
      </w:pPr>
      <w:r>
        <w:rPr>
          <w:rFonts w:ascii="Calibri" w:hAnsi="Calibri"/>
          <w:b/>
          <w:i w:val="0"/>
          <w:caps/>
          <w:color w:val="1A5FA0"/>
          <w:sz w:val="17"/>
          <w:spacing w:val="25"/>
        </w:rPr>
        <w:t xml:space="preserve">NOTE   </w:t>
      </w:r>
      <w:r>
        <w:rPr>
          <w:rFonts w:ascii="Calibri" w:hAnsi="Calibri"/>
          <w:b w:val="0"/>
          <w:i w:val="0"/>
          <w:color w:val="222A30"/>
          <w:sz w:val="20"/>
        </w:rPr>
        <w:t>Decisions are framed on your exposure model — your risk register × the control-value ledger — with no AI at run-time. Each committed decision also feeds the cyber-initiatives portfolio (cost, ROI, owner, status).</w:t>
      </w:r>
    </w:p>
    <w:p>
      <w:r>
        <w:br w:type="page"/>
      </w:r>
    </w:p>
    <w:p>
      <w:pPr>
        <w:spacing w:after="0"/>
      </w:pPr>
      <w:r>
        <w:rPr>
          <w:rFonts w:ascii="Calibri" w:hAnsi="Calibri"/>
          <w:b/>
          <w:i w:val="0"/>
          <w:caps/>
          <w:color w:val="2FA3D6"/>
          <w:sz w:val="18"/>
          <w:spacing w:val="40"/>
        </w:rPr>
        <w:t>CHAPTER 06</w:t>
      </w:r>
    </w:p>
    <w:p>
      <w:pPr>
        <w:spacing w:after="200"/>
        <w:pBdr>
          <w:bottom w:val="single" w:sz="12" w:space="6" w:color="08243A"/>
        </w:pBdr>
        <w:outlineLvl w:val="0"/>
      </w:pPr>
      <w:r>
        <w:rPr>
          <w:rFonts w:ascii="Georgia" w:hAnsi="Georgia"/>
          <w:b/>
          <w:i w:val="0"/>
          <w:color w:val="08243A"/>
          <w:sz w:val="44"/>
        </w:rPr>
        <w:t>Seat-by-Seat Reference</w:t>
      </w:r>
    </w:p>
    <w:p>
      <w:pPr>
        <w:spacing w:before="0" w:after="120"/>
      </w:pPr>
      <w:r>
        <w:rPr>
          <w:rFonts w:ascii="Calibri" w:hAnsi="Calibri"/>
          <w:b w:val="0"/>
          <w:i w:val="0"/>
          <w:color w:val="222A30"/>
          <w:sz w:val="21"/>
        </w:rPr>
        <w:t>Each seat draws from the same onboarding description and live signals; they differ in lens, not in underlying data. Tap any metric in-app for its full trace.</w:t>
      </w:r>
    </w:p>
    <w:p>
      <w:pPr>
        <w:spacing w:before="260" w:after="60"/>
        <w:outlineLvl w:val="1"/>
      </w:pPr>
      <w:r>
        <w:rPr>
          <w:rFonts w:ascii="Georgia" w:hAnsi="Georgia"/>
          <w:b/>
          <w:i w:val="0"/>
          <w:color w:val="2FA3D6"/>
          <w:sz w:val="28"/>
        </w:rPr>
        <w:t xml:space="preserve">6.1  </w:t>
      </w:r>
      <w:r>
        <w:rPr>
          <w:rFonts w:ascii="Georgia" w:hAnsi="Georgia"/>
          <w:b/>
          <w:i w:val="0"/>
          <w:color w:val="1A5FA0"/>
          <w:sz w:val="28"/>
        </w:rPr>
        <w:t>CISO — Security</w:t>
      </w:r>
    </w:p>
    <w:p>
      <w:pPr>
        <w:spacing w:before="0" w:after="120"/>
      </w:pPr>
      <w:r>
        <w:rPr>
          <w:rFonts w:ascii="Calibri" w:hAnsi="Calibri"/>
          <w:b w:val="0"/>
          <w:i/>
          <w:color w:val="5B6B76"/>
          <w:sz w:val="21"/>
        </w:rPr>
        <w:t>Where is exposure, and are the controls actually working? The deepest seat — six tabs.</w:t>
      </w:r>
    </w:p>
    <w:p>
      <w:pPr>
        <w:spacing w:before="200" w:after="60"/>
      </w:pPr>
      <w:r>
        <w:rPr>
          <w:rFonts w:ascii="Calibri" w:hAnsi="Calibri"/>
          <w:b/>
          <w:i w:val="0"/>
          <w:caps/>
          <w:color w:val="2FA3D6"/>
          <w:sz w:val="17"/>
          <w:spacing w:val="18"/>
        </w:rPr>
        <w:t xml:space="preserve">TABS — </w:t>
      </w:r>
      <w:r>
        <w:rPr>
          <w:rFonts w:ascii="Calibri" w:hAnsi="Calibri"/>
          <w:b/>
          <w:i w:val="0"/>
          <w:caps/>
          <w:color w:val="5B6B76"/>
          <w:sz w:val="17"/>
          <w:spacing w:val="18"/>
        </w:rPr>
        <w:t>CISO — Security — tabs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Tab</w:t>
            </w:r>
          </w:p>
        </w:tc>
        <w:tc>
          <w:tcPr>
            <w:tcW w:type="dxa" w:w="6912"/>
            <w:shd w:val="clear" w:color="auto" w:fill="08243A"/>
          </w:tcPr>
          <w:p>
            <w:pPr>
              <w:spacing w:before="40" w:after="40"/>
            </w:pPr>
            <w:r>
              <w:rPr>
                <w:rFonts w:ascii="Calibri" w:hAnsi="Calibri"/>
                <w:b/>
                <w:i w:val="0"/>
                <w:color w:val="FFFFFF"/>
                <w:sz w:val="18"/>
              </w:rPr>
              <w:t>What it covers</w:t>
            </w:r>
          </w:p>
        </w:tc>
      </w:tr>
      <w:tr>
        <w:tc>
          <w:tcPr>
            <w:tcW w:type="dxa" w:w="2448"/>
          </w:tcPr>
          <w:p>
            <w:pPr>
              <w:spacing w:before="20" w:after="20"/>
            </w:pPr>
            <w:r>
              <w:rPr>
                <w:rFonts w:ascii="Calibri" w:hAnsi="Calibri"/>
                <w:b/>
                <w:i w:val="0"/>
                <w:color w:val="08243A"/>
                <w:sz w:val="18"/>
              </w:rPr>
              <w:t>01 Program health</w:t>
            </w:r>
          </w:p>
        </w:tc>
        <w:tc>
          <w:tcPr>
            <w:tcW w:type="dxa" w:w="6912"/>
          </w:tcPr>
          <w:p>
            <w:pPr>
              <w:spacing w:before="20" w:after="20"/>
            </w:pPr>
            <w:r>
              <w:rPr>
                <w:rFonts w:ascii="Calibri" w:hAnsi="Calibri"/>
                <w:b w:val="0"/>
                <w:i w:val="0"/>
                <w:color w:val="222A30"/>
                <w:sz w:val="18"/>
              </w:rPr>
              <w:t>Active-compromise status, capability &amp; coverage (X of N defences ≥75% healthy), third-party risk, and direction (claims “improving” only with ≥2 recorded quarters).</w:t>
            </w:r>
          </w:p>
        </w:tc>
      </w:tr>
      <w:tr>
        <w:tc>
          <w:tcPr>
            <w:tcW w:type="dxa" w:w="2448"/>
            <w:shd w:val="clear" w:color="auto" w:fill="E7EEF3"/>
          </w:tcPr>
          <w:p>
            <w:pPr>
              <w:spacing w:before="20" w:after="20"/>
            </w:pPr>
            <w:r>
              <w:rPr>
                <w:rFonts w:ascii="Calibri" w:hAnsi="Calibri"/>
                <w:b/>
                <w:i w:val="0"/>
                <w:color w:val="08243A"/>
                <w:sz w:val="18"/>
              </w:rPr>
              <w:t>02 Top exposure</w:t>
            </w:r>
          </w:p>
        </w:tc>
        <w:tc>
          <w:tcPr>
            <w:tcW w:type="dxa" w:w="6912"/>
            <w:shd w:val="clear" w:color="auto" w:fill="E7EEF3"/>
          </w:tcPr>
          <w:p>
            <w:pPr>
              <w:spacing w:before="20" w:after="20"/>
            </w:pPr>
            <w:r>
              <w:rPr>
                <w:rFonts w:ascii="Calibri" w:hAnsi="Calibri"/>
                <w:b w:val="0"/>
                <w:i w:val="0"/>
                <w:color w:val="222A30"/>
                <w:sz w:val="18"/>
              </w:rPr>
              <w:t>Modeled exposure decomposed into drivers (identity, patch, vendor, endpoint, email), each priced and traceable to its controls.</w:t>
            </w:r>
          </w:p>
        </w:tc>
      </w:tr>
      <w:tr>
        <w:tc>
          <w:tcPr>
            <w:tcW w:type="dxa" w:w="2448"/>
          </w:tcPr>
          <w:p>
            <w:pPr>
              <w:spacing w:before="20" w:after="20"/>
            </w:pPr>
            <w:r>
              <w:rPr>
                <w:rFonts w:ascii="Calibri" w:hAnsi="Calibri"/>
                <w:b/>
                <w:i w:val="0"/>
                <w:color w:val="08243A"/>
                <w:sz w:val="18"/>
              </w:rPr>
              <w:t>03 Effectiveness</w:t>
            </w:r>
          </w:p>
        </w:tc>
        <w:tc>
          <w:tcPr>
            <w:tcW w:type="dxa" w:w="6912"/>
          </w:tcPr>
          <w:p>
            <w:pPr>
              <w:spacing w:before="20" w:after="20"/>
            </w:pPr>
            <w:r>
              <w:rPr>
                <w:rFonts w:ascii="Calibri" w:hAnsi="Calibri"/>
                <w:b w:val="0"/>
                <w:i w:val="0"/>
                <w:color w:val="222A30"/>
                <w:sz w:val="18"/>
              </w:rPr>
              <w:t>Risk removed, security spend, return per dollar — with the per-control breakdown.</w:t>
            </w:r>
          </w:p>
        </w:tc>
      </w:tr>
      <w:tr>
        <w:tc>
          <w:tcPr>
            <w:tcW w:type="dxa" w:w="2448"/>
            <w:shd w:val="clear" w:color="auto" w:fill="E7EEF3"/>
          </w:tcPr>
          <w:p>
            <w:pPr>
              <w:spacing w:before="20" w:after="20"/>
            </w:pPr>
            <w:r>
              <w:rPr>
                <w:rFonts w:ascii="Calibri" w:hAnsi="Calibri"/>
                <w:b/>
                <w:i w:val="0"/>
                <w:color w:val="08243A"/>
                <w:sz w:val="18"/>
              </w:rPr>
              <w:t>04 Threats</w:t>
            </w:r>
          </w:p>
        </w:tc>
        <w:tc>
          <w:tcPr>
            <w:tcW w:type="dxa" w:w="6912"/>
            <w:shd w:val="clear" w:color="auto" w:fill="E7EEF3"/>
          </w:tcPr>
          <w:p>
            <w:pPr>
              <w:spacing w:before="20" w:after="20"/>
            </w:pPr>
            <w:r>
              <w:rPr>
                <w:rFonts w:ascii="Calibri" w:hAnsi="Calibri"/>
                <w:b w:val="0"/>
                <w:i w:val="0"/>
                <w:color w:val="222A30"/>
                <w:sz w:val="18"/>
              </w:rPr>
              <w:t>Live attack status and kill-chain coverage from SIEM/EDR + threat-intel.</w:t>
            </w:r>
          </w:p>
        </w:tc>
      </w:tr>
      <w:tr>
        <w:tc>
          <w:tcPr>
            <w:tcW w:type="dxa" w:w="2448"/>
          </w:tcPr>
          <w:p>
            <w:pPr>
              <w:spacing w:before="20" w:after="20"/>
            </w:pPr>
            <w:r>
              <w:rPr>
                <w:rFonts w:ascii="Calibri" w:hAnsi="Calibri"/>
                <w:b/>
                <w:i w:val="0"/>
                <w:color w:val="08243A"/>
                <w:sz w:val="18"/>
              </w:rPr>
              <w:t>05 Peers</w:t>
            </w:r>
          </w:p>
        </w:tc>
        <w:tc>
          <w:tcPr>
            <w:tcW w:type="dxa" w:w="6912"/>
          </w:tcPr>
          <w:p>
            <w:pPr>
              <w:spacing w:before="20" w:after="20"/>
            </w:pPr>
            <w:r>
              <w:rPr>
                <w:rFonts w:ascii="Calibri" w:hAnsi="Calibri"/>
                <w:b w:val="0"/>
                <w:i w:val="0"/>
                <w:color w:val="222A30"/>
                <w:sz w:val="18"/>
              </w:rPr>
              <w:t>Your maturity vs a published baseline (or live opted-in cohort), with your percentile.</w:t>
            </w:r>
          </w:p>
        </w:tc>
      </w:tr>
      <w:tr>
        <w:tc>
          <w:tcPr>
            <w:tcW w:type="dxa" w:w="2448"/>
            <w:shd w:val="clear" w:color="auto" w:fill="E7EEF3"/>
          </w:tcPr>
          <w:p>
            <w:pPr>
              <w:spacing w:before="20" w:after="20"/>
            </w:pPr>
            <w:r>
              <w:rPr>
                <w:rFonts w:ascii="Calibri" w:hAnsi="Calibri"/>
                <w:b/>
                <w:i w:val="0"/>
                <w:color w:val="08243A"/>
                <w:sz w:val="18"/>
              </w:rPr>
              <w:t>06 Frameworks</w:t>
            </w:r>
          </w:p>
        </w:tc>
        <w:tc>
          <w:tcPr>
            <w:tcW w:type="dxa" w:w="6912"/>
            <w:shd w:val="clear" w:color="auto" w:fill="E7EEF3"/>
          </w:tcPr>
          <w:p>
            <w:pPr>
              <w:spacing w:before="20" w:after="20"/>
            </w:pPr>
            <w:r>
              <w:rPr>
                <w:rFonts w:ascii="Calibri" w:hAnsi="Calibri"/>
                <w:b w:val="0"/>
                <w:i w:val="0"/>
                <w:color w:val="222A30"/>
                <w:sz w:val="18"/>
              </w:rPr>
              <w:t>Control assessment across NIST CSF, 800-53, SOC 2, HIPAA, CIS — CMMI, crosswalk, PDF export.</w:t>
            </w:r>
          </w:p>
        </w:tc>
      </w:tr>
    </w:tbl>
    <w:p>
      <w:pPr>
        <w:spacing w:after="40"/>
      </w:pPr>
    </w:p>
    <w:p>
      <w:pPr>
        <w:spacing w:before="260" w:after="60"/>
        <w:outlineLvl w:val="1"/>
      </w:pPr>
      <w:r>
        <w:rPr>
          <w:rFonts w:ascii="Georgia" w:hAnsi="Georgia"/>
          <w:b/>
          <w:i w:val="0"/>
          <w:color w:val="2FA3D6"/>
          <w:sz w:val="28"/>
        </w:rPr>
        <w:t xml:space="preserve">6.2  </w:t>
      </w:r>
      <w:r>
        <w:rPr>
          <w:rFonts w:ascii="Georgia" w:hAnsi="Georgia"/>
          <w:b/>
          <w:i w:val="0"/>
          <w:color w:val="1A5FA0"/>
          <w:sz w:val="28"/>
        </w:rPr>
        <w:t>CEO — Chief Executive</w:t>
      </w:r>
    </w:p>
    <w:p>
      <w:pPr>
        <w:spacing w:before="0" w:after="120"/>
      </w:pPr>
      <w:r>
        <w:rPr>
          <w:rFonts w:ascii="Calibri" w:hAnsi="Calibri"/>
          <w:b w:val="0"/>
          <w:i/>
          <w:color w:val="5B6B76"/>
          <w:sz w:val="21"/>
        </w:rPr>
        <w:t>Is cyber a tailwind or a risk to the strategy?</w:t>
      </w:r>
    </w:p>
    <w:p>
      <w:pPr>
        <w:spacing w:before="200" w:after="60"/>
      </w:pPr>
      <w:r>
        <w:rPr>
          <w:rFonts w:ascii="Calibri" w:hAnsi="Calibri"/>
          <w:b/>
          <w:i w:val="0"/>
          <w:caps/>
          <w:color w:val="2FA3D6"/>
          <w:sz w:val="17"/>
          <w:spacing w:val="18"/>
        </w:rPr>
        <w:t xml:space="preserve">TABS — </w:t>
      </w:r>
      <w:r>
        <w:rPr>
          <w:rFonts w:ascii="Calibri" w:hAnsi="Calibri"/>
          <w:b/>
          <w:i w:val="0"/>
          <w:caps/>
          <w:color w:val="5B6B76"/>
          <w:sz w:val="17"/>
          <w:spacing w:val="18"/>
        </w:rPr>
        <w:t>CEO — Chief Executive — tabs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Tab</w:t>
            </w:r>
          </w:p>
        </w:tc>
        <w:tc>
          <w:tcPr>
            <w:tcW w:type="dxa" w:w="6912"/>
            <w:shd w:val="clear" w:color="auto" w:fill="08243A"/>
          </w:tcPr>
          <w:p>
            <w:pPr>
              <w:spacing w:before="40" w:after="40"/>
            </w:pPr>
            <w:r>
              <w:rPr>
                <w:rFonts w:ascii="Calibri" w:hAnsi="Calibri"/>
                <w:b/>
                <w:i w:val="0"/>
                <w:color w:val="FFFFFF"/>
                <w:sz w:val="18"/>
              </w:rPr>
              <w:t>What it covers</w:t>
            </w:r>
          </w:p>
        </w:tc>
      </w:tr>
      <w:tr>
        <w:tc>
          <w:tcPr>
            <w:tcW w:type="dxa" w:w="2448"/>
          </w:tcPr>
          <w:p>
            <w:pPr>
              <w:spacing w:before="20" w:after="20"/>
            </w:pPr>
            <w:r>
              <w:rPr>
                <w:rFonts w:ascii="Calibri" w:hAnsi="Calibri"/>
                <w:b/>
                <w:i w:val="0"/>
                <w:color w:val="08243A"/>
                <w:sz w:val="18"/>
              </w:rPr>
              <w:t>01 Enterprise health</w:t>
            </w:r>
          </w:p>
        </w:tc>
        <w:tc>
          <w:tcPr>
            <w:tcW w:type="dxa" w:w="6912"/>
          </w:tcPr>
          <w:p>
            <w:pPr>
              <w:spacing w:before="20" w:after="20"/>
            </w:pPr>
            <w:r>
              <w:rPr>
                <w:rFonts w:ascii="Calibri" w:hAnsi="Calibri"/>
                <w:b w:val="0"/>
                <w:i w:val="0"/>
                <w:color w:val="222A30"/>
                <w:sz w:val="18"/>
              </w:rPr>
              <w:t>Business health vs strategic objectives; how many are cyber-safe.</w:t>
            </w:r>
          </w:p>
        </w:tc>
      </w:tr>
      <w:tr>
        <w:tc>
          <w:tcPr>
            <w:tcW w:type="dxa" w:w="2448"/>
            <w:shd w:val="clear" w:color="auto" w:fill="E7EEF3"/>
          </w:tcPr>
          <w:p>
            <w:pPr>
              <w:spacing w:before="20" w:after="20"/>
            </w:pPr>
            <w:r>
              <w:rPr>
                <w:rFonts w:ascii="Calibri" w:hAnsi="Calibri"/>
                <w:b/>
                <w:i w:val="0"/>
                <w:color w:val="08243A"/>
                <w:sz w:val="18"/>
              </w:rPr>
              <w:t>02 Strategic risk</w:t>
            </w:r>
          </w:p>
        </w:tc>
        <w:tc>
          <w:tcPr>
            <w:tcW w:type="dxa" w:w="6912"/>
            <w:shd w:val="clear" w:color="auto" w:fill="E7EEF3"/>
          </w:tcPr>
          <w:p>
            <w:pPr>
              <w:spacing w:before="20" w:after="20"/>
            </w:pPr>
            <w:r>
              <w:rPr>
                <w:rFonts w:ascii="Calibri" w:hAnsi="Calibri"/>
                <w:b w:val="0"/>
                <w:i w:val="0"/>
                <w:color w:val="222A30"/>
                <w:sz w:val="18"/>
              </w:rPr>
              <w:t>Cyber mapped to each objective.</w:t>
            </w:r>
          </w:p>
        </w:tc>
      </w:tr>
      <w:tr>
        <w:tc>
          <w:tcPr>
            <w:tcW w:type="dxa" w:w="2448"/>
          </w:tcPr>
          <w:p>
            <w:pPr>
              <w:spacing w:before="20" w:after="20"/>
            </w:pPr>
            <w:r>
              <w:rPr>
                <w:rFonts w:ascii="Calibri" w:hAnsi="Calibri"/>
                <w:b/>
                <w:i w:val="0"/>
                <w:color w:val="08243A"/>
                <w:sz w:val="18"/>
              </w:rPr>
              <w:t>03 Financial exposure</w:t>
            </w:r>
          </w:p>
        </w:tc>
        <w:tc>
          <w:tcPr>
            <w:tcW w:type="dxa" w:w="6912"/>
          </w:tcPr>
          <w:p>
            <w:pPr>
              <w:spacing w:before="20" w:after="20"/>
            </w:pPr>
            <w:r>
              <w:rPr>
                <w:rFonts w:ascii="Calibri" w:hAnsi="Calibri"/>
                <w:b w:val="0"/>
                <w:i w:val="0"/>
                <w:color w:val="222A30"/>
                <w:sz w:val="18"/>
              </w:rPr>
              <w:t>Modeled exposure vs board appetite; largest driver, interruption, insurance.</w:t>
            </w:r>
          </w:p>
        </w:tc>
      </w:tr>
      <w:tr>
        <w:tc>
          <w:tcPr>
            <w:tcW w:type="dxa" w:w="2448"/>
            <w:shd w:val="clear" w:color="auto" w:fill="E7EEF3"/>
          </w:tcPr>
          <w:p>
            <w:pPr>
              <w:spacing w:before="20" w:after="20"/>
            </w:pPr>
            <w:r>
              <w:rPr>
                <w:rFonts w:ascii="Calibri" w:hAnsi="Calibri"/>
                <w:b/>
                <w:i w:val="0"/>
                <w:color w:val="08243A"/>
                <w:sz w:val="18"/>
              </w:rPr>
              <w:t>04 Brand &amp; trust</w:t>
            </w:r>
          </w:p>
        </w:tc>
        <w:tc>
          <w:tcPr>
            <w:tcW w:type="dxa" w:w="6912"/>
            <w:shd w:val="clear" w:color="auto" w:fill="E7EEF3"/>
          </w:tcPr>
          <w:p>
            <w:pPr>
              <w:spacing w:before="20" w:after="20"/>
            </w:pPr>
            <w:r>
              <w:rPr>
                <w:rFonts w:ascii="Calibri" w:hAnsi="Calibri"/>
                <w:b w:val="0"/>
                <w:i w:val="0"/>
                <w:color w:val="222A30"/>
                <w:sz w:val="18"/>
              </w:rPr>
              <w:t>Customer incidents, disclosures, trust signal.</w:t>
            </w:r>
          </w:p>
        </w:tc>
      </w:tr>
      <w:tr>
        <w:tc>
          <w:tcPr>
            <w:tcW w:type="dxa" w:w="2448"/>
          </w:tcPr>
          <w:p>
            <w:pPr>
              <w:spacing w:before="20" w:after="20"/>
            </w:pPr>
            <w:r>
              <w:rPr>
                <w:rFonts w:ascii="Calibri" w:hAnsi="Calibri"/>
                <w:b/>
                <w:i w:val="0"/>
                <w:color w:val="08243A"/>
                <w:sz w:val="18"/>
              </w:rPr>
              <w:t>05 Decisions</w:t>
            </w:r>
          </w:p>
        </w:tc>
        <w:tc>
          <w:tcPr>
            <w:tcW w:type="dxa" w:w="6912"/>
          </w:tcPr>
          <w:p>
            <w:pPr>
              <w:spacing w:before="20" w:after="20"/>
            </w:pPr>
            <w:r>
              <w:rPr>
                <w:rFonts w:ascii="Calibri" w:hAnsi="Calibri"/>
                <w:b w:val="0"/>
                <w:i w:val="0"/>
                <w:color w:val="222A30"/>
                <w:sz w:val="18"/>
              </w:rPr>
              <w:t>Strategic cyber calls — interactive.</w:t>
            </w:r>
          </w:p>
        </w:tc>
      </w:tr>
    </w:tbl>
    <w:p>
      <w:pPr>
        <w:spacing w:after="40"/>
      </w:pPr>
    </w:p>
    <w:p>
      <w:pPr>
        <w:spacing w:before="260" w:after="60"/>
        <w:outlineLvl w:val="1"/>
      </w:pPr>
      <w:r>
        <w:rPr>
          <w:rFonts w:ascii="Georgia" w:hAnsi="Georgia"/>
          <w:b/>
          <w:i w:val="0"/>
          <w:color w:val="2FA3D6"/>
          <w:sz w:val="28"/>
        </w:rPr>
        <w:t xml:space="preserve">6.3  </w:t>
      </w:r>
      <w:r>
        <w:rPr>
          <w:rFonts w:ascii="Georgia" w:hAnsi="Georgia"/>
          <w:b/>
          <w:i w:val="0"/>
          <w:color w:val="1A5FA0"/>
          <w:sz w:val="28"/>
        </w:rPr>
        <w:t>CFO — Finance</w:t>
      </w:r>
    </w:p>
    <w:p>
      <w:pPr>
        <w:spacing w:before="0" w:after="120"/>
      </w:pPr>
      <w:r>
        <w:rPr>
          <w:rFonts w:ascii="Calibri" w:hAnsi="Calibri"/>
          <w:b w:val="0"/>
          <w:i/>
          <w:color w:val="5B6B76"/>
          <w:sz w:val="21"/>
        </w:rPr>
        <w:t>Dollar exposure, the insurance gap, and the ROI.</w:t>
      </w:r>
    </w:p>
    <w:p>
      <w:pPr>
        <w:spacing w:before="200" w:after="60"/>
      </w:pPr>
      <w:r>
        <w:rPr>
          <w:rFonts w:ascii="Calibri" w:hAnsi="Calibri"/>
          <w:b/>
          <w:i w:val="0"/>
          <w:caps/>
          <w:color w:val="2FA3D6"/>
          <w:sz w:val="17"/>
          <w:spacing w:val="18"/>
        </w:rPr>
        <w:t xml:space="preserve">TABS — </w:t>
      </w:r>
      <w:r>
        <w:rPr>
          <w:rFonts w:ascii="Calibri" w:hAnsi="Calibri"/>
          <w:b/>
          <w:i w:val="0"/>
          <w:caps/>
          <w:color w:val="5B6B76"/>
          <w:sz w:val="17"/>
          <w:spacing w:val="18"/>
        </w:rPr>
        <w:t>CFO — Finance — tabs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Tab</w:t>
            </w:r>
          </w:p>
        </w:tc>
        <w:tc>
          <w:tcPr>
            <w:tcW w:type="dxa" w:w="6912"/>
            <w:shd w:val="clear" w:color="auto" w:fill="08243A"/>
          </w:tcPr>
          <w:p>
            <w:pPr>
              <w:spacing w:before="40" w:after="40"/>
            </w:pPr>
            <w:r>
              <w:rPr>
                <w:rFonts w:ascii="Calibri" w:hAnsi="Calibri"/>
                <w:b/>
                <w:i w:val="0"/>
                <w:color w:val="FFFFFF"/>
                <w:sz w:val="18"/>
              </w:rPr>
              <w:t>What it covers</w:t>
            </w:r>
          </w:p>
        </w:tc>
      </w:tr>
      <w:tr>
        <w:tc>
          <w:tcPr>
            <w:tcW w:type="dxa" w:w="2448"/>
          </w:tcPr>
          <w:p>
            <w:pPr>
              <w:spacing w:before="20" w:after="20"/>
            </w:pPr>
            <w:r>
              <w:rPr>
                <w:rFonts w:ascii="Calibri" w:hAnsi="Calibri"/>
                <w:b/>
                <w:i w:val="0"/>
                <w:color w:val="08243A"/>
                <w:sz w:val="18"/>
              </w:rPr>
              <w:t>01 Financial exposure</w:t>
            </w:r>
          </w:p>
        </w:tc>
        <w:tc>
          <w:tcPr>
            <w:tcW w:type="dxa" w:w="6912"/>
          </w:tcPr>
          <w:p>
            <w:pPr>
              <w:spacing w:before="20" w:after="20"/>
            </w:pPr>
            <w:r>
              <w:rPr>
                <w:rFonts w:ascii="Calibri" w:hAnsi="Calibri"/>
                <w:b w:val="0"/>
                <w:i w:val="0"/>
                <w:color w:val="222A30"/>
                <w:sz w:val="18"/>
              </w:rPr>
              <w:t>Total exposure, appetite, headroom; drivers, interruption, coverage.</w:t>
            </w:r>
          </w:p>
        </w:tc>
      </w:tr>
      <w:tr>
        <w:tc>
          <w:tcPr>
            <w:tcW w:type="dxa" w:w="2448"/>
            <w:shd w:val="clear" w:color="auto" w:fill="E7EEF3"/>
          </w:tcPr>
          <w:p>
            <w:pPr>
              <w:spacing w:before="20" w:after="20"/>
            </w:pPr>
            <w:r>
              <w:rPr>
                <w:rFonts w:ascii="Calibri" w:hAnsi="Calibri"/>
                <w:b/>
                <w:i w:val="0"/>
                <w:color w:val="08243A"/>
                <w:sz w:val="18"/>
              </w:rPr>
              <w:t>02 Cyber ROI</w:t>
            </w:r>
          </w:p>
        </w:tc>
        <w:tc>
          <w:tcPr>
            <w:tcW w:type="dxa" w:w="6912"/>
            <w:shd w:val="clear" w:color="auto" w:fill="E7EEF3"/>
          </w:tcPr>
          <w:p>
            <w:pPr>
              <w:spacing w:before="20" w:after="20"/>
            </w:pPr>
            <w:r>
              <w:rPr>
                <w:rFonts w:ascii="Calibri" w:hAnsi="Calibri"/>
                <w:b w:val="0"/>
                <w:i w:val="0"/>
                <w:color w:val="222A30"/>
                <w:sz w:val="18"/>
              </w:rPr>
              <w:t>Risk removed ÷ spend, with return by budget area.</w:t>
            </w:r>
          </w:p>
        </w:tc>
      </w:tr>
      <w:tr>
        <w:tc>
          <w:tcPr>
            <w:tcW w:type="dxa" w:w="2448"/>
          </w:tcPr>
          <w:p>
            <w:pPr>
              <w:spacing w:before="20" w:after="20"/>
            </w:pPr>
            <w:r>
              <w:rPr>
                <w:rFonts w:ascii="Calibri" w:hAnsi="Calibri"/>
                <w:b/>
                <w:i w:val="0"/>
                <w:color w:val="08243A"/>
                <w:sz w:val="18"/>
              </w:rPr>
              <w:t>03 Insurance</w:t>
            </w:r>
          </w:p>
        </w:tc>
        <w:tc>
          <w:tcPr>
            <w:tcW w:type="dxa" w:w="6912"/>
          </w:tcPr>
          <w:p>
            <w:pPr>
              <w:spacing w:before="20" w:after="20"/>
            </w:pPr>
            <w:r>
              <w:rPr>
                <w:rFonts w:ascii="Calibri" w:hAnsi="Calibri"/>
                <w:b w:val="0"/>
                <w:i w:val="0"/>
                <w:color w:val="222A30"/>
                <w:sz w:val="18"/>
              </w:rPr>
              <w:t>Cover vs 1-in-20-year tail, residual gap, renewal leverage.</w:t>
            </w:r>
          </w:p>
        </w:tc>
      </w:tr>
      <w:tr>
        <w:tc>
          <w:tcPr>
            <w:tcW w:type="dxa" w:w="2448"/>
            <w:shd w:val="clear" w:color="auto" w:fill="E7EEF3"/>
          </w:tcPr>
          <w:p>
            <w:pPr>
              <w:spacing w:before="20" w:after="20"/>
            </w:pPr>
            <w:r>
              <w:rPr>
                <w:rFonts w:ascii="Calibri" w:hAnsi="Calibri"/>
                <w:b/>
                <w:i w:val="0"/>
                <w:color w:val="08243A"/>
                <w:sz w:val="18"/>
              </w:rPr>
              <w:t>04 Cost optimization</w:t>
            </w:r>
          </w:p>
        </w:tc>
        <w:tc>
          <w:tcPr>
            <w:tcW w:type="dxa" w:w="6912"/>
            <w:shd w:val="clear" w:color="auto" w:fill="E7EEF3"/>
          </w:tcPr>
          <w:p>
            <w:pPr>
              <w:spacing w:before="20" w:after="20"/>
            </w:pPr>
            <w:r>
              <w:rPr>
                <w:rFonts w:ascii="Calibri" w:hAnsi="Calibri"/>
                <w:b w:val="0"/>
                <w:i w:val="0"/>
                <w:color w:val="222A30"/>
                <w:sz w:val="18"/>
              </w:rPr>
              <w:t>Redeployable savings (retire / consolidate / right-size).</w:t>
            </w:r>
          </w:p>
        </w:tc>
      </w:tr>
      <w:tr>
        <w:tc>
          <w:tcPr>
            <w:tcW w:type="dxa" w:w="2448"/>
          </w:tcPr>
          <w:p>
            <w:pPr>
              <w:spacing w:before="20" w:after="20"/>
            </w:pPr>
            <w:r>
              <w:rPr>
                <w:rFonts w:ascii="Calibri" w:hAnsi="Calibri"/>
                <w:b/>
                <w:i w:val="0"/>
                <w:color w:val="08243A"/>
                <w:sz w:val="18"/>
              </w:rPr>
              <w:t>05 Risk decisions</w:t>
            </w:r>
          </w:p>
        </w:tc>
        <w:tc>
          <w:tcPr>
            <w:tcW w:type="dxa" w:w="6912"/>
          </w:tcPr>
          <w:p>
            <w:pPr>
              <w:spacing w:before="20" w:after="20"/>
            </w:pPr>
            <w:r>
              <w:rPr>
                <w:rFonts w:ascii="Calibri" w:hAnsi="Calibri"/>
                <w:b w:val="0"/>
                <w:i w:val="0"/>
                <w:color w:val="222A30"/>
                <w:sz w:val="18"/>
              </w:rPr>
              <w:t>Invest / transfer / accept — interactive.</w:t>
            </w:r>
          </w:p>
        </w:tc>
      </w:tr>
    </w:tbl>
    <w:p>
      <w:pPr>
        <w:spacing w:after="40"/>
      </w:pPr>
    </w:p>
    <w:p>
      <w:pPr>
        <w:spacing w:before="260" w:after="60"/>
        <w:outlineLvl w:val="1"/>
      </w:pPr>
      <w:r>
        <w:rPr>
          <w:rFonts w:ascii="Georgia" w:hAnsi="Georgia"/>
          <w:b/>
          <w:i w:val="0"/>
          <w:color w:val="2FA3D6"/>
          <w:sz w:val="28"/>
        </w:rPr>
        <w:t xml:space="preserve">6.4  </w:t>
      </w:r>
      <w:r>
        <w:rPr>
          <w:rFonts w:ascii="Georgia" w:hAnsi="Georgia"/>
          <w:b/>
          <w:i w:val="0"/>
          <w:color w:val="1A5FA0"/>
          <w:sz w:val="28"/>
        </w:rPr>
        <w:t>COO — Operations</w:t>
      </w:r>
    </w:p>
    <w:p>
      <w:pPr>
        <w:spacing w:before="0" w:after="120"/>
      </w:pPr>
      <w:r>
        <w:rPr>
          <w:rFonts w:ascii="Calibri" w:hAnsi="Calibri"/>
          <w:b w:val="0"/>
          <w:i/>
          <w:color w:val="5B6B76"/>
          <w:sz w:val="21"/>
        </w:rPr>
        <w:t>Can the business keep running through a disruption?</w:t>
      </w:r>
    </w:p>
    <w:p>
      <w:pPr>
        <w:spacing w:before="200" w:after="60"/>
      </w:pPr>
      <w:r>
        <w:rPr>
          <w:rFonts w:ascii="Calibri" w:hAnsi="Calibri"/>
          <w:b/>
          <w:i w:val="0"/>
          <w:caps/>
          <w:color w:val="2FA3D6"/>
          <w:sz w:val="17"/>
          <w:spacing w:val="18"/>
        </w:rPr>
        <w:t xml:space="preserve">TABS — </w:t>
      </w:r>
      <w:r>
        <w:rPr>
          <w:rFonts w:ascii="Calibri" w:hAnsi="Calibri"/>
          <w:b/>
          <w:i w:val="0"/>
          <w:caps/>
          <w:color w:val="5B6B76"/>
          <w:sz w:val="17"/>
          <w:spacing w:val="18"/>
        </w:rPr>
        <w:t>COO — Operations — tabs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Tab</w:t>
            </w:r>
          </w:p>
        </w:tc>
        <w:tc>
          <w:tcPr>
            <w:tcW w:type="dxa" w:w="6912"/>
            <w:shd w:val="clear" w:color="auto" w:fill="08243A"/>
          </w:tcPr>
          <w:p>
            <w:pPr>
              <w:spacing w:before="40" w:after="40"/>
            </w:pPr>
            <w:r>
              <w:rPr>
                <w:rFonts w:ascii="Calibri" w:hAnsi="Calibri"/>
                <w:b/>
                <w:i w:val="0"/>
                <w:color w:val="FFFFFF"/>
                <w:sz w:val="18"/>
              </w:rPr>
              <w:t>What it covers</w:t>
            </w:r>
          </w:p>
        </w:tc>
      </w:tr>
      <w:tr>
        <w:tc>
          <w:tcPr>
            <w:tcW w:type="dxa" w:w="2448"/>
          </w:tcPr>
          <w:p>
            <w:pPr>
              <w:spacing w:before="20" w:after="20"/>
            </w:pPr>
            <w:r>
              <w:rPr>
                <w:rFonts w:ascii="Calibri" w:hAnsi="Calibri"/>
                <w:b/>
                <w:i w:val="0"/>
                <w:color w:val="08243A"/>
                <w:sz w:val="18"/>
              </w:rPr>
              <w:t>01 Resilience</w:t>
            </w:r>
          </w:p>
        </w:tc>
        <w:tc>
          <w:tcPr>
            <w:tcW w:type="dxa" w:w="6912"/>
          </w:tcPr>
          <w:p>
            <w:pPr>
              <w:spacing w:before="20" w:after="20"/>
            </w:pPr>
            <w:r>
              <w:rPr>
                <w:rFonts w:ascii="Calibri" w:hAnsi="Calibri"/>
                <w:b w:val="0"/>
                <w:i w:val="0"/>
                <w:color w:val="222A30"/>
                <w:sz w:val="18"/>
              </w:rPr>
              <w:t>Continuity, processes protected, recovery readiness.</w:t>
            </w:r>
          </w:p>
        </w:tc>
      </w:tr>
      <w:tr>
        <w:tc>
          <w:tcPr>
            <w:tcW w:type="dxa" w:w="2448"/>
            <w:shd w:val="clear" w:color="auto" w:fill="E7EEF3"/>
          </w:tcPr>
          <w:p>
            <w:pPr>
              <w:spacing w:before="20" w:after="20"/>
            </w:pPr>
            <w:r>
              <w:rPr>
                <w:rFonts w:ascii="Calibri" w:hAnsi="Calibri"/>
                <w:b/>
                <w:i w:val="0"/>
                <w:color w:val="08243A"/>
                <w:sz w:val="18"/>
              </w:rPr>
              <w:t>02 Processes</w:t>
            </w:r>
          </w:p>
        </w:tc>
        <w:tc>
          <w:tcPr>
            <w:tcW w:type="dxa" w:w="6912"/>
            <w:shd w:val="clear" w:color="auto" w:fill="E7EEF3"/>
          </w:tcPr>
          <w:p>
            <w:pPr>
              <w:spacing w:before="20" w:after="20"/>
            </w:pPr>
            <w:r>
              <w:rPr>
                <w:rFonts w:ascii="Calibri" w:hAnsi="Calibri"/>
                <w:b w:val="0"/>
                <w:i w:val="0"/>
                <w:color w:val="222A30"/>
                <w:sz w:val="18"/>
              </w:rPr>
              <w:t>Cyber status per critical process.</w:t>
            </w:r>
          </w:p>
        </w:tc>
      </w:tr>
      <w:tr>
        <w:tc>
          <w:tcPr>
            <w:tcW w:type="dxa" w:w="2448"/>
          </w:tcPr>
          <w:p>
            <w:pPr>
              <w:spacing w:before="20" w:after="20"/>
            </w:pPr>
            <w:r>
              <w:rPr>
                <w:rFonts w:ascii="Calibri" w:hAnsi="Calibri"/>
                <w:b/>
                <w:i w:val="0"/>
                <w:color w:val="08243A"/>
                <w:sz w:val="18"/>
              </w:rPr>
              <w:t>03 Supply chain</w:t>
            </w:r>
          </w:p>
        </w:tc>
        <w:tc>
          <w:tcPr>
            <w:tcW w:type="dxa" w:w="6912"/>
          </w:tcPr>
          <w:p>
            <w:pPr>
              <w:spacing w:before="20" w:after="20"/>
            </w:pPr>
            <w:r>
              <w:rPr>
                <w:rFonts w:ascii="Calibri" w:hAnsi="Calibri"/>
                <w:b w:val="0"/>
                <w:i w:val="0"/>
                <w:color w:val="222A30"/>
                <w:sz w:val="18"/>
              </w:rPr>
              <w:t>Tier-1 vendors, single points of failure.</w:t>
            </w:r>
          </w:p>
        </w:tc>
      </w:tr>
      <w:tr>
        <w:tc>
          <w:tcPr>
            <w:tcW w:type="dxa" w:w="2448"/>
            <w:shd w:val="clear" w:color="auto" w:fill="E7EEF3"/>
          </w:tcPr>
          <w:p>
            <w:pPr>
              <w:spacing w:before="20" w:after="20"/>
            </w:pPr>
            <w:r>
              <w:rPr>
                <w:rFonts w:ascii="Calibri" w:hAnsi="Calibri"/>
                <w:b/>
                <w:i w:val="0"/>
                <w:color w:val="08243A"/>
                <w:sz w:val="18"/>
              </w:rPr>
              <w:t>04 Recovery</w:t>
            </w:r>
          </w:p>
        </w:tc>
        <w:tc>
          <w:tcPr>
            <w:tcW w:type="dxa" w:w="6912"/>
            <w:shd w:val="clear" w:color="auto" w:fill="E7EEF3"/>
          </w:tcPr>
          <w:p>
            <w:pPr>
              <w:spacing w:before="20" w:after="20"/>
            </w:pPr>
            <w:r>
              <w:rPr>
                <w:rFonts w:ascii="Calibri" w:hAnsi="Calibri"/>
                <w:b w:val="0"/>
                <w:i w:val="0"/>
                <w:color w:val="222A30"/>
                <w:sz w:val="18"/>
              </w:rPr>
              <w:t>RTO/RPO vs target, backups, identity recovery.</w:t>
            </w:r>
          </w:p>
        </w:tc>
      </w:tr>
      <w:tr>
        <w:tc>
          <w:tcPr>
            <w:tcW w:type="dxa" w:w="2448"/>
          </w:tcPr>
          <w:p>
            <w:pPr>
              <w:spacing w:before="20" w:after="20"/>
            </w:pPr>
            <w:r>
              <w:rPr>
                <w:rFonts w:ascii="Calibri" w:hAnsi="Calibri"/>
                <w:b/>
                <w:i w:val="0"/>
                <w:color w:val="08243A"/>
                <w:sz w:val="18"/>
              </w:rPr>
              <w:t>05 Decisions</w:t>
            </w:r>
          </w:p>
        </w:tc>
        <w:tc>
          <w:tcPr>
            <w:tcW w:type="dxa" w:w="6912"/>
          </w:tcPr>
          <w:p>
            <w:pPr>
              <w:spacing w:before="20" w:after="20"/>
            </w:pPr>
            <w:r>
              <w:rPr>
                <w:rFonts w:ascii="Calibri" w:hAnsi="Calibri"/>
                <w:b w:val="0"/>
                <w:i w:val="0"/>
                <w:color w:val="222A30"/>
                <w:sz w:val="18"/>
              </w:rPr>
              <w:t>Operational calls — interactive.</w:t>
            </w:r>
          </w:p>
        </w:tc>
      </w:tr>
    </w:tbl>
    <w:p>
      <w:pPr>
        <w:spacing w:after="40"/>
      </w:pPr>
    </w:p>
    <w:p>
      <w:pPr>
        <w:spacing w:before="260" w:after="60"/>
        <w:outlineLvl w:val="1"/>
      </w:pPr>
      <w:r>
        <w:rPr>
          <w:rFonts w:ascii="Georgia" w:hAnsi="Georgia"/>
          <w:b/>
          <w:i w:val="0"/>
          <w:color w:val="2FA3D6"/>
          <w:sz w:val="28"/>
        </w:rPr>
        <w:t xml:space="preserve">6.5  </w:t>
      </w:r>
      <w:r>
        <w:rPr>
          <w:rFonts w:ascii="Georgia" w:hAnsi="Georgia"/>
          <w:b/>
          <w:i w:val="0"/>
          <w:color w:val="1A5FA0"/>
          <w:sz w:val="28"/>
        </w:rPr>
        <w:t>CTO — Technology</w:t>
      </w:r>
    </w:p>
    <w:p>
      <w:pPr>
        <w:spacing w:before="0" w:after="120"/>
      </w:pPr>
      <w:r>
        <w:rPr>
          <w:rFonts w:ascii="Calibri" w:hAnsi="Calibri"/>
          <w:b w:val="0"/>
          <w:i/>
          <w:color w:val="5B6B76"/>
          <w:sz w:val="21"/>
        </w:rPr>
        <w:t>Which systems carry the business, and stack health.</w:t>
      </w:r>
    </w:p>
    <w:p>
      <w:pPr>
        <w:spacing w:before="200" w:after="60"/>
      </w:pPr>
      <w:r>
        <w:rPr>
          <w:rFonts w:ascii="Calibri" w:hAnsi="Calibri"/>
          <w:b/>
          <w:i w:val="0"/>
          <w:caps/>
          <w:color w:val="2FA3D6"/>
          <w:sz w:val="17"/>
          <w:spacing w:val="18"/>
        </w:rPr>
        <w:t xml:space="preserve">TABS — </w:t>
      </w:r>
      <w:r>
        <w:rPr>
          <w:rFonts w:ascii="Calibri" w:hAnsi="Calibri"/>
          <w:b/>
          <w:i w:val="0"/>
          <w:caps/>
          <w:color w:val="5B6B76"/>
          <w:sz w:val="17"/>
          <w:spacing w:val="18"/>
        </w:rPr>
        <w:t>CTO — Technology — tabs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Tab</w:t>
            </w:r>
          </w:p>
        </w:tc>
        <w:tc>
          <w:tcPr>
            <w:tcW w:type="dxa" w:w="6912"/>
            <w:shd w:val="clear" w:color="auto" w:fill="08243A"/>
          </w:tcPr>
          <w:p>
            <w:pPr>
              <w:spacing w:before="40" w:after="40"/>
            </w:pPr>
            <w:r>
              <w:rPr>
                <w:rFonts w:ascii="Calibri" w:hAnsi="Calibri"/>
                <w:b/>
                <w:i w:val="0"/>
                <w:color w:val="FFFFFF"/>
                <w:sz w:val="18"/>
              </w:rPr>
              <w:t>What it covers</w:t>
            </w:r>
          </w:p>
        </w:tc>
      </w:tr>
      <w:tr>
        <w:tc>
          <w:tcPr>
            <w:tcW w:type="dxa" w:w="2448"/>
          </w:tcPr>
          <w:p>
            <w:pPr>
              <w:spacing w:before="20" w:after="20"/>
            </w:pPr>
            <w:r>
              <w:rPr>
                <w:rFonts w:ascii="Calibri" w:hAnsi="Calibri"/>
                <w:b/>
                <w:i w:val="0"/>
                <w:color w:val="08243A"/>
                <w:sz w:val="18"/>
              </w:rPr>
              <w:t>01 Tech risk</w:t>
            </w:r>
          </w:p>
        </w:tc>
        <w:tc>
          <w:tcPr>
            <w:tcW w:type="dxa" w:w="6912"/>
          </w:tcPr>
          <w:p>
            <w:pPr>
              <w:spacing w:before="20" w:after="20"/>
            </w:pPr>
            <w:r>
              <w:rPr>
                <w:rFonts w:ascii="Calibri" w:hAnsi="Calibri"/>
                <w:b w:val="0"/>
                <w:i w:val="0"/>
                <w:color w:val="222A30"/>
                <w:sz w:val="18"/>
              </w:rPr>
              <w:t>Platform health, known-exploitable vulns, technical debt, app-sec.</w:t>
            </w:r>
          </w:p>
        </w:tc>
      </w:tr>
      <w:tr>
        <w:tc>
          <w:tcPr>
            <w:tcW w:type="dxa" w:w="2448"/>
            <w:shd w:val="clear" w:color="auto" w:fill="E7EEF3"/>
          </w:tcPr>
          <w:p>
            <w:pPr>
              <w:spacing w:before="20" w:after="20"/>
            </w:pPr>
            <w:r>
              <w:rPr>
                <w:rFonts w:ascii="Calibri" w:hAnsi="Calibri"/>
                <w:b/>
                <w:i w:val="0"/>
                <w:color w:val="08243A"/>
                <w:sz w:val="18"/>
              </w:rPr>
              <w:t>02 Reliability</w:t>
            </w:r>
          </w:p>
        </w:tc>
        <w:tc>
          <w:tcPr>
            <w:tcW w:type="dxa" w:w="6912"/>
            <w:shd w:val="clear" w:color="auto" w:fill="E7EEF3"/>
          </w:tcPr>
          <w:p>
            <w:pPr>
              <w:spacing w:before="20" w:after="20"/>
            </w:pPr>
            <w:r>
              <w:rPr>
                <w:rFonts w:ascii="Calibri" w:hAnsi="Calibri"/>
                <w:b w:val="0"/>
                <w:i w:val="0"/>
                <w:color w:val="222A30"/>
                <w:sz w:val="18"/>
              </w:rPr>
              <w:t>Availability/SLOs, service incidents.</w:t>
            </w:r>
          </w:p>
        </w:tc>
      </w:tr>
      <w:tr>
        <w:tc>
          <w:tcPr>
            <w:tcW w:type="dxa" w:w="2448"/>
          </w:tcPr>
          <w:p>
            <w:pPr>
              <w:spacing w:before="20" w:after="20"/>
            </w:pPr>
            <w:r>
              <w:rPr>
                <w:rFonts w:ascii="Calibri" w:hAnsi="Calibri"/>
                <w:b/>
                <w:i w:val="0"/>
                <w:color w:val="08243A"/>
                <w:sz w:val="18"/>
              </w:rPr>
              <w:t>03 AI risk</w:t>
            </w:r>
          </w:p>
        </w:tc>
        <w:tc>
          <w:tcPr>
            <w:tcW w:type="dxa" w:w="6912"/>
          </w:tcPr>
          <w:p>
            <w:pPr>
              <w:spacing w:before="20" w:after="20"/>
            </w:pPr>
            <w:r>
              <w:rPr>
                <w:rFonts w:ascii="Calibri" w:hAnsi="Calibri"/>
                <w:b w:val="0"/>
                <w:i w:val="0"/>
                <w:color w:val="222A30"/>
                <w:sz w:val="18"/>
              </w:rPr>
              <w:t>AI inventory, governed %, data-access exposure.</w:t>
            </w:r>
          </w:p>
        </w:tc>
      </w:tr>
      <w:tr>
        <w:tc>
          <w:tcPr>
            <w:tcW w:type="dxa" w:w="2448"/>
            <w:shd w:val="clear" w:color="auto" w:fill="E7EEF3"/>
          </w:tcPr>
          <w:p>
            <w:pPr>
              <w:spacing w:before="20" w:after="20"/>
            </w:pPr>
            <w:r>
              <w:rPr>
                <w:rFonts w:ascii="Calibri" w:hAnsi="Calibri"/>
                <w:b/>
                <w:i w:val="0"/>
                <w:color w:val="08243A"/>
                <w:sz w:val="18"/>
              </w:rPr>
              <w:t>04 Supply chain</w:t>
            </w:r>
          </w:p>
        </w:tc>
        <w:tc>
          <w:tcPr>
            <w:tcW w:type="dxa" w:w="6912"/>
            <w:shd w:val="clear" w:color="auto" w:fill="E7EEF3"/>
          </w:tcPr>
          <w:p>
            <w:pPr>
              <w:spacing w:before="20" w:after="20"/>
            </w:pPr>
            <w:r>
              <w:rPr>
                <w:rFonts w:ascii="Calibri" w:hAnsi="Calibri"/>
                <w:b w:val="0"/>
                <w:i w:val="0"/>
                <w:color w:val="222A30"/>
                <w:sz w:val="18"/>
              </w:rPr>
              <w:t>Dependency advisories, SBOM, build signing.</w:t>
            </w:r>
          </w:p>
        </w:tc>
      </w:tr>
      <w:tr>
        <w:tc>
          <w:tcPr>
            <w:tcW w:type="dxa" w:w="2448"/>
          </w:tcPr>
          <w:p>
            <w:pPr>
              <w:spacing w:before="20" w:after="20"/>
            </w:pPr>
            <w:r>
              <w:rPr>
                <w:rFonts w:ascii="Calibri" w:hAnsi="Calibri"/>
                <w:b/>
                <w:i w:val="0"/>
                <w:color w:val="08243A"/>
                <w:sz w:val="18"/>
              </w:rPr>
              <w:t>05 Decisions</w:t>
            </w:r>
          </w:p>
        </w:tc>
        <w:tc>
          <w:tcPr>
            <w:tcW w:type="dxa" w:w="6912"/>
          </w:tcPr>
          <w:p>
            <w:pPr>
              <w:spacing w:before="20" w:after="20"/>
            </w:pPr>
            <w:r>
              <w:rPr>
                <w:rFonts w:ascii="Calibri" w:hAnsi="Calibri"/>
                <w:b w:val="0"/>
                <w:i w:val="0"/>
                <w:color w:val="222A30"/>
                <w:sz w:val="18"/>
              </w:rPr>
              <w:t>Patch / fund — interactive.</w:t>
            </w:r>
          </w:p>
        </w:tc>
      </w:tr>
    </w:tbl>
    <w:p>
      <w:pPr>
        <w:spacing w:after="40"/>
      </w:pPr>
    </w:p>
    <w:p>
      <w:pPr>
        <w:spacing w:before="260" w:after="60"/>
        <w:outlineLvl w:val="1"/>
      </w:pPr>
      <w:r>
        <w:rPr>
          <w:rFonts w:ascii="Georgia" w:hAnsi="Georgia"/>
          <w:b/>
          <w:i w:val="0"/>
          <w:color w:val="2FA3D6"/>
          <w:sz w:val="28"/>
        </w:rPr>
        <w:t xml:space="preserve">6.6  </w:t>
      </w:r>
      <w:r>
        <w:rPr>
          <w:rFonts w:ascii="Georgia" w:hAnsi="Georgia"/>
          <w:b/>
          <w:i w:val="0"/>
          <w:color w:val="1A5FA0"/>
          <w:sz w:val="28"/>
        </w:rPr>
        <w:t>CPO — Product</w:t>
      </w:r>
    </w:p>
    <w:p>
      <w:pPr>
        <w:spacing w:before="0" w:after="120"/>
      </w:pPr>
      <w:r>
        <w:rPr>
          <w:rFonts w:ascii="Calibri" w:hAnsi="Calibri"/>
          <w:b w:val="0"/>
          <w:i/>
          <w:color w:val="5B6B76"/>
          <w:sz w:val="21"/>
        </w:rPr>
        <w:t>Does the product ship secure by design?</w:t>
      </w:r>
    </w:p>
    <w:p>
      <w:pPr>
        <w:spacing w:before="200" w:after="60"/>
      </w:pPr>
      <w:r>
        <w:rPr>
          <w:rFonts w:ascii="Calibri" w:hAnsi="Calibri"/>
          <w:b/>
          <w:i w:val="0"/>
          <w:caps/>
          <w:color w:val="2FA3D6"/>
          <w:sz w:val="17"/>
          <w:spacing w:val="18"/>
        </w:rPr>
        <w:t xml:space="preserve">TABS — </w:t>
      </w:r>
      <w:r>
        <w:rPr>
          <w:rFonts w:ascii="Calibri" w:hAnsi="Calibri"/>
          <w:b/>
          <w:i w:val="0"/>
          <w:caps/>
          <w:color w:val="5B6B76"/>
          <w:sz w:val="17"/>
          <w:spacing w:val="18"/>
        </w:rPr>
        <w:t>CPO — Product — tabs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Tab</w:t>
            </w:r>
          </w:p>
        </w:tc>
        <w:tc>
          <w:tcPr>
            <w:tcW w:type="dxa" w:w="6912"/>
            <w:shd w:val="clear" w:color="auto" w:fill="08243A"/>
          </w:tcPr>
          <w:p>
            <w:pPr>
              <w:spacing w:before="40" w:after="40"/>
            </w:pPr>
            <w:r>
              <w:rPr>
                <w:rFonts w:ascii="Calibri" w:hAnsi="Calibri"/>
                <w:b/>
                <w:i w:val="0"/>
                <w:color w:val="FFFFFF"/>
                <w:sz w:val="18"/>
              </w:rPr>
              <w:t>What it covers</w:t>
            </w:r>
          </w:p>
        </w:tc>
      </w:tr>
      <w:tr>
        <w:tc>
          <w:tcPr>
            <w:tcW w:type="dxa" w:w="2448"/>
          </w:tcPr>
          <w:p>
            <w:pPr>
              <w:spacing w:before="20" w:after="20"/>
            </w:pPr>
            <w:r>
              <w:rPr>
                <w:rFonts w:ascii="Calibri" w:hAnsi="Calibri"/>
                <w:b/>
                <w:i w:val="0"/>
                <w:color w:val="08243A"/>
                <w:sz w:val="18"/>
              </w:rPr>
              <w:t>01 Product security</w:t>
            </w:r>
          </w:p>
        </w:tc>
        <w:tc>
          <w:tcPr>
            <w:tcW w:type="dxa" w:w="6912"/>
          </w:tcPr>
          <w:p>
            <w:pPr>
              <w:spacing w:before="20" w:after="20"/>
            </w:pPr>
            <w:r>
              <w:rPr>
                <w:rFonts w:ascii="Calibri" w:hAnsi="Calibri"/>
                <w:b w:val="0"/>
                <w:i w:val="0"/>
                <w:color w:val="222A30"/>
                <w:sz w:val="18"/>
              </w:rPr>
              <w:t>Verdict across every dimension (incidents, SCA, SAST); secure-by-design coverage (evidenced ÷ 5 target practices); open product risks.</w:t>
            </w:r>
          </w:p>
        </w:tc>
      </w:tr>
      <w:tr>
        <w:tc>
          <w:tcPr>
            <w:tcW w:type="dxa" w:w="2448"/>
            <w:shd w:val="clear" w:color="auto" w:fill="E7EEF3"/>
          </w:tcPr>
          <w:p>
            <w:pPr>
              <w:spacing w:before="20" w:after="20"/>
            </w:pPr>
            <w:r>
              <w:rPr>
                <w:rFonts w:ascii="Calibri" w:hAnsi="Calibri"/>
                <w:b/>
                <w:i w:val="0"/>
                <w:color w:val="08243A"/>
                <w:sz w:val="18"/>
              </w:rPr>
              <w:t>02 Customer trust</w:t>
            </w:r>
          </w:p>
        </w:tc>
        <w:tc>
          <w:tcPr>
            <w:tcW w:type="dxa" w:w="6912"/>
            <w:shd w:val="clear" w:color="auto" w:fill="E7EEF3"/>
          </w:tcPr>
          <w:p>
            <w:pPr>
              <w:spacing w:before="20" w:after="20"/>
            </w:pPr>
            <w:r>
              <w:rPr>
                <w:rFonts w:ascii="Calibri" w:hAnsi="Calibri"/>
                <w:b w:val="0"/>
                <w:i w:val="0"/>
                <w:color w:val="222A30"/>
                <w:sz w:val="18"/>
              </w:rPr>
              <w:t>MFA/feature adoption, customer-data protection, trust signal.</w:t>
            </w:r>
          </w:p>
        </w:tc>
      </w:tr>
      <w:tr>
        <w:tc>
          <w:tcPr>
            <w:tcW w:type="dxa" w:w="2448"/>
          </w:tcPr>
          <w:p>
            <w:pPr>
              <w:spacing w:before="20" w:after="20"/>
            </w:pPr>
            <w:r>
              <w:rPr>
                <w:rFonts w:ascii="Calibri" w:hAnsi="Calibri"/>
                <w:b/>
                <w:i w:val="0"/>
                <w:color w:val="08243A"/>
                <w:sz w:val="18"/>
              </w:rPr>
              <w:t>03 Velocity</w:t>
            </w:r>
          </w:p>
        </w:tc>
        <w:tc>
          <w:tcPr>
            <w:tcW w:type="dxa" w:w="6912"/>
          </w:tcPr>
          <w:p>
            <w:pPr>
              <w:spacing w:before="20" w:after="20"/>
            </w:pPr>
            <w:r>
              <w:rPr>
                <w:rFonts w:ascii="Calibri" w:hAnsi="Calibri"/>
                <w:b w:val="0"/>
                <w:i w:val="0"/>
                <w:color w:val="222A30"/>
                <w:sz w:val="18"/>
              </w:rPr>
              <w:t>Security-gate pass rate, cycle time, recurring blocker.</w:t>
            </w:r>
          </w:p>
        </w:tc>
      </w:tr>
      <w:tr>
        <w:tc>
          <w:tcPr>
            <w:tcW w:type="dxa" w:w="2448"/>
            <w:shd w:val="clear" w:color="auto" w:fill="E7EEF3"/>
          </w:tcPr>
          <w:p>
            <w:pPr>
              <w:spacing w:before="20" w:after="20"/>
            </w:pPr>
            <w:r>
              <w:rPr>
                <w:rFonts w:ascii="Calibri" w:hAnsi="Calibri"/>
                <w:b/>
                <w:i w:val="0"/>
                <w:color w:val="08243A"/>
                <w:sz w:val="18"/>
              </w:rPr>
              <w:t>04 Backlog</w:t>
            </w:r>
          </w:p>
        </w:tc>
        <w:tc>
          <w:tcPr>
            <w:tcW w:type="dxa" w:w="6912"/>
            <w:shd w:val="clear" w:color="auto" w:fill="E7EEF3"/>
          </w:tcPr>
          <w:p>
            <w:pPr>
              <w:spacing w:before="20" w:after="20"/>
            </w:pPr>
            <w:r>
              <w:rPr>
                <w:rFonts w:ascii="Calibri" w:hAnsi="Calibri"/>
                <w:b w:val="0"/>
                <w:i w:val="0"/>
                <w:color w:val="222A30"/>
                <w:sz w:val="18"/>
              </w:rPr>
              <w:t>Product-security backlog.</w:t>
            </w:r>
          </w:p>
        </w:tc>
      </w:tr>
      <w:tr>
        <w:tc>
          <w:tcPr>
            <w:tcW w:type="dxa" w:w="2448"/>
          </w:tcPr>
          <w:p>
            <w:pPr>
              <w:spacing w:before="20" w:after="20"/>
            </w:pPr>
            <w:r>
              <w:rPr>
                <w:rFonts w:ascii="Calibri" w:hAnsi="Calibri"/>
                <w:b/>
                <w:i w:val="0"/>
                <w:color w:val="08243A"/>
                <w:sz w:val="18"/>
              </w:rPr>
              <w:t>05 Decisions</w:t>
            </w:r>
          </w:p>
        </w:tc>
        <w:tc>
          <w:tcPr>
            <w:tcW w:type="dxa" w:w="6912"/>
          </w:tcPr>
          <w:p>
            <w:pPr>
              <w:spacing w:before="20" w:after="20"/>
            </w:pPr>
            <w:r>
              <w:rPr>
                <w:rFonts w:ascii="Calibri" w:hAnsi="Calibri"/>
                <w:b w:val="0"/>
                <w:i w:val="0"/>
                <w:color w:val="222A30"/>
                <w:sz w:val="18"/>
              </w:rPr>
              <w:t>Product calls — interactive.</w:t>
            </w:r>
          </w:p>
        </w:tc>
      </w:tr>
    </w:tbl>
    <w:p>
      <w:pPr>
        <w:spacing w:after="40"/>
      </w:pPr>
    </w:p>
    <w:p>
      <w:pPr>
        <w:spacing w:before="260" w:after="60"/>
        <w:outlineLvl w:val="1"/>
      </w:pPr>
      <w:r>
        <w:rPr>
          <w:rFonts w:ascii="Georgia" w:hAnsi="Georgia"/>
          <w:b/>
          <w:i w:val="0"/>
          <w:color w:val="2FA3D6"/>
          <w:sz w:val="28"/>
        </w:rPr>
        <w:t xml:space="preserve">6.7  </w:t>
      </w:r>
      <w:r>
        <w:rPr>
          <w:rFonts w:ascii="Georgia" w:hAnsi="Georgia"/>
          <w:b/>
          <w:i w:val="0"/>
          <w:color w:val="1A5FA0"/>
          <w:sz w:val="28"/>
        </w:rPr>
        <w:t>CRO — Chief Risk</w:t>
      </w:r>
    </w:p>
    <w:p>
      <w:pPr>
        <w:spacing w:before="0" w:after="120"/>
      </w:pPr>
      <w:r>
        <w:rPr>
          <w:rFonts w:ascii="Calibri" w:hAnsi="Calibri"/>
          <w:b w:val="0"/>
          <w:i/>
          <w:color w:val="5B6B76"/>
          <w:sz w:val="21"/>
        </w:rPr>
        <w:t>How cyber sits beside the other principal risks.</w:t>
      </w:r>
    </w:p>
    <w:p>
      <w:pPr>
        <w:spacing w:before="200" w:after="60"/>
      </w:pPr>
      <w:r>
        <w:rPr>
          <w:rFonts w:ascii="Calibri" w:hAnsi="Calibri"/>
          <w:b/>
          <w:i w:val="0"/>
          <w:caps/>
          <w:color w:val="2FA3D6"/>
          <w:sz w:val="17"/>
          <w:spacing w:val="18"/>
        </w:rPr>
        <w:t xml:space="preserve">TABS — </w:t>
      </w:r>
      <w:r>
        <w:rPr>
          <w:rFonts w:ascii="Calibri" w:hAnsi="Calibri"/>
          <w:b/>
          <w:i w:val="0"/>
          <w:caps/>
          <w:color w:val="5B6B76"/>
          <w:sz w:val="17"/>
          <w:spacing w:val="18"/>
        </w:rPr>
        <w:t>CRO — Chief Risk — tabs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Tab</w:t>
            </w:r>
          </w:p>
        </w:tc>
        <w:tc>
          <w:tcPr>
            <w:tcW w:type="dxa" w:w="6912"/>
            <w:shd w:val="clear" w:color="auto" w:fill="08243A"/>
          </w:tcPr>
          <w:p>
            <w:pPr>
              <w:spacing w:before="40" w:after="40"/>
            </w:pPr>
            <w:r>
              <w:rPr>
                <w:rFonts w:ascii="Calibri" w:hAnsi="Calibri"/>
                <w:b/>
                <w:i w:val="0"/>
                <w:color w:val="FFFFFF"/>
                <w:sz w:val="18"/>
              </w:rPr>
              <w:t>What it covers</w:t>
            </w:r>
          </w:p>
        </w:tc>
      </w:tr>
      <w:tr>
        <w:tc>
          <w:tcPr>
            <w:tcW w:type="dxa" w:w="2448"/>
          </w:tcPr>
          <w:p>
            <w:pPr>
              <w:spacing w:before="20" w:after="20"/>
            </w:pPr>
            <w:r>
              <w:rPr>
                <w:rFonts w:ascii="Calibri" w:hAnsi="Calibri"/>
                <w:b/>
                <w:i w:val="0"/>
                <w:color w:val="08243A"/>
                <w:sz w:val="18"/>
              </w:rPr>
              <w:t>01 One scale</w:t>
            </w:r>
          </w:p>
        </w:tc>
        <w:tc>
          <w:tcPr>
            <w:tcW w:type="dxa" w:w="6912"/>
          </w:tcPr>
          <w:p>
            <w:pPr>
              <w:spacing w:before="20" w:after="20"/>
            </w:pPr>
            <w:r>
              <w:rPr>
                <w:rFonts w:ascii="Calibri" w:hAnsi="Calibri"/>
                <w:b w:val="0"/>
                <w:i w:val="0"/>
                <w:color w:val="222A30"/>
                <w:sz w:val="18"/>
              </w:rPr>
              <w:t>Cyber ranked on one residual scale beside credit/market, operational, third-party, compliance.</w:t>
            </w:r>
          </w:p>
        </w:tc>
      </w:tr>
      <w:tr>
        <w:tc>
          <w:tcPr>
            <w:tcW w:type="dxa" w:w="2448"/>
            <w:shd w:val="clear" w:color="auto" w:fill="E7EEF3"/>
          </w:tcPr>
          <w:p>
            <w:pPr>
              <w:spacing w:before="20" w:after="20"/>
            </w:pPr>
            <w:r>
              <w:rPr>
                <w:rFonts w:ascii="Calibri" w:hAnsi="Calibri"/>
                <w:b/>
                <w:i w:val="0"/>
                <w:color w:val="08243A"/>
                <w:sz w:val="18"/>
              </w:rPr>
              <w:t>02 Appetite</w:t>
            </w:r>
          </w:p>
        </w:tc>
        <w:tc>
          <w:tcPr>
            <w:tcW w:type="dxa" w:w="6912"/>
            <w:shd w:val="clear" w:color="auto" w:fill="E7EEF3"/>
          </w:tcPr>
          <w:p>
            <w:pPr>
              <w:spacing w:before="20" w:after="20"/>
            </w:pPr>
            <w:r>
              <w:rPr>
                <w:rFonts w:ascii="Calibri" w:hAnsi="Calibri"/>
                <w:b w:val="0"/>
                <w:i w:val="0"/>
                <w:color w:val="222A30"/>
                <w:sz w:val="18"/>
              </w:rPr>
              <w:t>Residual vs limit by category.</w:t>
            </w:r>
          </w:p>
        </w:tc>
      </w:tr>
      <w:tr>
        <w:tc>
          <w:tcPr>
            <w:tcW w:type="dxa" w:w="2448"/>
          </w:tcPr>
          <w:p>
            <w:pPr>
              <w:spacing w:before="20" w:after="20"/>
            </w:pPr>
            <w:r>
              <w:rPr>
                <w:rFonts w:ascii="Calibri" w:hAnsi="Calibri"/>
                <w:b/>
                <w:i w:val="0"/>
                <w:color w:val="08243A"/>
                <w:sz w:val="18"/>
              </w:rPr>
              <w:t>03 Assurance</w:t>
            </w:r>
          </w:p>
        </w:tc>
        <w:tc>
          <w:tcPr>
            <w:tcW w:type="dxa" w:w="6912"/>
          </w:tcPr>
          <w:p>
            <w:pPr>
              <w:spacing w:before="20" w:after="20"/>
            </w:pPr>
            <w:r>
              <w:rPr>
                <w:rFonts w:ascii="Calibri" w:hAnsi="Calibri"/>
                <w:b w:val="0"/>
                <w:i w:val="0"/>
                <w:color w:val="222A30"/>
                <w:sz w:val="18"/>
              </w:rPr>
              <w:t>Control families assured by evidence (X of N).</w:t>
            </w:r>
          </w:p>
        </w:tc>
      </w:tr>
      <w:tr>
        <w:tc>
          <w:tcPr>
            <w:tcW w:type="dxa" w:w="2448"/>
            <w:shd w:val="clear" w:color="auto" w:fill="E7EEF3"/>
          </w:tcPr>
          <w:p>
            <w:pPr>
              <w:spacing w:before="20" w:after="20"/>
            </w:pPr>
            <w:r>
              <w:rPr>
                <w:rFonts w:ascii="Calibri" w:hAnsi="Calibri"/>
                <w:b/>
                <w:i w:val="0"/>
                <w:color w:val="08243A"/>
                <w:sz w:val="18"/>
              </w:rPr>
              <w:t>04 Trend &amp; ownership</w:t>
            </w:r>
          </w:p>
        </w:tc>
        <w:tc>
          <w:tcPr>
            <w:tcW w:type="dxa" w:w="6912"/>
            <w:shd w:val="clear" w:color="auto" w:fill="E7EEF3"/>
          </w:tcPr>
          <w:p>
            <w:pPr>
              <w:spacing w:before="20" w:after="20"/>
            </w:pPr>
            <w:r>
              <w:rPr>
                <w:rFonts w:ascii="Calibri" w:hAnsi="Calibri"/>
                <w:b w:val="0"/>
                <w:i w:val="0"/>
                <w:color w:val="222A30"/>
                <w:sz w:val="18"/>
              </w:rPr>
              <w:t>Residual trend and named owners.</w:t>
            </w:r>
          </w:p>
        </w:tc>
      </w:tr>
      <w:tr>
        <w:tc>
          <w:tcPr>
            <w:tcW w:type="dxa" w:w="2448"/>
          </w:tcPr>
          <w:p>
            <w:pPr>
              <w:spacing w:before="20" w:after="20"/>
            </w:pPr>
            <w:r>
              <w:rPr>
                <w:rFonts w:ascii="Calibri" w:hAnsi="Calibri"/>
                <w:b/>
                <w:i w:val="0"/>
                <w:color w:val="08243A"/>
                <w:sz w:val="18"/>
              </w:rPr>
              <w:t>05 Decisions</w:t>
            </w:r>
          </w:p>
        </w:tc>
        <w:tc>
          <w:tcPr>
            <w:tcW w:type="dxa" w:w="6912"/>
          </w:tcPr>
          <w:p>
            <w:pPr>
              <w:spacing w:before="20" w:after="20"/>
            </w:pPr>
            <w:r>
              <w:rPr>
                <w:rFonts w:ascii="Calibri" w:hAnsi="Calibri"/>
                <w:b w:val="0"/>
                <w:i w:val="0"/>
                <w:color w:val="222A30"/>
                <w:sz w:val="18"/>
              </w:rPr>
              <w:t>Treat / monitor / accept — interactive.</w:t>
            </w:r>
          </w:p>
        </w:tc>
      </w:tr>
    </w:tbl>
    <w:p>
      <w:pPr>
        <w:spacing w:after="40"/>
      </w:pPr>
    </w:p>
    <w:p>
      <w:pPr>
        <w:spacing w:before="260" w:after="60"/>
        <w:outlineLvl w:val="1"/>
      </w:pPr>
      <w:r>
        <w:rPr>
          <w:rFonts w:ascii="Georgia" w:hAnsi="Georgia"/>
          <w:b/>
          <w:i w:val="0"/>
          <w:color w:val="2FA3D6"/>
          <w:sz w:val="28"/>
        </w:rPr>
        <w:t xml:space="preserve">6.8  </w:t>
      </w:r>
      <w:r>
        <w:rPr>
          <w:rFonts w:ascii="Georgia" w:hAnsi="Georgia"/>
          <w:b/>
          <w:i w:val="0"/>
          <w:color w:val="1A5FA0"/>
          <w:sz w:val="28"/>
        </w:rPr>
        <w:t>CLO — General Counsel</w:t>
      </w:r>
    </w:p>
    <w:p>
      <w:pPr>
        <w:spacing w:before="0" w:after="120"/>
      </w:pPr>
      <w:r>
        <w:rPr>
          <w:rFonts w:ascii="Calibri" w:hAnsi="Calibri"/>
          <w:b w:val="0"/>
          <w:i/>
          <w:color w:val="5B6B76"/>
          <w:sz w:val="21"/>
        </w:rPr>
        <w:t>Obligations surfaced, never a legal conclusion. Not legal advice.</w:t>
      </w:r>
    </w:p>
    <w:p>
      <w:pPr>
        <w:spacing w:before="200" w:after="60"/>
      </w:pPr>
      <w:r>
        <w:rPr>
          <w:rFonts w:ascii="Calibri" w:hAnsi="Calibri"/>
          <w:b/>
          <w:i w:val="0"/>
          <w:caps/>
          <w:color w:val="2FA3D6"/>
          <w:sz w:val="17"/>
          <w:spacing w:val="18"/>
        </w:rPr>
        <w:t xml:space="preserve">TABS — </w:t>
      </w:r>
      <w:r>
        <w:rPr>
          <w:rFonts w:ascii="Calibri" w:hAnsi="Calibri"/>
          <w:b/>
          <w:i w:val="0"/>
          <w:caps/>
          <w:color w:val="5B6B76"/>
          <w:sz w:val="17"/>
          <w:spacing w:val="18"/>
        </w:rPr>
        <w:t>CLO — General Counsel — tabs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Tab</w:t>
            </w:r>
          </w:p>
        </w:tc>
        <w:tc>
          <w:tcPr>
            <w:tcW w:type="dxa" w:w="6912"/>
            <w:shd w:val="clear" w:color="auto" w:fill="08243A"/>
          </w:tcPr>
          <w:p>
            <w:pPr>
              <w:spacing w:before="40" w:after="40"/>
            </w:pPr>
            <w:r>
              <w:rPr>
                <w:rFonts w:ascii="Calibri" w:hAnsi="Calibri"/>
                <w:b/>
                <w:i w:val="0"/>
                <w:color w:val="FFFFFF"/>
                <w:sz w:val="18"/>
              </w:rPr>
              <w:t>What it covers</w:t>
            </w:r>
          </w:p>
        </w:tc>
      </w:tr>
      <w:tr>
        <w:tc>
          <w:tcPr>
            <w:tcW w:type="dxa" w:w="2448"/>
          </w:tcPr>
          <w:p>
            <w:pPr>
              <w:spacing w:before="20" w:after="20"/>
            </w:pPr>
            <w:r>
              <w:rPr>
                <w:rFonts w:ascii="Calibri" w:hAnsi="Calibri"/>
                <w:b/>
                <w:i w:val="0"/>
                <w:color w:val="08243A"/>
                <w:sz w:val="18"/>
              </w:rPr>
              <w:t>01 Regulatory</w:t>
            </w:r>
          </w:p>
        </w:tc>
        <w:tc>
          <w:tcPr>
            <w:tcW w:type="dxa" w:w="6912"/>
          </w:tcPr>
          <w:p>
            <w:pPr>
              <w:spacing w:before="20" w:after="20"/>
            </w:pPr>
            <w:r>
              <w:rPr>
                <w:rFonts w:ascii="Calibri" w:hAnsi="Calibri"/>
                <w:b w:val="0"/>
                <w:i w:val="0"/>
                <w:color w:val="222A30"/>
                <w:sz w:val="18"/>
              </w:rPr>
              <w:t>Obligations by jurisdiction with clocks and penalties; the tightest binding clock.</w:t>
            </w:r>
          </w:p>
        </w:tc>
      </w:tr>
      <w:tr>
        <w:tc>
          <w:tcPr>
            <w:tcW w:type="dxa" w:w="2448"/>
            <w:shd w:val="clear" w:color="auto" w:fill="E7EEF3"/>
          </w:tcPr>
          <w:p>
            <w:pPr>
              <w:spacing w:before="20" w:after="20"/>
            </w:pPr>
            <w:r>
              <w:rPr>
                <w:rFonts w:ascii="Calibri" w:hAnsi="Calibri"/>
                <w:b/>
                <w:i w:val="0"/>
                <w:color w:val="08243A"/>
                <w:sz w:val="18"/>
              </w:rPr>
              <w:t>02 Notification</w:t>
            </w:r>
          </w:p>
        </w:tc>
        <w:tc>
          <w:tcPr>
            <w:tcW w:type="dxa" w:w="6912"/>
            <w:shd w:val="clear" w:color="auto" w:fill="E7EEF3"/>
          </w:tcPr>
          <w:p>
            <w:pPr>
              <w:spacing w:before="20" w:after="20"/>
            </w:pPr>
            <w:r>
              <w:rPr>
                <w:rFonts w:ascii="Calibri" w:hAnsi="Calibri"/>
                <w:b w:val="0"/>
                <w:i w:val="0"/>
                <w:color w:val="222A30"/>
                <w:sz w:val="18"/>
              </w:rPr>
              <w:t>Breach-notification readiness; the forensic gap.</w:t>
            </w:r>
          </w:p>
        </w:tc>
      </w:tr>
      <w:tr>
        <w:tc>
          <w:tcPr>
            <w:tcW w:type="dxa" w:w="2448"/>
          </w:tcPr>
          <w:p>
            <w:pPr>
              <w:spacing w:before="20" w:after="20"/>
            </w:pPr>
            <w:r>
              <w:rPr>
                <w:rFonts w:ascii="Calibri" w:hAnsi="Calibri"/>
                <w:b/>
                <w:i w:val="0"/>
                <w:color w:val="08243A"/>
                <w:sz w:val="18"/>
              </w:rPr>
              <w:t>03 Contracts</w:t>
            </w:r>
          </w:p>
        </w:tc>
        <w:tc>
          <w:tcPr>
            <w:tcW w:type="dxa" w:w="6912"/>
          </w:tcPr>
          <w:p>
            <w:pPr>
              <w:spacing w:before="20" w:after="20"/>
            </w:pPr>
            <w:r>
              <w:rPr>
                <w:rFonts w:ascii="Calibri" w:hAnsi="Calibri"/>
                <w:b w:val="0"/>
                <w:i w:val="0"/>
                <w:color w:val="222A30"/>
                <w:sz w:val="18"/>
              </w:rPr>
              <w:t>Cyber warranties, platform-tied contracts, legal holds.</w:t>
            </w:r>
          </w:p>
        </w:tc>
      </w:tr>
      <w:tr>
        <w:tc>
          <w:tcPr>
            <w:tcW w:type="dxa" w:w="2448"/>
            <w:shd w:val="clear" w:color="auto" w:fill="E7EEF3"/>
          </w:tcPr>
          <w:p>
            <w:pPr>
              <w:spacing w:before="20" w:after="20"/>
            </w:pPr>
            <w:r>
              <w:rPr>
                <w:rFonts w:ascii="Calibri" w:hAnsi="Calibri"/>
                <w:b/>
                <w:i w:val="0"/>
                <w:color w:val="08243A"/>
                <w:sz w:val="18"/>
              </w:rPr>
              <w:t>04 Privacy</w:t>
            </w:r>
          </w:p>
        </w:tc>
        <w:tc>
          <w:tcPr>
            <w:tcW w:type="dxa" w:w="6912"/>
            <w:shd w:val="clear" w:color="auto" w:fill="E7EEF3"/>
          </w:tcPr>
          <w:p>
            <w:pPr>
              <w:spacing w:before="20" w:after="20"/>
            </w:pPr>
            <w:r>
              <w:rPr>
                <w:rFonts w:ascii="Calibri" w:hAnsi="Calibri"/>
                <w:b w:val="0"/>
                <w:i w:val="0"/>
                <w:color w:val="222A30"/>
                <w:sz w:val="18"/>
              </w:rPr>
              <w:t>DSARs within SLA, records of processing, access hygiene.</w:t>
            </w:r>
          </w:p>
        </w:tc>
      </w:tr>
      <w:tr>
        <w:tc>
          <w:tcPr>
            <w:tcW w:type="dxa" w:w="2448"/>
          </w:tcPr>
          <w:p>
            <w:pPr>
              <w:spacing w:before="20" w:after="20"/>
            </w:pPr>
            <w:r>
              <w:rPr>
                <w:rFonts w:ascii="Calibri" w:hAnsi="Calibri"/>
                <w:b/>
                <w:i w:val="0"/>
                <w:color w:val="08243A"/>
                <w:sz w:val="18"/>
              </w:rPr>
              <w:t>05 Decisions</w:t>
            </w:r>
          </w:p>
        </w:tc>
        <w:tc>
          <w:tcPr>
            <w:tcW w:type="dxa" w:w="6912"/>
          </w:tcPr>
          <w:p>
            <w:pPr>
              <w:spacing w:before="20" w:after="20"/>
            </w:pPr>
            <w:r>
              <w:rPr>
                <w:rFonts w:ascii="Calibri" w:hAnsi="Calibri"/>
                <w:b w:val="0"/>
                <w:i w:val="0"/>
                <w:color w:val="222A30"/>
                <w:sz w:val="18"/>
              </w:rPr>
              <w:t>One action reducing three legal exposures — interactive.</w:t>
            </w:r>
          </w:p>
        </w:tc>
      </w:tr>
    </w:tbl>
    <w:p>
      <w:pPr>
        <w:spacing w:after="40"/>
      </w:pPr>
    </w:p>
    <w:p>
      <w:pPr>
        <w:spacing w:before="260" w:after="60"/>
        <w:outlineLvl w:val="1"/>
      </w:pPr>
      <w:r>
        <w:rPr>
          <w:rFonts w:ascii="Georgia" w:hAnsi="Georgia"/>
          <w:b/>
          <w:i w:val="0"/>
          <w:color w:val="2FA3D6"/>
          <w:sz w:val="28"/>
        </w:rPr>
        <w:t xml:space="preserve">6.9  </w:t>
      </w:r>
      <w:r>
        <w:rPr>
          <w:rFonts w:ascii="Georgia" w:hAnsi="Georgia"/>
          <w:b/>
          <w:i w:val="0"/>
          <w:color w:val="1A5FA0"/>
          <w:sz w:val="28"/>
        </w:rPr>
        <w:t>Internal Audit — Chief Audit Executive</w:t>
      </w:r>
    </w:p>
    <w:p>
      <w:pPr>
        <w:spacing w:before="0" w:after="120"/>
      </w:pPr>
      <w:r>
        <w:rPr>
          <w:rFonts w:ascii="Calibri" w:hAnsi="Calibri"/>
          <w:b w:val="0"/>
          <w:i/>
          <w:color w:val="5B6B76"/>
          <w:sz w:val="21"/>
        </w:rPr>
        <w:t>Evidence-based control assurance, not self-attested.</w:t>
      </w:r>
    </w:p>
    <w:p>
      <w:pPr>
        <w:spacing w:before="200" w:after="60"/>
      </w:pPr>
      <w:r>
        <w:rPr>
          <w:rFonts w:ascii="Calibri" w:hAnsi="Calibri"/>
          <w:b/>
          <w:i w:val="0"/>
          <w:caps/>
          <w:color w:val="2FA3D6"/>
          <w:sz w:val="17"/>
          <w:spacing w:val="18"/>
        </w:rPr>
        <w:t xml:space="preserve">TABS — </w:t>
      </w:r>
      <w:r>
        <w:rPr>
          <w:rFonts w:ascii="Calibri" w:hAnsi="Calibri"/>
          <w:b/>
          <w:i w:val="0"/>
          <w:caps/>
          <w:color w:val="5B6B76"/>
          <w:sz w:val="17"/>
          <w:spacing w:val="18"/>
        </w:rPr>
        <w:t>Internal Audit — Chief Audit Executive — tabs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Tab</w:t>
            </w:r>
          </w:p>
        </w:tc>
        <w:tc>
          <w:tcPr>
            <w:tcW w:type="dxa" w:w="6912"/>
            <w:shd w:val="clear" w:color="auto" w:fill="08243A"/>
          </w:tcPr>
          <w:p>
            <w:pPr>
              <w:spacing w:before="40" w:after="40"/>
            </w:pPr>
            <w:r>
              <w:rPr>
                <w:rFonts w:ascii="Calibri" w:hAnsi="Calibri"/>
                <w:b/>
                <w:i w:val="0"/>
                <w:color w:val="FFFFFF"/>
                <w:sz w:val="18"/>
              </w:rPr>
              <w:t>What it covers</w:t>
            </w:r>
          </w:p>
        </w:tc>
      </w:tr>
      <w:tr>
        <w:tc>
          <w:tcPr>
            <w:tcW w:type="dxa" w:w="2448"/>
          </w:tcPr>
          <w:p>
            <w:pPr>
              <w:spacing w:before="20" w:after="20"/>
            </w:pPr>
            <w:r>
              <w:rPr>
                <w:rFonts w:ascii="Calibri" w:hAnsi="Calibri"/>
                <w:b/>
                <w:i w:val="0"/>
                <w:color w:val="08243A"/>
                <w:sz w:val="18"/>
              </w:rPr>
              <w:t>Coverage / Testing / Findings / Evidence / Attention</w:t>
            </w:r>
          </w:p>
        </w:tc>
        <w:tc>
          <w:tcPr>
            <w:tcW w:type="dxa" w:w="6912"/>
          </w:tcPr>
          <w:p>
            <w:pPr>
              <w:spacing w:before="20" w:after="20"/>
            </w:pPr>
            <w:r>
              <w:rPr>
                <w:rFonts w:ascii="Calibri" w:hAnsi="Calibri"/>
                <w:b w:val="0"/>
                <w:i w:val="0"/>
                <w:color w:val="222A30"/>
                <w:sz w:val="18"/>
              </w:rPr>
              <w:t>Audit plan, workpapers and assurance mapped to GRC, with repeat-finding and coverage views.</w:t>
            </w:r>
          </w:p>
        </w:tc>
      </w:tr>
    </w:tbl>
    <w:p>
      <w:pPr>
        <w:spacing w:after="40"/>
      </w:pPr>
    </w:p>
    <w:p>
      <w:pPr>
        <w:spacing w:before="260" w:after="60"/>
        <w:outlineLvl w:val="1"/>
      </w:pPr>
      <w:r>
        <w:rPr>
          <w:rFonts w:ascii="Georgia" w:hAnsi="Georgia"/>
          <w:b/>
          <w:i w:val="0"/>
          <w:color w:val="2FA3D6"/>
          <w:sz w:val="28"/>
        </w:rPr>
        <w:t xml:space="preserve">6.10  </w:t>
      </w:r>
      <w:r>
        <w:rPr>
          <w:rFonts w:ascii="Georgia" w:hAnsi="Georgia"/>
          <w:b/>
          <w:i w:val="0"/>
          <w:color w:val="1A5FA0"/>
          <w:sz w:val="28"/>
        </w:rPr>
        <w:t>Board — Directors</w:t>
      </w:r>
    </w:p>
    <w:p>
      <w:pPr>
        <w:spacing w:before="0" w:after="120"/>
      </w:pPr>
      <w:r>
        <w:rPr>
          <w:rFonts w:ascii="Calibri" w:hAnsi="Calibri"/>
          <w:b w:val="0"/>
          <w:i/>
          <w:color w:val="5B6B76"/>
          <w:sz w:val="21"/>
        </w:rPr>
        <w:t>Oversight, disclosure readiness, and peer comparison.</w:t>
      </w:r>
    </w:p>
    <w:p>
      <w:pPr>
        <w:spacing w:before="200" w:after="60"/>
      </w:pPr>
      <w:r>
        <w:rPr>
          <w:rFonts w:ascii="Calibri" w:hAnsi="Calibri"/>
          <w:b/>
          <w:i w:val="0"/>
          <w:caps/>
          <w:color w:val="2FA3D6"/>
          <w:sz w:val="17"/>
          <w:spacing w:val="18"/>
        </w:rPr>
        <w:t xml:space="preserve">TABS — </w:t>
      </w:r>
      <w:r>
        <w:rPr>
          <w:rFonts w:ascii="Calibri" w:hAnsi="Calibri"/>
          <w:b/>
          <w:i w:val="0"/>
          <w:caps/>
          <w:color w:val="5B6B76"/>
          <w:sz w:val="17"/>
          <w:spacing w:val="18"/>
        </w:rPr>
        <w:t>Board — Directors — tabs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Tab</w:t>
            </w:r>
          </w:p>
        </w:tc>
        <w:tc>
          <w:tcPr>
            <w:tcW w:type="dxa" w:w="6912"/>
            <w:shd w:val="clear" w:color="auto" w:fill="08243A"/>
          </w:tcPr>
          <w:p>
            <w:pPr>
              <w:spacing w:before="40" w:after="40"/>
            </w:pPr>
            <w:r>
              <w:rPr>
                <w:rFonts w:ascii="Calibri" w:hAnsi="Calibri"/>
                <w:b/>
                <w:i w:val="0"/>
                <w:color w:val="FFFFFF"/>
                <w:sz w:val="18"/>
              </w:rPr>
              <w:t>What it covers</w:t>
            </w:r>
          </w:p>
        </w:tc>
      </w:tr>
      <w:tr>
        <w:tc>
          <w:tcPr>
            <w:tcW w:type="dxa" w:w="2448"/>
          </w:tcPr>
          <w:p>
            <w:pPr>
              <w:spacing w:before="20" w:after="20"/>
            </w:pPr>
            <w:r>
              <w:rPr>
                <w:rFonts w:ascii="Calibri" w:hAnsi="Calibri"/>
                <w:b/>
                <w:i w:val="0"/>
                <w:color w:val="08243A"/>
                <w:sz w:val="18"/>
              </w:rPr>
              <w:t>Health / Material / Trend / Investment / Governance</w:t>
            </w:r>
          </w:p>
        </w:tc>
        <w:tc>
          <w:tcPr>
            <w:tcW w:type="dxa" w:w="6912"/>
          </w:tcPr>
          <w:p>
            <w:pPr>
              <w:spacing w:before="20" w:after="20"/>
            </w:pPr>
            <w:r>
              <w:rPr>
                <w:rFonts w:ascii="Calibri" w:hAnsi="Calibri"/>
                <w:b w:val="0"/>
                <w:i w:val="0"/>
                <w:color w:val="222A30"/>
                <w:sz w:val="18"/>
              </w:rPr>
              <w:t>Board-level cyber health, materiality (Item 106), residual trend, program ROI, oversight — printable Board Pack.</w:t>
            </w:r>
          </w:p>
        </w:tc>
      </w:tr>
    </w:tbl>
    <w:p>
      <w:pPr>
        <w:spacing w:after="40"/>
      </w:pPr>
    </w:p>
    <w:p>
      <w:r>
        <w:br w:type="page"/>
      </w:r>
    </w:p>
    <w:p>
      <w:pPr>
        <w:spacing w:after="0"/>
      </w:pPr>
      <w:r>
        <w:rPr>
          <w:rFonts w:ascii="Calibri" w:hAnsi="Calibri"/>
          <w:b/>
          <w:i w:val="0"/>
          <w:caps/>
          <w:color w:val="2FA3D6"/>
          <w:sz w:val="18"/>
          <w:spacing w:val="40"/>
        </w:rPr>
        <w:t>CHAPTER 07</w:t>
      </w:r>
    </w:p>
    <w:p>
      <w:pPr>
        <w:spacing w:after="200"/>
        <w:pBdr>
          <w:bottom w:val="single" w:sz="12" w:space="6" w:color="08243A"/>
        </w:pBdr>
        <w:outlineLvl w:val="0"/>
      </w:pPr>
      <w:r>
        <w:rPr>
          <w:rFonts w:ascii="Georgia" w:hAnsi="Georgia"/>
          <w:b/>
          <w:i w:val="0"/>
          <w:color w:val="08243A"/>
          <w:sz w:val="44"/>
        </w:rPr>
        <w:t>Connectors &amp; Signals</w:t>
      </w:r>
    </w:p>
    <w:p>
      <w:pPr>
        <w:spacing w:before="0" w:after="120"/>
      </w:pPr>
      <w:r>
        <w:rPr>
          <w:rFonts w:ascii="Calibri" w:hAnsi="Calibri"/>
          <w:b w:val="0"/>
          <w:i w:val="0"/>
          <w:color w:val="222A30"/>
          <w:sz w:val="21"/>
        </w:rPr>
        <w:t>Connecting a tool streams live signals that replace modeled placeholders. Nerion scores ten security capabilities; a broader set of signals drives the executive panels.</w:t>
      </w:r>
    </w:p>
    <w:p>
      <w:pPr>
        <w:spacing w:before="260" w:after="60"/>
        <w:outlineLvl w:val="1"/>
      </w:pPr>
      <w:r>
        <w:rPr>
          <w:rFonts w:ascii="Georgia" w:hAnsi="Georgia"/>
          <w:b/>
          <w:i w:val="0"/>
          <w:color w:val="2FA3D6"/>
          <w:sz w:val="28"/>
        </w:rPr>
        <w:t xml:space="preserve">7.1  </w:t>
      </w:r>
      <w:r>
        <w:rPr>
          <w:rFonts w:ascii="Georgia" w:hAnsi="Georgia"/>
          <w:b/>
          <w:i w:val="0"/>
          <w:color w:val="1A5FA0"/>
          <w:sz w:val="28"/>
        </w:rPr>
        <w:t>The ten scored capabilities</w:t>
      </w:r>
    </w:p>
    <w:p>
      <w:pPr>
        <w:spacing w:before="200" w:after="60"/>
      </w:pPr>
      <w:r>
        <w:rPr>
          <w:rFonts w:ascii="Calibri" w:hAnsi="Calibri"/>
          <w:b/>
          <w:i w:val="0"/>
          <w:caps/>
          <w:color w:val="2FA3D6"/>
          <w:sz w:val="17"/>
          <w:spacing w:val="18"/>
        </w:rPr>
        <w:t xml:space="preserve">EXHIBIT — </w:t>
      </w:r>
      <w:r>
        <w:rPr>
          <w:rFonts w:ascii="Calibri" w:hAnsi="Calibri"/>
          <w:b/>
          <w:i w:val="0"/>
          <w:caps/>
          <w:color w:val="5B6B76"/>
          <w:sz w:val="17"/>
          <w:spacing w:val="18"/>
        </w:rPr>
        <w:t>Capability → vendor tools → signal → what it drives</w:t>
      </w:r>
    </w:p>
    <w:tbl>
      <w:tblPr>
        <w:tblW w:type="auto" w:w="0"/>
        <w:jc w:val="center"/>
        <w:tblLook w:firstColumn="1" w:firstRow="1" w:lastColumn="0" w:lastRow="0" w:noHBand="0" w:noVBand="1" w:val="04A0"/>
      </w:tblPr>
      <w:tblGrid>
        <w:gridCol w:w="2340"/>
        <w:gridCol w:w="2340"/>
        <w:gridCol w:w="2340"/>
        <w:gridCol w:w="2340"/>
      </w:tblGrid>
      <w:tr>
        <w:tc>
          <w:tcPr>
            <w:tcW w:type="dxa" w:w="2880"/>
            <w:shd w:val="clear" w:color="auto" w:fill="08243A"/>
          </w:tcPr>
          <w:p>
            <w:pPr>
              <w:spacing w:before="40" w:after="40"/>
            </w:pPr>
            <w:r>
              <w:rPr>
                <w:rFonts w:ascii="Calibri" w:hAnsi="Calibri"/>
                <w:b/>
                <w:i w:val="0"/>
                <w:color w:val="FFFFFF"/>
                <w:sz w:val="18"/>
              </w:rPr>
              <w:t>Capability</w:t>
            </w:r>
          </w:p>
        </w:tc>
        <w:tc>
          <w:tcPr>
            <w:tcW w:type="dxa" w:w="2448"/>
            <w:shd w:val="clear" w:color="auto" w:fill="08243A"/>
          </w:tcPr>
          <w:p>
            <w:pPr>
              <w:spacing w:before="40" w:after="40"/>
            </w:pPr>
            <w:r>
              <w:rPr>
                <w:rFonts w:ascii="Calibri" w:hAnsi="Calibri"/>
                <w:b/>
                <w:i w:val="0"/>
                <w:color w:val="FFFFFF"/>
                <w:sz w:val="18"/>
              </w:rPr>
              <w:t>Example tools</w:t>
            </w:r>
          </w:p>
        </w:tc>
        <w:tc>
          <w:tcPr>
            <w:tcW w:type="dxa" w:w="2016"/>
            <w:shd w:val="clear" w:color="auto" w:fill="08243A"/>
          </w:tcPr>
          <w:p>
            <w:pPr>
              <w:spacing w:before="40" w:after="40"/>
            </w:pPr>
            <w:r>
              <w:rPr>
                <w:rFonts w:ascii="Calibri" w:hAnsi="Calibri"/>
                <w:b/>
                <w:i w:val="0"/>
                <w:color w:val="FFFFFF"/>
                <w:sz w:val="18"/>
              </w:rPr>
              <w:t>Signal</w:t>
            </w:r>
          </w:p>
        </w:tc>
        <w:tc>
          <w:tcPr>
            <w:tcW w:type="dxa" w:w="2016"/>
            <w:shd w:val="clear" w:color="auto" w:fill="08243A"/>
          </w:tcPr>
          <w:p>
            <w:pPr>
              <w:spacing w:before="40" w:after="40"/>
            </w:pPr>
            <w:r>
              <w:rPr>
                <w:rFonts w:ascii="Calibri" w:hAnsi="Calibri"/>
                <w:b/>
                <w:i w:val="0"/>
                <w:color w:val="FFFFFF"/>
                <w:sz w:val="18"/>
              </w:rPr>
              <w:t>Drives</w:t>
            </w:r>
          </w:p>
        </w:tc>
      </w:tr>
      <w:tr>
        <w:tc>
          <w:tcPr>
            <w:tcW w:type="dxa" w:w="2880"/>
          </w:tcPr>
          <w:p>
            <w:pPr>
              <w:spacing w:before="20" w:after="20"/>
            </w:pPr>
            <w:r>
              <w:rPr>
                <w:rFonts w:ascii="Calibri" w:hAnsi="Calibri"/>
                <w:b/>
                <w:i w:val="0"/>
                <w:color w:val="08243A"/>
                <w:sz w:val="18"/>
              </w:rPr>
              <w:t>Endpoint Detection &amp; Response</w:t>
            </w:r>
          </w:p>
        </w:tc>
        <w:tc>
          <w:tcPr>
            <w:tcW w:type="dxa" w:w="2448"/>
          </w:tcPr>
          <w:p>
            <w:pPr>
              <w:spacing w:before="20" w:after="20"/>
            </w:pPr>
            <w:r>
              <w:rPr>
                <w:rFonts w:ascii="Calibri" w:hAnsi="Calibri"/>
                <w:b w:val="0"/>
                <w:i w:val="0"/>
                <w:color w:val="222A30"/>
                <w:sz w:val="18"/>
              </w:rPr>
              <w:t>CrowdStrike / Defender</w:t>
            </w:r>
          </w:p>
        </w:tc>
        <w:tc>
          <w:tcPr>
            <w:tcW w:type="dxa" w:w="2016"/>
          </w:tcPr>
          <w:p>
            <w:pPr>
              <w:spacing w:before="20" w:after="20"/>
            </w:pPr>
            <w:r>
              <w:rPr>
                <w:rFonts w:ascii="Calibri" w:hAnsi="Calibri"/>
                <w:b w:val="0"/>
                <w:i w:val="0"/>
                <w:color w:val="222A30"/>
                <w:sz w:val="18"/>
              </w:rPr>
              <w:t>edr_pct</w:t>
            </w:r>
          </w:p>
        </w:tc>
        <w:tc>
          <w:tcPr>
            <w:tcW w:type="dxa" w:w="2016"/>
          </w:tcPr>
          <w:p>
            <w:pPr>
              <w:spacing w:before="20" w:after="20"/>
            </w:pPr>
            <w:r>
              <w:rPr>
                <w:rFonts w:ascii="Calibri" w:hAnsi="Calibri"/>
                <w:b w:val="0"/>
                <w:i w:val="0"/>
                <w:color w:val="222A30"/>
                <w:sz w:val="18"/>
              </w:rPr>
              <w:t>Controls coverage, risk-removed</w:t>
            </w:r>
          </w:p>
        </w:tc>
      </w:tr>
      <w:tr>
        <w:tc>
          <w:tcPr>
            <w:tcW w:type="dxa" w:w="2880"/>
            <w:shd w:val="clear" w:color="auto" w:fill="E7EEF3"/>
          </w:tcPr>
          <w:p>
            <w:pPr>
              <w:spacing w:before="20" w:after="20"/>
            </w:pPr>
            <w:r>
              <w:rPr>
                <w:rFonts w:ascii="Calibri" w:hAnsi="Calibri"/>
                <w:b/>
                <w:i w:val="0"/>
                <w:color w:val="08243A"/>
                <w:sz w:val="18"/>
              </w:rPr>
              <w:t>Multi-Factor Authentication</w:t>
            </w:r>
          </w:p>
        </w:tc>
        <w:tc>
          <w:tcPr>
            <w:tcW w:type="dxa" w:w="2448"/>
            <w:shd w:val="clear" w:color="auto" w:fill="E7EEF3"/>
          </w:tcPr>
          <w:p>
            <w:pPr>
              <w:spacing w:before="20" w:after="20"/>
            </w:pPr>
            <w:r>
              <w:rPr>
                <w:rFonts w:ascii="Calibri" w:hAnsi="Calibri"/>
                <w:b w:val="0"/>
                <w:i w:val="0"/>
                <w:color w:val="222A30"/>
                <w:sz w:val="18"/>
              </w:rPr>
              <w:t>Okta / Entra ID</w:t>
            </w:r>
          </w:p>
        </w:tc>
        <w:tc>
          <w:tcPr>
            <w:tcW w:type="dxa" w:w="2016"/>
            <w:shd w:val="clear" w:color="auto" w:fill="E7EEF3"/>
          </w:tcPr>
          <w:p>
            <w:pPr>
              <w:spacing w:before="20" w:after="20"/>
            </w:pPr>
            <w:r>
              <w:rPr>
                <w:rFonts w:ascii="Calibri" w:hAnsi="Calibri"/>
                <w:b w:val="0"/>
                <w:i w:val="0"/>
                <w:color w:val="222A30"/>
                <w:sz w:val="18"/>
              </w:rPr>
              <w:t>mfa_pct</w:t>
            </w:r>
          </w:p>
        </w:tc>
        <w:tc>
          <w:tcPr>
            <w:tcW w:type="dxa" w:w="2016"/>
            <w:shd w:val="clear" w:color="auto" w:fill="E7EEF3"/>
          </w:tcPr>
          <w:p>
            <w:pPr>
              <w:spacing w:before="20" w:after="20"/>
            </w:pPr>
            <w:r>
              <w:rPr>
                <w:rFonts w:ascii="Calibri" w:hAnsi="Calibri"/>
                <w:b w:val="0"/>
                <w:i w:val="0"/>
                <w:color w:val="222A30"/>
                <w:sz w:val="18"/>
              </w:rPr>
              <w:t>Identity exposure, fraud</w:t>
            </w:r>
          </w:p>
        </w:tc>
      </w:tr>
      <w:tr>
        <w:tc>
          <w:tcPr>
            <w:tcW w:type="dxa" w:w="2880"/>
          </w:tcPr>
          <w:p>
            <w:pPr>
              <w:spacing w:before="20" w:after="20"/>
            </w:pPr>
            <w:r>
              <w:rPr>
                <w:rFonts w:ascii="Calibri" w:hAnsi="Calibri"/>
                <w:b/>
                <w:i w:val="0"/>
                <w:color w:val="08243A"/>
                <w:sz w:val="18"/>
              </w:rPr>
              <w:t>Privileged Access Management</w:t>
            </w:r>
          </w:p>
        </w:tc>
        <w:tc>
          <w:tcPr>
            <w:tcW w:type="dxa" w:w="2448"/>
          </w:tcPr>
          <w:p>
            <w:pPr>
              <w:spacing w:before="20" w:after="20"/>
            </w:pPr>
            <w:r>
              <w:rPr>
                <w:rFonts w:ascii="Calibri" w:hAnsi="Calibri"/>
                <w:b w:val="0"/>
                <w:i w:val="0"/>
                <w:color w:val="222A30"/>
                <w:sz w:val="18"/>
              </w:rPr>
              <w:t>CyberArk / BeyondTrust</w:t>
            </w:r>
          </w:p>
        </w:tc>
        <w:tc>
          <w:tcPr>
            <w:tcW w:type="dxa" w:w="2016"/>
          </w:tcPr>
          <w:p>
            <w:pPr>
              <w:spacing w:before="20" w:after="20"/>
            </w:pPr>
            <w:r>
              <w:rPr>
                <w:rFonts w:ascii="Calibri" w:hAnsi="Calibri"/>
                <w:b w:val="0"/>
                <w:i w:val="0"/>
                <w:color w:val="222A30"/>
                <w:sz w:val="18"/>
              </w:rPr>
              <w:t>pam_pct</w:t>
            </w:r>
          </w:p>
        </w:tc>
        <w:tc>
          <w:tcPr>
            <w:tcW w:type="dxa" w:w="2016"/>
          </w:tcPr>
          <w:p>
            <w:pPr>
              <w:spacing w:before="20" w:after="20"/>
            </w:pPr>
            <w:r>
              <w:rPr>
                <w:rFonts w:ascii="Calibri" w:hAnsi="Calibri"/>
                <w:b w:val="0"/>
                <w:i w:val="0"/>
                <w:color w:val="222A30"/>
                <w:sz w:val="18"/>
              </w:rPr>
              <w:t>Identity exposure</w:t>
            </w:r>
          </w:p>
        </w:tc>
      </w:tr>
      <w:tr>
        <w:tc>
          <w:tcPr>
            <w:tcW w:type="dxa" w:w="2880"/>
            <w:shd w:val="clear" w:color="auto" w:fill="E7EEF3"/>
          </w:tcPr>
          <w:p>
            <w:pPr>
              <w:spacing w:before="20" w:after="20"/>
            </w:pPr>
            <w:r>
              <w:rPr>
                <w:rFonts w:ascii="Calibri" w:hAnsi="Calibri"/>
                <w:b/>
                <w:i w:val="0"/>
                <w:color w:val="08243A"/>
                <w:sz w:val="18"/>
              </w:rPr>
              <w:t>Vulnerability &amp; Patch Mgmt</w:t>
            </w:r>
          </w:p>
        </w:tc>
        <w:tc>
          <w:tcPr>
            <w:tcW w:type="dxa" w:w="2448"/>
            <w:shd w:val="clear" w:color="auto" w:fill="E7EEF3"/>
          </w:tcPr>
          <w:p>
            <w:pPr>
              <w:spacing w:before="20" w:after="20"/>
            </w:pPr>
            <w:r>
              <w:rPr>
                <w:rFonts w:ascii="Calibri" w:hAnsi="Calibri"/>
                <w:b w:val="0"/>
                <w:i w:val="0"/>
                <w:color w:val="222A30"/>
                <w:sz w:val="18"/>
              </w:rPr>
              <w:t>Qualys / Tenable</w:t>
            </w:r>
          </w:p>
        </w:tc>
        <w:tc>
          <w:tcPr>
            <w:tcW w:type="dxa" w:w="2016"/>
            <w:shd w:val="clear" w:color="auto" w:fill="E7EEF3"/>
          </w:tcPr>
          <w:p>
            <w:pPr>
              <w:spacing w:before="20" w:after="20"/>
            </w:pPr>
            <w:r>
              <w:rPr>
                <w:rFonts w:ascii="Calibri" w:hAnsi="Calibri"/>
                <w:b w:val="0"/>
                <w:i w:val="0"/>
                <w:color w:val="222A30"/>
                <w:sz w:val="18"/>
              </w:rPr>
              <w:t>patch_pct</w:t>
            </w:r>
          </w:p>
        </w:tc>
        <w:tc>
          <w:tcPr>
            <w:tcW w:type="dxa" w:w="2016"/>
            <w:shd w:val="clear" w:color="auto" w:fill="E7EEF3"/>
          </w:tcPr>
          <w:p>
            <w:pPr>
              <w:spacing w:before="20" w:after="20"/>
            </w:pPr>
            <w:r>
              <w:rPr>
                <w:rFonts w:ascii="Calibri" w:hAnsi="Calibri"/>
                <w:b w:val="0"/>
                <w:i w:val="0"/>
                <w:color w:val="222A30"/>
                <w:sz w:val="18"/>
              </w:rPr>
              <w:t>Attack surface</w:t>
            </w:r>
          </w:p>
        </w:tc>
      </w:tr>
      <w:tr>
        <w:tc>
          <w:tcPr>
            <w:tcW w:type="dxa" w:w="2880"/>
          </w:tcPr>
          <w:p>
            <w:pPr>
              <w:spacing w:before="20" w:after="20"/>
            </w:pPr>
            <w:r>
              <w:rPr>
                <w:rFonts w:ascii="Calibri" w:hAnsi="Calibri"/>
                <w:b/>
                <w:i w:val="0"/>
                <w:color w:val="08243A"/>
                <w:sz w:val="18"/>
              </w:rPr>
              <w:t>Security Awareness</w:t>
            </w:r>
          </w:p>
        </w:tc>
        <w:tc>
          <w:tcPr>
            <w:tcW w:type="dxa" w:w="2448"/>
          </w:tcPr>
          <w:p>
            <w:pPr>
              <w:spacing w:before="20" w:after="20"/>
            </w:pPr>
            <w:r>
              <w:rPr>
                <w:rFonts w:ascii="Calibri" w:hAnsi="Calibri"/>
                <w:b w:val="0"/>
                <w:i w:val="0"/>
                <w:color w:val="222A30"/>
                <w:sz w:val="18"/>
              </w:rPr>
              <w:t>KnowBe4 / Proofpoint</w:t>
            </w:r>
          </w:p>
        </w:tc>
        <w:tc>
          <w:tcPr>
            <w:tcW w:type="dxa" w:w="2016"/>
          </w:tcPr>
          <w:p>
            <w:pPr>
              <w:spacing w:before="20" w:after="20"/>
            </w:pPr>
            <w:r>
              <w:rPr>
                <w:rFonts w:ascii="Calibri" w:hAnsi="Calibri"/>
                <w:b w:val="0"/>
                <w:i w:val="0"/>
                <w:color w:val="222A30"/>
                <w:sz w:val="18"/>
              </w:rPr>
              <w:t>training_pct</w:t>
            </w:r>
          </w:p>
        </w:tc>
        <w:tc>
          <w:tcPr>
            <w:tcW w:type="dxa" w:w="2016"/>
          </w:tcPr>
          <w:p>
            <w:pPr>
              <w:spacing w:before="20" w:after="20"/>
            </w:pPr>
            <w:r>
              <w:rPr>
                <w:rFonts w:ascii="Calibri" w:hAnsi="Calibri"/>
                <w:b w:val="0"/>
                <w:i w:val="0"/>
                <w:color w:val="222A30"/>
                <w:sz w:val="18"/>
              </w:rPr>
              <w:t>Phishing exposure</w:t>
            </w:r>
          </w:p>
        </w:tc>
      </w:tr>
      <w:tr>
        <w:tc>
          <w:tcPr>
            <w:tcW w:type="dxa" w:w="2880"/>
            <w:shd w:val="clear" w:color="auto" w:fill="E7EEF3"/>
          </w:tcPr>
          <w:p>
            <w:pPr>
              <w:spacing w:before="20" w:after="20"/>
            </w:pPr>
            <w:r>
              <w:rPr>
                <w:rFonts w:ascii="Calibri" w:hAnsi="Calibri"/>
                <w:b/>
                <w:i w:val="0"/>
                <w:color w:val="08243A"/>
                <w:sz w:val="18"/>
              </w:rPr>
              <w:t>SIEM / Detection</w:t>
            </w:r>
          </w:p>
        </w:tc>
        <w:tc>
          <w:tcPr>
            <w:tcW w:type="dxa" w:w="2448"/>
            <w:shd w:val="clear" w:color="auto" w:fill="E7EEF3"/>
          </w:tcPr>
          <w:p>
            <w:pPr>
              <w:spacing w:before="20" w:after="20"/>
            </w:pPr>
            <w:r>
              <w:rPr>
                <w:rFonts w:ascii="Calibri" w:hAnsi="Calibri"/>
                <w:b w:val="0"/>
                <w:i w:val="0"/>
                <w:color w:val="222A30"/>
                <w:sz w:val="18"/>
              </w:rPr>
              <w:t>Splunk / Sentinel</w:t>
            </w:r>
          </w:p>
        </w:tc>
        <w:tc>
          <w:tcPr>
            <w:tcW w:type="dxa" w:w="2016"/>
            <w:shd w:val="clear" w:color="auto" w:fill="E7EEF3"/>
          </w:tcPr>
          <w:p>
            <w:pPr>
              <w:spacing w:before="20" w:after="20"/>
            </w:pPr>
            <w:r>
              <w:rPr>
                <w:rFonts w:ascii="Calibri" w:hAnsi="Calibri"/>
                <w:b w:val="0"/>
                <w:i w:val="0"/>
                <w:color w:val="222A30"/>
                <w:sz w:val="18"/>
              </w:rPr>
              <w:t>siem_coverage_pct</w:t>
            </w:r>
          </w:p>
        </w:tc>
        <w:tc>
          <w:tcPr>
            <w:tcW w:type="dxa" w:w="2016"/>
            <w:shd w:val="clear" w:color="auto" w:fill="E7EEF3"/>
          </w:tcPr>
          <w:p>
            <w:pPr>
              <w:spacing w:before="20" w:after="20"/>
            </w:pPr>
            <w:r>
              <w:rPr>
                <w:rFonts w:ascii="Calibri" w:hAnsi="Calibri"/>
                <w:b w:val="0"/>
                <w:i w:val="0"/>
                <w:color w:val="222A30"/>
                <w:sz w:val="18"/>
              </w:rPr>
              <w:t>Detection coverage</w:t>
            </w:r>
          </w:p>
        </w:tc>
      </w:tr>
      <w:tr>
        <w:tc>
          <w:tcPr>
            <w:tcW w:type="dxa" w:w="2880"/>
          </w:tcPr>
          <w:p>
            <w:pPr>
              <w:spacing w:before="20" w:after="20"/>
            </w:pPr>
            <w:r>
              <w:rPr>
                <w:rFonts w:ascii="Calibri" w:hAnsi="Calibri"/>
                <w:b/>
                <w:i w:val="0"/>
                <w:color w:val="08243A"/>
                <w:sz w:val="18"/>
              </w:rPr>
              <w:t>Data Loss Prevention</w:t>
            </w:r>
          </w:p>
        </w:tc>
        <w:tc>
          <w:tcPr>
            <w:tcW w:type="dxa" w:w="2448"/>
          </w:tcPr>
          <w:p>
            <w:pPr>
              <w:spacing w:before="20" w:after="20"/>
            </w:pPr>
            <w:r>
              <w:rPr>
                <w:rFonts w:ascii="Calibri" w:hAnsi="Calibri"/>
                <w:b w:val="0"/>
                <w:i w:val="0"/>
                <w:color w:val="222A30"/>
                <w:sz w:val="18"/>
              </w:rPr>
              <w:t>Purview / Forcepoint</w:t>
            </w:r>
          </w:p>
        </w:tc>
        <w:tc>
          <w:tcPr>
            <w:tcW w:type="dxa" w:w="2016"/>
          </w:tcPr>
          <w:p>
            <w:pPr>
              <w:spacing w:before="20" w:after="20"/>
            </w:pPr>
            <w:r>
              <w:rPr>
                <w:rFonts w:ascii="Calibri" w:hAnsi="Calibri"/>
                <w:b w:val="0"/>
                <w:i w:val="0"/>
                <w:color w:val="222A30"/>
                <w:sz w:val="18"/>
              </w:rPr>
              <w:t>(no live signal)</w:t>
            </w:r>
          </w:p>
        </w:tc>
        <w:tc>
          <w:tcPr>
            <w:tcW w:type="dxa" w:w="2016"/>
          </w:tcPr>
          <w:p>
            <w:pPr>
              <w:spacing w:before="20" w:after="20"/>
            </w:pPr>
            <w:r>
              <w:rPr>
                <w:rFonts w:ascii="Calibri" w:hAnsi="Calibri"/>
                <w:b w:val="0"/>
                <w:i w:val="0"/>
                <w:color w:val="222A30"/>
                <w:sz w:val="18"/>
              </w:rPr>
              <w:t>Shown not-connected</w:t>
            </w:r>
          </w:p>
        </w:tc>
      </w:tr>
      <w:tr>
        <w:tc>
          <w:tcPr>
            <w:tcW w:type="dxa" w:w="2880"/>
            <w:shd w:val="clear" w:color="auto" w:fill="E7EEF3"/>
          </w:tcPr>
          <w:p>
            <w:pPr>
              <w:spacing w:before="20" w:after="20"/>
            </w:pPr>
            <w:r>
              <w:rPr>
                <w:rFonts w:ascii="Calibri" w:hAnsi="Calibri"/>
                <w:b/>
                <w:i w:val="0"/>
                <w:color w:val="08243A"/>
                <w:sz w:val="18"/>
              </w:rPr>
              <w:t>Network Segmentation</w:t>
            </w:r>
          </w:p>
        </w:tc>
        <w:tc>
          <w:tcPr>
            <w:tcW w:type="dxa" w:w="2448"/>
            <w:shd w:val="clear" w:color="auto" w:fill="E7EEF3"/>
          </w:tcPr>
          <w:p>
            <w:pPr>
              <w:spacing w:before="20" w:after="20"/>
            </w:pPr>
            <w:r>
              <w:rPr>
                <w:rFonts w:ascii="Calibri" w:hAnsi="Calibri"/>
                <w:b w:val="0"/>
                <w:i w:val="0"/>
                <w:color w:val="222A30"/>
                <w:sz w:val="18"/>
              </w:rPr>
              <w:t>Illumio / firewall</w:t>
            </w:r>
          </w:p>
        </w:tc>
        <w:tc>
          <w:tcPr>
            <w:tcW w:type="dxa" w:w="2016"/>
            <w:shd w:val="clear" w:color="auto" w:fill="E7EEF3"/>
          </w:tcPr>
          <w:p>
            <w:pPr>
              <w:spacing w:before="20" w:after="20"/>
            </w:pPr>
            <w:r>
              <w:rPr>
                <w:rFonts w:ascii="Calibri" w:hAnsi="Calibri"/>
                <w:b w:val="0"/>
                <w:i w:val="0"/>
                <w:color w:val="222A30"/>
                <w:sz w:val="18"/>
              </w:rPr>
              <w:t>(no live signal)</w:t>
            </w:r>
          </w:p>
        </w:tc>
        <w:tc>
          <w:tcPr>
            <w:tcW w:type="dxa" w:w="2016"/>
            <w:shd w:val="clear" w:color="auto" w:fill="E7EEF3"/>
          </w:tcPr>
          <w:p>
            <w:pPr>
              <w:spacing w:before="20" w:after="20"/>
            </w:pPr>
            <w:r>
              <w:rPr>
                <w:rFonts w:ascii="Calibri" w:hAnsi="Calibri"/>
                <w:b w:val="0"/>
                <w:i w:val="0"/>
                <w:color w:val="222A30"/>
                <w:sz w:val="18"/>
              </w:rPr>
              <w:t>Shown not-connected</w:t>
            </w:r>
          </w:p>
        </w:tc>
      </w:tr>
      <w:tr>
        <w:tc>
          <w:tcPr>
            <w:tcW w:type="dxa" w:w="2880"/>
          </w:tcPr>
          <w:p>
            <w:pPr>
              <w:spacing w:before="20" w:after="20"/>
            </w:pPr>
            <w:r>
              <w:rPr>
                <w:rFonts w:ascii="Calibri" w:hAnsi="Calibri"/>
                <w:b/>
                <w:i w:val="0"/>
                <w:color w:val="08243A"/>
                <w:sz w:val="18"/>
              </w:rPr>
              <w:t>Backup &amp; Recovery</w:t>
            </w:r>
          </w:p>
        </w:tc>
        <w:tc>
          <w:tcPr>
            <w:tcW w:type="dxa" w:w="2448"/>
          </w:tcPr>
          <w:p>
            <w:pPr>
              <w:spacing w:before="20" w:after="20"/>
            </w:pPr>
            <w:r>
              <w:rPr>
                <w:rFonts w:ascii="Calibri" w:hAnsi="Calibri"/>
                <w:b w:val="0"/>
                <w:i w:val="0"/>
                <w:color w:val="222A30"/>
                <w:sz w:val="18"/>
              </w:rPr>
              <w:t>Rubrik / Veeam</w:t>
            </w:r>
          </w:p>
        </w:tc>
        <w:tc>
          <w:tcPr>
            <w:tcW w:type="dxa" w:w="2016"/>
          </w:tcPr>
          <w:p>
            <w:pPr>
              <w:spacing w:before="20" w:after="20"/>
            </w:pPr>
            <w:r>
              <w:rPr>
                <w:rFonts w:ascii="Calibri" w:hAnsi="Calibri"/>
                <w:b w:val="0"/>
                <w:i w:val="0"/>
                <w:color w:val="222A30"/>
                <w:sz w:val="18"/>
              </w:rPr>
              <w:t>backup_immutable_pct</w:t>
            </w:r>
          </w:p>
        </w:tc>
        <w:tc>
          <w:tcPr>
            <w:tcW w:type="dxa" w:w="2016"/>
          </w:tcPr>
          <w:p>
            <w:pPr>
              <w:spacing w:before="20" w:after="20"/>
            </w:pPr>
            <w:r>
              <w:rPr>
                <w:rFonts w:ascii="Calibri" w:hAnsi="Calibri"/>
                <w:b w:val="0"/>
                <w:i w:val="0"/>
                <w:color w:val="222A30"/>
                <w:sz w:val="18"/>
              </w:rPr>
              <w:t>DR readiness</w:t>
            </w:r>
          </w:p>
        </w:tc>
      </w:tr>
      <w:tr>
        <w:tc>
          <w:tcPr>
            <w:tcW w:type="dxa" w:w="2880"/>
            <w:shd w:val="clear" w:color="auto" w:fill="E7EEF3"/>
          </w:tcPr>
          <w:p>
            <w:pPr>
              <w:spacing w:before="20" w:after="20"/>
            </w:pPr>
            <w:r>
              <w:rPr>
                <w:rFonts w:ascii="Calibri" w:hAnsi="Calibri"/>
                <w:b/>
                <w:i w:val="0"/>
                <w:color w:val="08243A"/>
                <w:sz w:val="18"/>
              </w:rPr>
              <w:t>Cloud Security Posture</w:t>
            </w:r>
          </w:p>
        </w:tc>
        <w:tc>
          <w:tcPr>
            <w:tcW w:type="dxa" w:w="2448"/>
            <w:shd w:val="clear" w:color="auto" w:fill="E7EEF3"/>
          </w:tcPr>
          <w:p>
            <w:pPr>
              <w:spacing w:before="20" w:after="20"/>
            </w:pPr>
            <w:r>
              <w:rPr>
                <w:rFonts w:ascii="Calibri" w:hAnsi="Calibri"/>
                <w:b w:val="0"/>
                <w:i w:val="0"/>
                <w:color w:val="222A30"/>
                <w:sz w:val="18"/>
              </w:rPr>
              <w:t>Wiz / Prisma</w:t>
            </w:r>
          </w:p>
        </w:tc>
        <w:tc>
          <w:tcPr>
            <w:tcW w:type="dxa" w:w="2016"/>
            <w:shd w:val="clear" w:color="auto" w:fill="E7EEF3"/>
          </w:tcPr>
          <w:p>
            <w:pPr>
              <w:spacing w:before="20" w:after="20"/>
            </w:pPr>
            <w:r>
              <w:rPr>
                <w:rFonts w:ascii="Calibri" w:hAnsi="Calibri"/>
                <w:b w:val="0"/>
                <w:i w:val="0"/>
                <w:color w:val="222A30"/>
                <w:sz w:val="18"/>
              </w:rPr>
              <w:t>cspm_pct</w:t>
            </w:r>
          </w:p>
        </w:tc>
        <w:tc>
          <w:tcPr>
            <w:tcW w:type="dxa" w:w="2016"/>
            <w:shd w:val="clear" w:color="auto" w:fill="E7EEF3"/>
          </w:tcPr>
          <w:p>
            <w:pPr>
              <w:spacing w:before="20" w:after="20"/>
            </w:pPr>
            <w:r>
              <w:rPr>
                <w:rFonts w:ascii="Calibri" w:hAnsi="Calibri"/>
                <w:b w:val="0"/>
                <w:i w:val="0"/>
                <w:color w:val="222A30"/>
                <w:sz w:val="18"/>
              </w:rPr>
              <w:t>Cloud posture, GRC</w:t>
            </w:r>
          </w:p>
        </w:tc>
      </w:tr>
    </w:tbl>
    <w:p>
      <w:pPr>
        <w:spacing w:after="40"/>
      </w:pPr>
    </w:p>
    <w:p>
      <w:pPr>
        <w:spacing w:before="140" w:after="160"/>
        <w:ind w:left="86"/>
        <w:shd w:val="clear" w:color="auto" w:fill="EEF2F5"/>
        <w:pBdr>
          <w:left w:val="single" w:sz="24" w:space="6" w:color="1A5FA0"/>
        </w:pBdr>
      </w:pPr>
      <w:r>
        <w:rPr>
          <w:rFonts w:ascii="Calibri" w:hAnsi="Calibri"/>
          <w:b/>
          <w:i w:val="0"/>
          <w:caps/>
          <w:color w:val="1A5FA0"/>
          <w:sz w:val="17"/>
          <w:spacing w:val="25"/>
        </w:rPr>
        <w:t xml:space="preserve">NOTE   </w:t>
      </w:r>
      <w:r>
        <w:rPr>
          <w:rFonts w:ascii="Calibri" w:hAnsi="Calibri"/>
          <w:b w:val="0"/>
          <w:i w:val="0"/>
          <w:color w:val="222A30"/>
          <w:sz w:val="20"/>
        </w:rPr>
        <w:t>A capability’s deployment % feeds the control-value ledger: each control carries a risk-removal weight from its NIST CSF/800-53 mapping × its live deployment. That ledger turns “60% PAM coverage” into a dollar figure in the exposure model.</w:t>
      </w:r>
    </w:p>
    <w:p>
      <w:pPr>
        <w:spacing w:before="260" w:after="60"/>
        <w:outlineLvl w:val="1"/>
      </w:pPr>
      <w:r>
        <w:rPr>
          <w:rFonts w:ascii="Georgia" w:hAnsi="Georgia"/>
          <w:b/>
          <w:i w:val="0"/>
          <w:color w:val="2FA3D6"/>
          <w:sz w:val="28"/>
        </w:rPr>
        <w:t xml:space="preserve">7.2  </w:t>
      </w:r>
      <w:r>
        <w:rPr>
          <w:rFonts w:ascii="Georgia" w:hAnsi="Georgia"/>
          <w:b/>
          <w:i w:val="0"/>
          <w:color w:val="1A5FA0"/>
          <w:sz w:val="28"/>
        </w:rPr>
        <w:t>The signal glossary (selected)</w:t>
      </w:r>
    </w:p>
    <w:p>
      <w:pPr>
        <w:spacing w:before="200" w:after="60"/>
      </w:pPr>
      <w:r>
        <w:rPr>
          <w:rFonts w:ascii="Calibri" w:hAnsi="Calibri"/>
          <w:b/>
          <w:i w:val="0"/>
          <w:caps/>
          <w:color w:val="2FA3D6"/>
          <w:sz w:val="17"/>
          <w:spacing w:val="18"/>
        </w:rPr>
        <w:t xml:space="preserve">EXHIBIT — </w:t>
      </w:r>
      <w:r>
        <w:rPr>
          <w:rFonts w:ascii="Calibri" w:hAnsi="Calibri"/>
          <w:b/>
          <w:i w:val="0"/>
          <w:caps/>
          <w:color w:val="5B6B76"/>
          <w:sz w:val="17"/>
          <w:spacing w:val="18"/>
        </w:rPr>
        <w:t>Representative live signals</w:t>
      </w:r>
    </w:p>
    <w:tbl>
      <w:tblPr>
        <w:tblW w:type="auto" w:w="0"/>
        <w:jc w:val="center"/>
        <w:tblLook w:firstColumn="1" w:firstRow="1" w:lastColumn="0" w:lastRow="0" w:noHBand="0" w:noVBand="1" w:val="04A0"/>
      </w:tblPr>
      <w:tblGrid>
        <w:gridCol w:w="3120"/>
        <w:gridCol w:w="3120"/>
        <w:gridCol w:w="3120"/>
      </w:tblGrid>
      <w:tr>
        <w:tc>
          <w:tcPr>
            <w:tcW w:type="dxa" w:w="3312"/>
            <w:shd w:val="clear" w:color="auto" w:fill="08243A"/>
          </w:tcPr>
          <w:p>
            <w:pPr>
              <w:spacing w:before="40" w:after="40"/>
            </w:pPr>
            <w:r>
              <w:rPr>
                <w:rFonts w:ascii="Calibri" w:hAnsi="Calibri"/>
                <w:b/>
                <w:i w:val="0"/>
                <w:color w:val="FFFFFF"/>
                <w:sz w:val="18"/>
              </w:rPr>
              <w:t>Signal</w:t>
            </w:r>
          </w:p>
        </w:tc>
        <w:tc>
          <w:tcPr>
            <w:tcW w:type="dxa" w:w="3744"/>
            <w:shd w:val="clear" w:color="auto" w:fill="08243A"/>
          </w:tcPr>
          <w:p>
            <w:pPr>
              <w:spacing w:before="40" w:after="40"/>
            </w:pPr>
            <w:r>
              <w:rPr>
                <w:rFonts w:ascii="Calibri" w:hAnsi="Calibri"/>
                <w:b/>
                <w:i w:val="0"/>
                <w:color w:val="FFFFFF"/>
                <w:sz w:val="18"/>
              </w:rPr>
              <w:t>Meaning</w:t>
            </w:r>
          </w:p>
        </w:tc>
        <w:tc>
          <w:tcPr>
            <w:tcW w:type="dxa" w:w="2304"/>
            <w:shd w:val="clear" w:color="auto" w:fill="08243A"/>
          </w:tcPr>
          <w:p>
            <w:pPr>
              <w:spacing w:before="40" w:after="40"/>
            </w:pPr>
            <w:r>
              <w:rPr>
                <w:rFonts w:ascii="Calibri" w:hAnsi="Calibri"/>
                <w:b/>
                <w:i w:val="0"/>
                <w:color w:val="FFFFFF"/>
                <w:sz w:val="18"/>
              </w:rPr>
              <w:t>From</w:t>
            </w:r>
          </w:p>
        </w:tc>
      </w:tr>
      <w:tr>
        <w:tc>
          <w:tcPr>
            <w:tcW w:type="dxa" w:w="3312"/>
          </w:tcPr>
          <w:p>
            <w:pPr>
              <w:spacing w:before="20" w:after="20"/>
            </w:pPr>
            <w:r>
              <w:rPr>
                <w:rFonts w:ascii="Calibri" w:hAnsi="Calibri"/>
                <w:b/>
                <w:i w:val="0"/>
                <w:color w:val="08243A"/>
                <w:sz w:val="18"/>
              </w:rPr>
              <w:t>open_incidents</w:t>
            </w:r>
          </w:p>
        </w:tc>
        <w:tc>
          <w:tcPr>
            <w:tcW w:type="dxa" w:w="3744"/>
          </w:tcPr>
          <w:p>
            <w:pPr>
              <w:spacing w:before="20" w:after="20"/>
            </w:pPr>
            <w:r>
              <w:rPr>
                <w:rFonts w:ascii="Calibri" w:hAnsi="Calibri"/>
                <w:b w:val="0"/>
                <w:i w:val="0"/>
                <w:color w:val="222A30"/>
                <w:sz w:val="18"/>
              </w:rPr>
              <w:t>Active security incidents</w:t>
            </w:r>
          </w:p>
        </w:tc>
        <w:tc>
          <w:tcPr>
            <w:tcW w:type="dxa" w:w="2304"/>
          </w:tcPr>
          <w:p>
            <w:pPr>
              <w:spacing w:before="20" w:after="20"/>
            </w:pPr>
            <w:r>
              <w:rPr>
                <w:rFonts w:ascii="Calibri" w:hAnsi="Calibri"/>
                <w:b w:val="0"/>
                <w:i w:val="0"/>
                <w:color w:val="222A30"/>
                <w:sz w:val="18"/>
              </w:rPr>
              <w:t>Sentinel / Splunk</w:t>
            </w:r>
          </w:p>
        </w:tc>
      </w:tr>
      <w:tr>
        <w:tc>
          <w:tcPr>
            <w:tcW w:type="dxa" w:w="3312"/>
            <w:shd w:val="clear" w:color="auto" w:fill="E7EEF3"/>
          </w:tcPr>
          <w:p>
            <w:pPr>
              <w:spacing w:before="20" w:after="20"/>
            </w:pPr>
            <w:r>
              <w:rPr>
                <w:rFonts w:ascii="Calibri" w:hAnsi="Calibri"/>
                <w:b/>
                <w:i w:val="0"/>
                <w:color w:val="08243A"/>
                <w:sz w:val="18"/>
              </w:rPr>
              <w:t>mttd_hrs / mttr_hrs</w:t>
            </w:r>
          </w:p>
        </w:tc>
        <w:tc>
          <w:tcPr>
            <w:tcW w:type="dxa" w:w="3744"/>
            <w:shd w:val="clear" w:color="auto" w:fill="E7EEF3"/>
          </w:tcPr>
          <w:p>
            <w:pPr>
              <w:spacing w:before="20" w:after="20"/>
            </w:pPr>
            <w:r>
              <w:rPr>
                <w:rFonts w:ascii="Calibri" w:hAnsi="Calibri"/>
                <w:b w:val="0"/>
                <w:i w:val="0"/>
                <w:color w:val="222A30"/>
                <w:sz w:val="18"/>
              </w:rPr>
              <w:t>Mean time to detect / resolve</w:t>
            </w:r>
          </w:p>
        </w:tc>
        <w:tc>
          <w:tcPr>
            <w:tcW w:type="dxa" w:w="2304"/>
            <w:shd w:val="clear" w:color="auto" w:fill="E7EEF3"/>
          </w:tcPr>
          <w:p>
            <w:pPr>
              <w:spacing w:before="20" w:after="20"/>
            </w:pPr>
            <w:r>
              <w:rPr>
                <w:rFonts w:ascii="Calibri" w:hAnsi="Calibri"/>
                <w:b w:val="0"/>
                <w:i w:val="0"/>
                <w:color w:val="222A30"/>
                <w:sz w:val="18"/>
              </w:rPr>
              <w:t>SIEM</w:t>
            </w:r>
          </w:p>
        </w:tc>
      </w:tr>
      <w:tr>
        <w:tc>
          <w:tcPr>
            <w:tcW w:type="dxa" w:w="3312"/>
          </w:tcPr>
          <w:p>
            <w:pPr>
              <w:spacing w:before="20" w:after="20"/>
            </w:pPr>
            <w:r>
              <w:rPr>
                <w:rFonts w:ascii="Calibri" w:hAnsi="Calibri"/>
                <w:b/>
                <w:i w:val="0"/>
                <w:color w:val="08243A"/>
                <w:sz w:val="18"/>
              </w:rPr>
              <w:t>edr_pct / mfa_pct / pam_pct</w:t>
            </w:r>
          </w:p>
        </w:tc>
        <w:tc>
          <w:tcPr>
            <w:tcW w:type="dxa" w:w="3744"/>
          </w:tcPr>
          <w:p>
            <w:pPr>
              <w:spacing w:before="20" w:after="20"/>
            </w:pPr>
            <w:r>
              <w:rPr>
                <w:rFonts w:ascii="Calibri" w:hAnsi="Calibri"/>
                <w:b w:val="0"/>
                <w:i w:val="0"/>
                <w:color w:val="222A30"/>
                <w:sz w:val="18"/>
              </w:rPr>
              <w:t>Endpoint / MFA / privileged coverage</w:t>
            </w:r>
          </w:p>
        </w:tc>
        <w:tc>
          <w:tcPr>
            <w:tcW w:type="dxa" w:w="2304"/>
          </w:tcPr>
          <w:p>
            <w:pPr>
              <w:spacing w:before="20" w:after="20"/>
            </w:pPr>
            <w:r>
              <w:rPr>
                <w:rFonts w:ascii="Calibri" w:hAnsi="Calibri"/>
                <w:b w:val="0"/>
                <w:i w:val="0"/>
                <w:color w:val="222A30"/>
                <w:sz w:val="18"/>
              </w:rPr>
              <w:t>EDR · IdP · PAM</w:t>
            </w:r>
          </w:p>
        </w:tc>
      </w:tr>
      <w:tr>
        <w:tc>
          <w:tcPr>
            <w:tcW w:type="dxa" w:w="3312"/>
            <w:shd w:val="clear" w:color="auto" w:fill="E7EEF3"/>
          </w:tcPr>
          <w:p>
            <w:pPr>
              <w:spacing w:before="20" w:after="20"/>
            </w:pPr>
            <w:r>
              <w:rPr>
                <w:rFonts w:ascii="Calibri" w:hAnsi="Calibri"/>
                <w:b/>
                <w:i w:val="0"/>
                <w:color w:val="08243A"/>
                <w:sz w:val="18"/>
              </w:rPr>
              <w:t>patch_pct / vuln_sla_pct</w:t>
            </w:r>
          </w:p>
        </w:tc>
        <w:tc>
          <w:tcPr>
            <w:tcW w:type="dxa" w:w="3744"/>
            <w:shd w:val="clear" w:color="auto" w:fill="E7EEF3"/>
          </w:tcPr>
          <w:p>
            <w:pPr>
              <w:spacing w:before="20" w:after="20"/>
            </w:pPr>
            <w:r>
              <w:rPr>
                <w:rFonts w:ascii="Calibri" w:hAnsi="Calibri"/>
                <w:b w:val="0"/>
                <w:i w:val="0"/>
                <w:color w:val="222A30"/>
                <w:sz w:val="18"/>
              </w:rPr>
              <w:t>Patched / remediated-within-SLA</w:t>
            </w:r>
          </w:p>
        </w:tc>
        <w:tc>
          <w:tcPr>
            <w:tcW w:type="dxa" w:w="2304"/>
            <w:shd w:val="clear" w:color="auto" w:fill="E7EEF3"/>
          </w:tcPr>
          <w:p>
            <w:pPr>
              <w:spacing w:before="20" w:after="20"/>
            </w:pPr>
            <w:r>
              <w:rPr>
                <w:rFonts w:ascii="Calibri" w:hAnsi="Calibri"/>
                <w:b w:val="0"/>
                <w:i w:val="0"/>
                <w:color w:val="222A30"/>
                <w:sz w:val="18"/>
              </w:rPr>
              <w:t>Tenable / Qualys</w:t>
            </w:r>
          </w:p>
        </w:tc>
      </w:tr>
      <w:tr>
        <w:tc>
          <w:tcPr>
            <w:tcW w:type="dxa" w:w="3312"/>
          </w:tcPr>
          <w:p>
            <w:pPr>
              <w:spacing w:before="20" w:after="20"/>
            </w:pPr>
            <w:r>
              <w:rPr>
                <w:rFonts w:ascii="Calibri" w:hAnsi="Calibri"/>
                <w:b/>
                <w:i w:val="0"/>
                <w:color w:val="08243A"/>
                <w:sz w:val="18"/>
              </w:rPr>
              <w:t>phishing_pct / training_pct / bec_blocked</w:t>
            </w:r>
          </w:p>
        </w:tc>
        <w:tc>
          <w:tcPr>
            <w:tcW w:type="dxa" w:w="3744"/>
          </w:tcPr>
          <w:p>
            <w:pPr>
              <w:spacing w:before="20" w:after="20"/>
            </w:pPr>
            <w:r>
              <w:rPr>
                <w:rFonts w:ascii="Calibri" w:hAnsi="Calibri"/>
                <w:b w:val="0"/>
                <w:i w:val="0"/>
                <w:color w:val="222A30"/>
                <w:sz w:val="18"/>
              </w:rPr>
              <w:t>Click rate / training / BEC blocked</w:t>
            </w:r>
          </w:p>
        </w:tc>
        <w:tc>
          <w:tcPr>
            <w:tcW w:type="dxa" w:w="2304"/>
          </w:tcPr>
          <w:p>
            <w:pPr>
              <w:spacing w:before="20" w:after="20"/>
            </w:pPr>
            <w:r>
              <w:rPr>
                <w:rFonts w:ascii="Calibri" w:hAnsi="Calibri"/>
                <w:b w:val="0"/>
                <w:i w:val="0"/>
                <w:color w:val="222A30"/>
                <w:sz w:val="18"/>
              </w:rPr>
              <w:t>KnowBe4 · Proofpoint</w:t>
            </w:r>
          </w:p>
        </w:tc>
      </w:tr>
      <w:tr>
        <w:tc>
          <w:tcPr>
            <w:tcW w:type="dxa" w:w="3312"/>
            <w:shd w:val="clear" w:color="auto" w:fill="E7EEF3"/>
          </w:tcPr>
          <w:p>
            <w:pPr>
              <w:spacing w:before="20" w:after="20"/>
            </w:pPr>
            <w:r>
              <w:rPr>
                <w:rFonts w:ascii="Calibri" w:hAnsi="Calibri"/>
                <w:b/>
                <w:i w:val="0"/>
                <w:color w:val="08243A"/>
                <w:sz w:val="18"/>
              </w:rPr>
              <w:t>cspm_pct</w:t>
            </w:r>
          </w:p>
        </w:tc>
        <w:tc>
          <w:tcPr>
            <w:tcW w:type="dxa" w:w="3744"/>
            <w:shd w:val="clear" w:color="auto" w:fill="E7EEF3"/>
          </w:tcPr>
          <w:p>
            <w:pPr>
              <w:spacing w:before="20" w:after="20"/>
            </w:pPr>
            <w:r>
              <w:rPr>
                <w:rFonts w:ascii="Calibri" w:hAnsi="Calibri"/>
                <w:b w:val="0"/>
                <w:i w:val="0"/>
                <w:color w:val="222A30"/>
                <w:sz w:val="18"/>
              </w:rPr>
              <w:t>Cloud posture checks passing</w:t>
            </w:r>
          </w:p>
        </w:tc>
        <w:tc>
          <w:tcPr>
            <w:tcW w:type="dxa" w:w="2304"/>
            <w:shd w:val="clear" w:color="auto" w:fill="E7EEF3"/>
          </w:tcPr>
          <w:p>
            <w:pPr>
              <w:spacing w:before="20" w:after="20"/>
            </w:pPr>
            <w:r>
              <w:rPr>
                <w:rFonts w:ascii="Calibri" w:hAnsi="Calibri"/>
                <w:b w:val="0"/>
                <w:i w:val="0"/>
                <w:color w:val="222A30"/>
                <w:sz w:val="18"/>
              </w:rPr>
              <w:t>Wiz / Prisma / AWS / Azure / GCP</w:t>
            </w:r>
          </w:p>
        </w:tc>
      </w:tr>
      <w:tr>
        <w:tc>
          <w:tcPr>
            <w:tcW w:type="dxa" w:w="3312"/>
          </w:tcPr>
          <w:p>
            <w:pPr>
              <w:spacing w:before="20" w:after="20"/>
            </w:pPr>
            <w:r>
              <w:rPr>
                <w:rFonts w:ascii="Calibri" w:hAnsi="Calibri"/>
                <w:b/>
                <w:i w:val="0"/>
                <w:color w:val="08243A"/>
                <w:sz w:val="18"/>
              </w:rPr>
              <w:t>backup_immutable_pct / dr_test_days / rpo_minutes</w:t>
            </w:r>
          </w:p>
        </w:tc>
        <w:tc>
          <w:tcPr>
            <w:tcW w:type="dxa" w:w="3744"/>
          </w:tcPr>
          <w:p>
            <w:pPr>
              <w:spacing w:before="20" w:after="20"/>
            </w:pPr>
            <w:r>
              <w:rPr>
                <w:rFonts w:ascii="Calibri" w:hAnsi="Calibri"/>
                <w:b w:val="0"/>
                <w:i w:val="0"/>
                <w:color w:val="222A30"/>
                <w:sz w:val="18"/>
              </w:rPr>
              <w:t>Backups / DR-test age / RPO</w:t>
            </w:r>
          </w:p>
        </w:tc>
        <w:tc>
          <w:tcPr>
            <w:tcW w:type="dxa" w:w="2304"/>
          </w:tcPr>
          <w:p>
            <w:pPr>
              <w:spacing w:before="20" w:after="20"/>
            </w:pPr>
            <w:r>
              <w:rPr>
                <w:rFonts w:ascii="Calibri" w:hAnsi="Calibri"/>
                <w:b w:val="0"/>
                <w:i w:val="0"/>
                <w:color w:val="222A30"/>
                <w:sz w:val="18"/>
              </w:rPr>
              <w:t>Rubrik</w:t>
            </w:r>
          </w:p>
        </w:tc>
      </w:tr>
      <w:tr>
        <w:tc>
          <w:tcPr>
            <w:tcW w:type="dxa" w:w="3312"/>
            <w:shd w:val="clear" w:color="auto" w:fill="E7EEF3"/>
          </w:tcPr>
          <w:p>
            <w:pPr>
              <w:spacing w:before="20" w:after="20"/>
            </w:pPr>
            <w:r>
              <w:rPr>
                <w:rFonts w:ascii="Calibri" w:hAnsi="Calibri"/>
                <w:b/>
                <w:i w:val="0"/>
                <w:color w:val="08243A"/>
                <w:sz w:val="18"/>
              </w:rPr>
              <w:t>sod_conflicts / change_pass_pct / payment_anomalies</w:t>
            </w:r>
          </w:p>
        </w:tc>
        <w:tc>
          <w:tcPr>
            <w:tcW w:type="dxa" w:w="3744"/>
            <w:shd w:val="clear" w:color="auto" w:fill="E7EEF3"/>
          </w:tcPr>
          <w:p>
            <w:pPr>
              <w:spacing w:before="20" w:after="20"/>
            </w:pPr>
            <w:r>
              <w:rPr>
                <w:rFonts w:ascii="Calibri" w:hAnsi="Calibri"/>
                <w:b w:val="0"/>
                <w:i w:val="0"/>
                <w:color w:val="222A30"/>
                <w:sz w:val="18"/>
              </w:rPr>
              <w:t>SoD / change control / anomalies</w:t>
            </w:r>
          </w:p>
        </w:tc>
        <w:tc>
          <w:tcPr>
            <w:tcW w:type="dxa" w:w="2304"/>
            <w:shd w:val="clear" w:color="auto" w:fill="E7EEF3"/>
          </w:tcPr>
          <w:p>
            <w:pPr>
              <w:spacing w:before="20" w:after="20"/>
            </w:pPr>
            <w:r>
              <w:rPr>
                <w:rFonts w:ascii="Calibri" w:hAnsi="Calibri"/>
                <w:b w:val="0"/>
                <w:i w:val="0"/>
                <w:color w:val="222A30"/>
                <w:sz w:val="18"/>
              </w:rPr>
              <w:t>SAP GRC</w:t>
            </w:r>
          </w:p>
        </w:tc>
      </w:tr>
      <w:tr>
        <w:tc>
          <w:tcPr>
            <w:tcW w:type="dxa" w:w="3312"/>
          </w:tcPr>
          <w:p>
            <w:pPr>
              <w:spacing w:before="20" w:after="20"/>
            </w:pPr>
            <w:r>
              <w:rPr>
                <w:rFonts w:ascii="Calibri" w:hAnsi="Calibri"/>
                <w:b/>
                <w:i w:val="0"/>
                <w:color w:val="08243A"/>
                <w:sz w:val="18"/>
              </w:rPr>
              <w:t>dsar_open / dsar_overdue / legal_holds</w:t>
            </w:r>
          </w:p>
        </w:tc>
        <w:tc>
          <w:tcPr>
            <w:tcW w:type="dxa" w:w="3744"/>
          </w:tcPr>
          <w:p>
            <w:pPr>
              <w:spacing w:before="20" w:after="20"/>
            </w:pPr>
            <w:r>
              <w:rPr>
                <w:rFonts w:ascii="Calibri" w:hAnsi="Calibri"/>
                <w:b w:val="0"/>
                <w:i w:val="0"/>
                <w:color w:val="222A30"/>
                <w:sz w:val="18"/>
              </w:rPr>
              <w:t>Privacy requests / overdue / holds</w:t>
            </w:r>
          </w:p>
        </w:tc>
        <w:tc>
          <w:tcPr>
            <w:tcW w:type="dxa" w:w="2304"/>
          </w:tcPr>
          <w:p>
            <w:pPr>
              <w:spacing w:before="20" w:after="20"/>
            </w:pPr>
            <w:r>
              <w:rPr>
                <w:rFonts w:ascii="Calibri" w:hAnsi="Calibri"/>
                <w:b w:val="0"/>
                <w:i w:val="0"/>
                <w:color w:val="222A30"/>
                <w:sz w:val="18"/>
              </w:rPr>
              <w:t>OneTrust / TrustArc</w:t>
            </w:r>
          </w:p>
        </w:tc>
      </w:tr>
      <w:tr>
        <w:tc>
          <w:tcPr>
            <w:tcW w:type="dxa" w:w="3312"/>
            <w:shd w:val="clear" w:color="auto" w:fill="E7EEF3"/>
          </w:tcPr>
          <w:p>
            <w:pPr>
              <w:spacing w:before="20" w:after="20"/>
            </w:pPr>
            <w:r>
              <w:rPr>
                <w:rFonts w:ascii="Calibri" w:hAnsi="Calibri"/>
                <w:b/>
                <w:i w:val="0"/>
                <w:color w:val="08243A"/>
                <w:sz w:val="18"/>
              </w:rPr>
              <w:t>threat_actors_active / exploited_cves</w:t>
            </w:r>
          </w:p>
        </w:tc>
        <w:tc>
          <w:tcPr>
            <w:tcW w:type="dxa" w:w="3744"/>
            <w:shd w:val="clear" w:color="auto" w:fill="E7EEF3"/>
          </w:tcPr>
          <w:p>
            <w:pPr>
              <w:spacing w:before="20" w:after="20"/>
            </w:pPr>
            <w:r>
              <w:rPr>
                <w:rFonts w:ascii="Calibri" w:hAnsi="Calibri"/>
                <w:b w:val="0"/>
                <w:i w:val="0"/>
                <w:color w:val="222A30"/>
                <w:sz w:val="18"/>
              </w:rPr>
              <w:t>Sector actors / exploited CVEs</w:t>
            </w:r>
          </w:p>
        </w:tc>
        <w:tc>
          <w:tcPr>
            <w:tcW w:type="dxa" w:w="2304"/>
            <w:shd w:val="clear" w:color="auto" w:fill="E7EEF3"/>
          </w:tcPr>
          <w:p>
            <w:pPr>
              <w:spacing w:before="20" w:after="20"/>
            </w:pPr>
            <w:r>
              <w:rPr>
                <w:rFonts w:ascii="Calibri" w:hAnsi="Calibri"/>
                <w:b w:val="0"/>
                <w:i w:val="0"/>
                <w:color w:val="222A30"/>
                <w:sz w:val="18"/>
              </w:rPr>
              <w:t>Recorded Future · CISA KEV</w:t>
            </w:r>
          </w:p>
        </w:tc>
      </w:tr>
      <w:tr>
        <w:tc>
          <w:tcPr>
            <w:tcW w:type="dxa" w:w="3312"/>
          </w:tcPr>
          <w:p>
            <w:pPr>
              <w:spacing w:before="20" w:after="20"/>
            </w:pPr>
            <w:r>
              <w:rPr>
                <w:rFonts w:ascii="Calibri" w:hAnsi="Calibri"/>
                <w:b/>
                <w:i w:val="0"/>
                <w:color w:val="08243A"/>
                <w:sz w:val="18"/>
              </w:rPr>
              <w:t>code_scanning_open / dependabot_critical</w:t>
            </w:r>
          </w:p>
        </w:tc>
        <w:tc>
          <w:tcPr>
            <w:tcW w:type="dxa" w:w="3744"/>
          </w:tcPr>
          <w:p>
            <w:pPr>
              <w:spacing w:before="20" w:after="20"/>
            </w:pPr>
            <w:r>
              <w:rPr>
                <w:rFonts w:ascii="Calibri" w:hAnsi="Calibri"/>
                <w:b w:val="0"/>
                <w:i w:val="0"/>
                <w:color w:val="222A30"/>
                <w:sz w:val="18"/>
              </w:rPr>
              <w:t>SAST / critical dependency alerts</w:t>
            </w:r>
          </w:p>
        </w:tc>
        <w:tc>
          <w:tcPr>
            <w:tcW w:type="dxa" w:w="2304"/>
          </w:tcPr>
          <w:p>
            <w:pPr>
              <w:spacing w:before="20" w:after="20"/>
            </w:pPr>
            <w:r>
              <w:rPr>
                <w:rFonts w:ascii="Calibri" w:hAnsi="Calibri"/>
                <w:b w:val="0"/>
                <w:i w:val="0"/>
                <w:color w:val="222A30"/>
                <w:sz w:val="18"/>
              </w:rPr>
              <w:t>GitHub</w:t>
            </w:r>
          </w:p>
        </w:tc>
      </w:tr>
      <w:tr>
        <w:tc>
          <w:tcPr>
            <w:tcW w:type="dxa" w:w="3312"/>
            <w:shd w:val="clear" w:color="auto" w:fill="E7EEF3"/>
          </w:tcPr>
          <w:p>
            <w:pPr>
              <w:spacing w:before="20" w:after="20"/>
            </w:pPr>
            <w:r>
              <w:rPr>
                <w:rFonts w:ascii="Calibri" w:hAnsi="Calibri"/>
                <w:b/>
                <w:i w:val="0"/>
                <w:color w:val="08243A"/>
                <w:sz w:val="18"/>
              </w:rPr>
              <w:t>audit_findings_open / _repeat</w:t>
            </w:r>
          </w:p>
        </w:tc>
        <w:tc>
          <w:tcPr>
            <w:tcW w:type="dxa" w:w="3744"/>
            <w:shd w:val="clear" w:color="auto" w:fill="E7EEF3"/>
          </w:tcPr>
          <w:p>
            <w:pPr>
              <w:spacing w:before="20" w:after="20"/>
            </w:pPr>
            <w:r>
              <w:rPr>
                <w:rFonts w:ascii="Calibri" w:hAnsi="Calibri"/>
                <w:b w:val="0"/>
                <w:i w:val="0"/>
                <w:color w:val="222A30"/>
                <w:sz w:val="18"/>
              </w:rPr>
              <w:t>Open / recurring audit findings</w:t>
            </w:r>
          </w:p>
        </w:tc>
        <w:tc>
          <w:tcPr>
            <w:tcW w:type="dxa" w:w="2304"/>
            <w:shd w:val="clear" w:color="auto" w:fill="E7EEF3"/>
          </w:tcPr>
          <w:p>
            <w:pPr>
              <w:spacing w:before="20" w:after="20"/>
            </w:pPr>
            <w:r>
              <w:rPr>
                <w:rFonts w:ascii="Calibri" w:hAnsi="Calibri"/>
                <w:b w:val="0"/>
                <w:i w:val="0"/>
                <w:color w:val="222A30"/>
                <w:sz w:val="18"/>
              </w:rPr>
              <w:t>ServiceNow GRC</w:t>
            </w:r>
          </w:p>
        </w:tc>
      </w:tr>
    </w:tbl>
    <w:p>
      <w:pPr>
        <w:spacing w:after="40"/>
      </w:pPr>
    </w:p>
    <w:p>
      <w:pPr>
        <w:spacing w:before="260" w:after="60"/>
        <w:outlineLvl w:val="1"/>
      </w:pPr>
      <w:r>
        <w:rPr>
          <w:rFonts w:ascii="Georgia" w:hAnsi="Georgia"/>
          <w:b/>
          <w:i w:val="0"/>
          <w:color w:val="2FA3D6"/>
          <w:sz w:val="28"/>
        </w:rPr>
        <w:t xml:space="preserve">7.3  </w:t>
      </w:r>
      <w:r>
        <w:rPr>
          <w:rFonts w:ascii="Georgia" w:hAnsi="Georgia"/>
          <w:b/>
          <w:i w:val="0"/>
          <w:color w:val="1A5FA0"/>
          <w:sz w:val="28"/>
        </w:rPr>
        <w:t>Live vs demo vs not-connected</w:t>
      </w:r>
    </w:p>
    <w:p>
      <w:pPr>
        <w:pStyle w:val="ListBullet"/>
        <w:spacing w:after="40"/>
        <w:ind w:left="432"/>
      </w:pPr>
      <w:r>
        <w:rPr>
          <w:rFonts w:ascii="Calibri" w:hAnsi="Calibri"/>
          <w:b/>
          <w:i w:val="0"/>
          <w:color w:val="08243A"/>
          <w:sz w:val="21"/>
        </w:rPr>
        <w:t xml:space="preserve">Live:  </w:t>
      </w:r>
      <w:r>
        <w:rPr>
          <w:rFonts w:ascii="Calibri" w:hAnsi="Calibri"/>
          <w:b w:val="0"/>
          <w:i w:val="0"/>
          <w:color w:val="222A30"/>
          <w:sz w:val="21"/>
        </w:rPr>
        <w:t>read from a real connected tool right now — a green “● live · &lt;vendor&gt;” pill.</w:t>
      </w:r>
    </w:p>
    <w:p>
      <w:pPr>
        <w:pStyle w:val="ListBullet"/>
        <w:spacing w:after="40"/>
        <w:ind w:left="432"/>
      </w:pPr>
      <w:r>
        <w:rPr>
          <w:rFonts w:ascii="Calibri" w:hAnsi="Calibri"/>
          <w:b/>
          <w:i w:val="0"/>
          <w:color w:val="08243A"/>
          <w:sz w:val="21"/>
        </w:rPr>
        <w:t xml:space="preserve">Demo:  </w:t>
      </w:r>
      <w:r>
        <w:rPr>
          <w:rFonts w:ascii="Calibri" w:hAnsi="Calibri"/>
          <w:b w:val="0"/>
          <w:i w:val="0"/>
          <w:color w:val="222A30"/>
          <w:sz w:val="21"/>
        </w:rPr>
        <w:t>a demo-mode tool with no API key; values simulated, marked “◐ demo”. Never counted as real.</w:t>
      </w:r>
    </w:p>
    <w:p>
      <w:pPr>
        <w:pStyle w:val="ListBullet"/>
        <w:spacing w:after="40"/>
        <w:ind w:left="432"/>
      </w:pPr>
      <w:r>
        <w:rPr>
          <w:rFonts w:ascii="Calibri" w:hAnsi="Calibri"/>
          <w:b/>
          <w:i w:val="0"/>
          <w:color w:val="08243A"/>
          <w:sz w:val="21"/>
        </w:rPr>
        <w:t xml:space="preserve">Not connected:  </w:t>
      </w:r>
      <w:r>
        <w:rPr>
          <w:rFonts w:ascii="Calibri" w:hAnsi="Calibri"/>
          <w:b w:val="0"/>
          <w:i w:val="0"/>
          <w:color w:val="222A30"/>
          <w:sz w:val="21"/>
        </w:rPr>
        <w:t>no matching tool — the metric shows the honest not-connected state with the exact tool to connect.</w:t>
      </w:r>
    </w:p>
    <w:p>
      <w:r>
        <w:br w:type="page"/>
      </w:r>
    </w:p>
    <w:p>
      <w:pPr>
        <w:spacing w:after="0"/>
      </w:pPr>
      <w:r>
        <w:rPr>
          <w:rFonts w:ascii="Calibri" w:hAnsi="Calibri"/>
          <w:b/>
          <w:i w:val="0"/>
          <w:caps/>
          <w:color w:val="2FA3D6"/>
          <w:sz w:val="18"/>
          <w:spacing w:val="40"/>
        </w:rPr>
        <w:t>CHAPTER 08</w:t>
      </w:r>
    </w:p>
    <w:p>
      <w:pPr>
        <w:spacing w:after="200"/>
        <w:pBdr>
          <w:bottom w:val="single" w:sz="12" w:space="6" w:color="08243A"/>
        </w:pBdr>
        <w:outlineLvl w:val="0"/>
      </w:pPr>
      <w:r>
        <w:rPr>
          <w:rFonts w:ascii="Georgia" w:hAnsi="Georgia"/>
          <w:b/>
          <w:i w:val="0"/>
          <w:color w:val="08243A"/>
          <w:sz w:val="44"/>
        </w:rPr>
        <w:t>Frameworks &amp; Key Workflows</w:t>
      </w:r>
    </w:p>
    <w:p>
      <w:pPr>
        <w:spacing w:before="260" w:after="60"/>
        <w:outlineLvl w:val="1"/>
      </w:pPr>
      <w:r>
        <w:rPr>
          <w:rFonts w:ascii="Georgia" w:hAnsi="Georgia"/>
          <w:b/>
          <w:i w:val="0"/>
          <w:color w:val="2FA3D6"/>
          <w:sz w:val="28"/>
        </w:rPr>
        <w:t xml:space="preserve">8.1  </w:t>
      </w:r>
      <w:r>
        <w:rPr>
          <w:rFonts w:ascii="Georgia" w:hAnsi="Georgia"/>
          <w:b/>
          <w:i w:val="0"/>
          <w:color w:val="1A5FA0"/>
          <w:sz w:val="28"/>
        </w:rPr>
        <w:t>The Frameworks tab (CISO)</w:t>
      </w:r>
    </w:p>
    <w:p>
      <w:pPr>
        <w:spacing w:before="200" w:after="60"/>
      </w:pPr>
      <w:r>
        <w:rPr>
          <w:rFonts w:ascii="Calibri" w:hAnsi="Calibri"/>
          <w:b/>
          <w:i w:val="0"/>
          <w:caps/>
          <w:color w:val="2FA3D6"/>
          <w:sz w:val="17"/>
          <w:spacing w:val="18"/>
        </w:rPr>
        <w:t xml:space="preserve">EXHIBIT — </w:t>
      </w:r>
      <w:r>
        <w:rPr>
          <w:rFonts w:ascii="Calibri" w:hAnsi="Calibri"/>
          <w:b/>
          <w:i w:val="0"/>
          <w:caps/>
          <w:color w:val="5B6B76"/>
          <w:sz w:val="17"/>
          <w:spacing w:val="18"/>
        </w:rPr>
        <w:t>Supported frameworks</w:t>
      </w:r>
    </w:p>
    <w:tbl>
      <w:tblPr>
        <w:tblW w:type="auto" w:w="0"/>
        <w:jc w:val="center"/>
        <w:tblLook w:firstColumn="1" w:firstRow="1" w:lastColumn="0" w:lastRow="0" w:noHBand="0" w:noVBand="1" w:val="04A0"/>
      </w:tblPr>
      <w:tblGrid>
        <w:gridCol w:w="3120"/>
        <w:gridCol w:w="3120"/>
        <w:gridCol w:w="3120"/>
      </w:tblGrid>
      <w:tr>
        <w:tc>
          <w:tcPr>
            <w:tcW w:type="dxa" w:w="2736"/>
            <w:shd w:val="clear" w:color="auto" w:fill="08243A"/>
          </w:tcPr>
          <w:p>
            <w:pPr>
              <w:spacing w:before="40" w:after="40"/>
            </w:pPr>
            <w:r>
              <w:rPr>
                <w:rFonts w:ascii="Calibri" w:hAnsi="Calibri"/>
                <w:b/>
                <w:i w:val="0"/>
                <w:color w:val="FFFFFF"/>
                <w:sz w:val="18"/>
              </w:rPr>
              <w:t>Framework</w:t>
            </w:r>
          </w:p>
        </w:tc>
        <w:tc>
          <w:tcPr>
            <w:tcW w:type="dxa" w:w="4320"/>
            <w:shd w:val="clear" w:color="auto" w:fill="08243A"/>
          </w:tcPr>
          <w:p>
            <w:pPr>
              <w:spacing w:before="40" w:after="40"/>
            </w:pPr>
            <w:r>
              <w:rPr>
                <w:rFonts w:ascii="Calibri" w:hAnsi="Calibri"/>
                <w:b/>
                <w:i w:val="0"/>
                <w:color w:val="FFFFFF"/>
                <w:sz w:val="18"/>
              </w:rPr>
              <w:t>Structure</w:t>
            </w:r>
          </w:p>
        </w:tc>
        <w:tc>
          <w:tcPr>
            <w:tcW w:type="dxa" w:w="2304"/>
            <w:shd w:val="clear" w:color="auto" w:fill="08243A"/>
          </w:tcPr>
          <w:p>
            <w:pPr>
              <w:spacing w:before="40" w:after="40"/>
            </w:pPr>
            <w:r>
              <w:rPr>
                <w:rFonts w:ascii="Calibri" w:hAnsi="Calibri"/>
                <w:b/>
                <w:i w:val="0"/>
                <w:color w:val="FFFFFF"/>
                <w:sz w:val="18"/>
              </w:rPr>
              <w:t>Scale</w:t>
            </w:r>
          </w:p>
        </w:tc>
      </w:tr>
      <w:tr>
        <w:tc>
          <w:tcPr>
            <w:tcW w:type="dxa" w:w="2736"/>
          </w:tcPr>
          <w:p>
            <w:pPr>
              <w:spacing w:before="20" w:after="20"/>
            </w:pPr>
            <w:r>
              <w:rPr>
                <w:rFonts w:ascii="Calibri" w:hAnsi="Calibri"/>
                <w:b/>
                <w:i w:val="0"/>
                <w:color w:val="08243A"/>
                <w:sz w:val="18"/>
              </w:rPr>
              <w:t>NIST CSF 2.0</w:t>
            </w:r>
          </w:p>
        </w:tc>
        <w:tc>
          <w:tcPr>
            <w:tcW w:type="dxa" w:w="4320"/>
          </w:tcPr>
          <w:p>
            <w:pPr>
              <w:spacing w:before="20" w:after="20"/>
            </w:pPr>
            <w:r>
              <w:rPr>
                <w:rFonts w:ascii="Calibri" w:hAnsi="Calibri"/>
                <w:b w:val="0"/>
                <w:i w:val="0"/>
                <w:color w:val="222A30"/>
                <w:sz w:val="18"/>
              </w:rPr>
              <w:t>6 functions · 22 categories · 106 controls</w:t>
            </w:r>
          </w:p>
        </w:tc>
        <w:tc>
          <w:tcPr>
            <w:tcW w:type="dxa" w:w="2304"/>
          </w:tcPr>
          <w:p>
            <w:pPr>
              <w:spacing w:before="20" w:after="20"/>
            </w:pPr>
            <w:r>
              <w:rPr>
                <w:rFonts w:ascii="Calibri" w:hAnsi="Calibri"/>
                <w:b w:val="0"/>
                <w:i w:val="0"/>
                <w:color w:val="222A30"/>
                <w:sz w:val="18"/>
              </w:rPr>
              <w:t>CMMI 0–5 per control</w:t>
            </w:r>
          </w:p>
        </w:tc>
      </w:tr>
      <w:tr>
        <w:tc>
          <w:tcPr>
            <w:tcW w:type="dxa" w:w="2736"/>
            <w:shd w:val="clear" w:color="auto" w:fill="E7EEF3"/>
          </w:tcPr>
          <w:p>
            <w:pPr>
              <w:spacing w:before="20" w:after="20"/>
            </w:pPr>
            <w:r>
              <w:rPr>
                <w:rFonts w:ascii="Calibri" w:hAnsi="Calibri"/>
                <w:b/>
                <w:i w:val="0"/>
                <w:color w:val="08243A"/>
                <w:sz w:val="18"/>
              </w:rPr>
              <w:t>NIST SP 800-53 Rev 5</w:t>
            </w:r>
          </w:p>
        </w:tc>
        <w:tc>
          <w:tcPr>
            <w:tcW w:type="dxa" w:w="4320"/>
            <w:shd w:val="clear" w:color="auto" w:fill="E7EEF3"/>
          </w:tcPr>
          <w:p>
            <w:pPr>
              <w:spacing w:before="20" w:after="20"/>
            </w:pPr>
            <w:r>
              <w:rPr>
                <w:rFonts w:ascii="Calibri" w:hAnsi="Calibri"/>
                <w:b w:val="0"/>
                <w:i w:val="0"/>
                <w:color w:val="222A30"/>
                <w:sz w:val="18"/>
              </w:rPr>
              <w:t>20 families · 322 controls</w:t>
            </w:r>
          </w:p>
        </w:tc>
        <w:tc>
          <w:tcPr>
            <w:tcW w:type="dxa" w:w="2304"/>
            <w:shd w:val="clear" w:color="auto" w:fill="E7EEF3"/>
          </w:tcPr>
          <w:p>
            <w:pPr>
              <w:spacing w:before="20" w:after="20"/>
            </w:pPr>
            <w:r>
              <w:rPr>
                <w:rFonts w:ascii="Calibri" w:hAnsi="Calibri"/>
                <w:b w:val="0"/>
                <w:i w:val="0"/>
                <w:color w:val="222A30"/>
                <w:sz w:val="18"/>
              </w:rPr>
              <w:t>CMMI 0–5</w:t>
            </w:r>
          </w:p>
        </w:tc>
      </w:tr>
      <w:tr>
        <w:tc>
          <w:tcPr>
            <w:tcW w:type="dxa" w:w="2736"/>
          </w:tcPr>
          <w:p>
            <w:pPr>
              <w:spacing w:before="20" w:after="20"/>
            </w:pPr>
            <w:r>
              <w:rPr>
                <w:rFonts w:ascii="Calibri" w:hAnsi="Calibri"/>
                <w:b/>
                <w:i w:val="0"/>
                <w:color w:val="08243A"/>
                <w:sz w:val="18"/>
              </w:rPr>
              <w:t>CIS Controls v8</w:t>
            </w:r>
          </w:p>
        </w:tc>
        <w:tc>
          <w:tcPr>
            <w:tcW w:type="dxa" w:w="4320"/>
          </w:tcPr>
          <w:p>
            <w:pPr>
              <w:spacing w:before="20" w:after="20"/>
            </w:pPr>
            <w:r>
              <w:rPr>
                <w:rFonts w:ascii="Calibri" w:hAnsi="Calibri"/>
                <w:b w:val="0"/>
                <w:i w:val="0"/>
                <w:color w:val="222A30"/>
                <w:sz w:val="18"/>
              </w:rPr>
              <w:t>18 controls · safeguards</w:t>
            </w:r>
          </w:p>
        </w:tc>
        <w:tc>
          <w:tcPr>
            <w:tcW w:type="dxa" w:w="2304"/>
          </w:tcPr>
          <w:p>
            <w:pPr>
              <w:spacing w:before="20" w:after="20"/>
            </w:pPr>
            <w:r>
              <w:rPr>
                <w:rFonts w:ascii="Calibri" w:hAnsi="Calibri"/>
                <w:b w:val="0"/>
                <w:i w:val="0"/>
                <w:color w:val="222A30"/>
                <w:sz w:val="18"/>
              </w:rPr>
              <w:t>crosswalked to CSF</w:t>
            </w:r>
          </w:p>
        </w:tc>
      </w:tr>
      <w:tr>
        <w:tc>
          <w:tcPr>
            <w:tcW w:type="dxa" w:w="2736"/>
            <w:shd w:val="clear" w:color="auto" w:fill="E7EEF3"/>
          </w:tcPr>
          <w:p>
            <w:pPr>
              <w:spacing w:before="20" w:after="20"/>
            </w:pPr>
            <w:r>
              <w:rPr>
                <w:rFonts w:ascii="Calibri" w:hAnsi="Calibri"/>
                <w:b/>
                <w:i w:val="0"/>
                <w:color w:val="08243A"/>
                <w:sz w:val="18"/>
              </w:rPr>
              <w:t>SOC 2 (TSC)</w:t>
            </w:r>
          </w:p>
        </w:tc>
        <w:tc>
          <w:tcPr>
            <w:tcW w:type="dxa" w:w="4320"/>
            <w:shd w:val="clear" w:color="auto" w:fill="E7EEF3"/>
          </w:tcPr>
          <w:p>
            <w:pPr>
              <w:spacing w:before="20" w:after="20"/>
            </w:pPr>
            <w:r>
              <w:rPr>
                <w:rFonts w:ascii="Calibri" w:hAnsi="Calibri"/>
                <w:b w:val="0"/>
                <w:i w:val="0"/>
                <w:color w:val="222A30"/>
                <w:sz w:val="18"/>
              </w:rPr>
              <w:t>13 groups · 57 criteria</w:t>
            </w:r>
          </w:p>
        </w:tc>
        <w:tc>
          <w:tcPr>
            <w:tcW w:type="dxa" w:w="2304"/>
            <w:shd w:val="clear" w:color="auto" w:fill="E7EEF3"/>
          </w:tcPr>
          <w:p>
            <w:pPr>
              <w:spacing w:before="20" w:after="20"/>
            </w:pPr>
            <w:r>
              <w:rPr>
                <w:rFonts w:ascii="Calibri" w:hAnsi="Calibri"/>
                <w:b w:val="0"/>
                <w:i w:val="0"/>
                <w:color w:val="222A30"/>
                <w:sz w:val="18"/>
              </w:rPr>
              <w:t>crosswalk (readiness, not an opinion)</w:t>
            </w:r>
          </w:p>
        </w:tc>
      </w:tr>
      <w:tr>
        <w:tc>
          <w:tcPr>
            <w:tcW w:type="dxa" w:w="2736"/>
          </w:tcPr>
          <w:p>
            <w:pPr>
              <w:spacing w:before="20" w:after="20"/>
            </w:pPr>
            <w:r>
              <w:rPr>
                <w:rFonts w:ascii="Calibri" w:hAnsi="Calibri"/>
                <w:b/>
                <w:i w:val="0"/>
                <w:color w:val="08243A"/>
                <w:sz w:val="18"/>
              </w:rPr>
              <w:t>HIPAA Security Rule</w:t>
            </w:r>
          </w:p>
        </w:tc>
        <w:tc>
          <w:tcPr>
            <w:tcW w:type="dxa" w:w="4320"/>
          </w:tcPr>
          <w:p>
            <w:pPr>
              <w:spacing w:before="20" w:after="20"/>
            </w:pPr>
            <w:r>
              <w:rPr>
                <w:rFonts w:ascii="Calibri" w:hAnsi="Calibri"/>
                <w:b w:val="0"/>
                <w:i w:val="0"/>
                <w:color w:val="222A30"/>
                <w:sz w:val="18"/>
              </w:rPr>
              <w:t>5 sections · 22 specs</w:t>
            </w:r>
          </w:p>
        </w:tc>
        <w:tc>
          <w:tcPr>
            <w:tcW w:type="dxa" w:w="2304"/>
          </w:tcPr>
          <w:p>
            <w:pPr>
              <w:spacing w:before="20" w:after="20"/>
            </w:pPr>
            <w:r>
              <w:rPr>
                <w:rFonts w:ascii="Calibri" w:hAnsi="Calibri"/>
                <w:b w:val="0"/>
                <w:i w:val="0"/>
                <w:color w:val="222A30"/>
                <w:sz w:val="18"/>
              </w:rPr>
              <w:t>crosswalk via NIST SP 800-66r2</w:t>
            </w:r>
          </w:p>
        </w:tc>
      </w:tr>
    </w:tbl>
    <w:p>
      <w:pPr>
        <w:spacing w:after="40"/>
      </w:pPr>
    </w:p>
    <w:p>
      <w:pPr>
        <w:spacing w:before="0" w:after="120"/>
      </w:pPr>
      <w:r>
        <w:rPr>
          <w:rFonts w:ascii="Calibri" w:hAnsi="Calibri"/>
          <w:b w:val="0"/>
          <w:i w:val="0"/>
          <w:color w:val="222A30"/>
          <w:sz w:val="21"/>
        </w:rPr>
        <w:t>Each control’s maturity (CMMI 0–5) is the higher of a document-review score (policies analyzed at onboarding) and a live tool-coverage score (deployment % → CMMI). A provenance icon shows whether a control is evidenced by a document, a connected tool, or not yet. Point-in-time audit is replaced by continuous monitoring; selecting a control opens an auditor workpaper (methodology, findings, recommendation, evidence) exportable as a PDF.</w:t>
      </w:r>
    </w:p>
    <w:p>
      <w:pPr>
        <w:spacing w:before="260" w:after="60"/>
        <w:outlineLvl w:val="1"/>
      </w:pPr>
      <w:r>
        <w:rPr>
          <w:rFonts w:ascii="Georgia" w:hAnsi="Georgia"/>
          <w:b/>
          <w:i w:val="0"/>
          <w:color w:val="2FA3D6"/>
          <w:sz w:val="28"/>
        </w:rPr>
        <w:t xml:space="preserve">8.2  </w:t>
      </w:r>
      <w:r>
        <w:rPr>
          <w:rFonts w:ascii="Georgia" w:hAnsi="Georgia"/>
          <w:b/>
          <w:i w:val="0"/>
          <w:color w:val="1A5FA0"/>
          <w:sz w:val="28"/>
        </w:rPr>
        <w:t>Peer benchmark</w:t>
      </w:r>
    </w:p>
    <w:p>
      <w:pPr>
        <w:spacing w:before="0" w:after="120"/>
      </w:pPr>
      <w:r>
        <w:rPr>
          <w:rFonts w:ascii="Calibri" w:hAnsi="Calibri"/>
          <w:b w:val="0"/>
          <w:i w:val="0"/>
          <w:color w:val="222A30"/>
          <w:sz w:val="21"/>
        </w:rPr>
        <w:t>Compare your posture to published industry medians — no data sharing required. Your position (“Top X%”) is the standard-normal percentile of your CMMI vs the baseline; opt in to a k-anonymity-sufficient live cohort to supersede the published baseline.</w:t>
      </w:r>
    </w:p>
    <w:p>
      <w:pPr>
        <w:spacing w:before="260" w:after="60"/>
        <w:outlineLvl w:val="1"/>
      </w:pPr>
      <w:r>
        <w:rPr>
          <w:rFonts w:ascii="Georgia" w:hAnsi="Georgia"/>
          <w:b/>
          <w:i w:val="0"/>
          <w:color w:val="2FA3D6"/>
          <w:sz w:val="28"/>
        </w:rPr>
        <w:t xml:space="preserve">8.3  </w:t>
      </w:r>
      <w:r>
        <w:rPr>
          <w:rFonts w:ascii="Georgia" w:hAnsi="Georgia"/>
          <w:b/>
          <w:i w:val="0"/>
          <w:color w:val="1A5FA0"/>
          <w:sz w:val="28"/>
        </w:rPr>
        <w:t>Board Pack export</w:t>
      </w:r>
    </w:p>
    <w:p>
      <w:pPr>
        <w:spacing w:before="0" w:after="120"/>
      </w:pPr>
      <w:r>
        <w:rPr>
          <w:rFonts w:ascii="Calibri" w:hAnsi="Calibri"/>
          <w:b w:val="0"/>
          <w:i w:val="0"/>
          <w:color w:val="222A30"/>
          <w:sz w:val="21"/>
        </w:rPr>
        <w:t>The Board seat produces a printable board/regulator report — executive summary, the financial statement of cyber risk (ALE, VaR, %-revenue, materiality, insurance), governance &amp; disclosure readiness (SEC Item 106), KRIs, decisions, trajectory and peer comparison — via the browser’s Save-as-PDF, with a live/demo/illustrative banner.</w:t>
      </w:r>
    </w:p>
    <w:p>
      <w:r>
        <w:br w:type="page"/>
      </w:r>
    </w:p>
    <w:p>
      <w:pPr>
        <w:spacing w:after="0"/>
      </w:pPr>
      <w:r>
        <w:rPr>
          <w:rFonts w:ascii="Calibri" w:hAnsi="Calibri"/>
          <w:b/>
          <w:i w:val="0"/>
          <w:caps/>
          <w:color w:val="2FA3D6"/>
          <w:sz w:val="18"/>
          <w:spacing w:val="40"/>
        </w:rPr>
        <w:t>CHAPTER 09</w:t>
      </w:r>
    </w:p>
    <w:p>
      <w:pPr>
        <w:spacing w:after="200"/>
        <w:pBdr>
          <w:bottom w:val="single" w:sz="12" w:space="6" w:color="08243A"/>
        </w:pBdr>
        <w:outlineLvl w:val="0"/>
      </w:pPr>
      <w:r>
        <w:rPr>
          <w:rFonts w:ascii="Georgia" w:hAnsi="Georgia"/>
          <w:b/>
          <w:i w:val="0"/>
          <w:color w:val="08243A"/>
          <w:sz w:val="44"/>
        </w:rPr>
        <w:t>Administration</w:t>
      </w:r>
    </w:p>
    <w:p>
      <w:pPr>
        <w:spacing w:before="260" w:after="60"/>
        <w:outlineLvl w:val="1"/>
      </w:pPr>
      <w:r>
        <w:rPr>
          <w:rFonts w:ascii="Georgia" w:hAnsi="Georgia"/>
          <w:b/>
          <w:i w:val="0"/>
          <w:color w:val="2FA3D6"/>
          <w:sz w:val="28"/>
        </w:rPr>
        <w:t xml:space="preserve">9.1  </w:t>
      </w:r>
      <w:r>
        <w:rPr>
          <w:rFonts w:ascii="Georgia" w:hAnsi="Georgia"/>
          <w:b/>
          <w:i w:val="0"/>
          <w:color w:val="1A5FA0"/>
          <w:sz w:val="28"/>
        </w:rPr>
        <w:t>Licensing and renewal</w:t>
      </w:r>
    </w:p>
    <w:p>
      <w:pPr>
        <w:spacing w:before="100" w:after="20"/>
      </w:pPr>
      <w:r>
        <w:rPr>
          <w:rFonts w:ascii="Georgia" w:hAnsi="Georgia"/>
          <w:b/>
          <w:i w:val="0"/>
          <w:color w:val="2FA3D6"/>
          <w:sz w:val="23"/>
        </w:rPr>
        <w:t xml:space="preserve">1  </w:t>
      </w:r>
      <w:r>
        <w:rPr>
          <w:rFonts w:ascii="Calibri" w:hAnsi="Calibri"/>
          <w:b/>
          <w:i w:val="0"/>
          <w:color w:val="08243A"/>
          <w:sz w:val="22"/>
        </w:rPr>
        <w:t>Read the machine fingerprint</w:t>
      </w:r>
    </w:p>
    <w:p>
      <w:pPr>
        <w:spacing w:after="40"/>
        <w:ind w:left="432"/>
      </w:pPr>
      <w:r>
        <w:rPr>
          <w:rFonts w:ascii="Calibri" w:hAnsi="Calibri"/>
          <w:b w:val="0"/>
          <w:i w:val="0"/>
          <w:color w:val="222A30"/>
          <w:sz w:val="21"/>
        </w:rPr>
        <w:t>GET /api/license/fingerprint. A licence can be bound to it so it cannot be copied to another VM.</w:t>
      </w:r>
    </w:p>
    <w:p>
      <w:pPr>
        <w:spacing w:before="100" w:after="20"/>
      </w:pPr>
      <w:r>
        <w:rPr>
          <w:rFonts w:ascii="Georgia" w:hAnsi="Georgia"/>
          <w:b/>
          <w:i w:val="0"/>
          <w:color w:val="2FA3D6"/>
          <w:sz w:val="23"/>
        </w:rPr>
        <w:t xml:space="preserve">2  </w:t>
      </w:r>
      <w:r>
        <w:rPr>
          <w:rFonts w:ascii="Calibri" w:hAnsi="Calibri"/>
          <w:b/>
          <w:i w:val="0"/>
          <w:color w:val="08243A"/>
          <w:sz w:val="22"/>
        </w:rPr>
        <w:t>Install the licence</w:t>
      </w:r>
    </w:p>
    <w:p>
      <w:pPr>
        <w:spacing w:after="40"/>
        <w:ind w:left="432"/>
      </w:pPr>
      <w:r>
        <w:rPr>
          <w:rFonts w:ascii="Calibri" w:hAnsi="Calibri"/>
          <w:b w:val="0"/>
          <w:i w:val="0"/>
          <w:color w:val="222A30"/>
          <w:sz w:val="21"/>
        </w:rPr>
        <w:t>Place the vendor-issued license.json into config. The platform validates it cryptographically (Ed25519) — it cannot be forged or edited.</w:t>
      </w:r>
    </w:p>
    <w:p>
      <w:pPr>
        <w:spacing w:before="100" w:after="20"/>
      </w:pPr>
      <w:r>
        <w:rPr>
          <w:rFonts w:ascii="Georgia" w:hAnsi="Georgia"/>
          <w:b/>
          <w:i w:val="0"/>
          <w:color w:val="2FA3D6"/>
          <w:sz w:val="23"/>
        </w:rPr>
        <w:t xml:space="preserve">3  </w:t>
      </w:r>
      <w:r>
        <w:rPr>
          <w:rFonts w:ascii="Calibri" w:hAnsi="Calibri"/>
          <w:b/>
          <w:i w:val="0"/>
          <w:color w:val="08243A"/>
          <w:sz w:val="22"/>
        </w:rPr>
        <w:t>Watch the countdown</w:t>
      </w:r>
    </w:p>
    <w:p>
      <w:pPr>
        <w:spacing w:after="40"/>
        <w:ind w:left="432"/>
      </w:pPr>
      <w:r>
        <w:rPr>
          <w:rFonts w:ascii="Calibri" w:hAnsi="Calibri"/>
          <w:b w:val="0"/>
          <w:i w:val="0"/>
          <w:color w:val="222A30"/>
          <w:sz w:val="21"/>
        </w:rPr>
        <w:t>GET /api/license/status drives the banner; a renewal prompt appears as expiry nears, with a short grace period after.</w:t>
      </w:r>
    </w:p>
    <w:p>
      <w:pPr>
        <w:spacing w:before="100" w:after="20"/>
      </w:pPr>
      <w:r>
        <w:rPr>
          <w:rFonts w:ascii="Georgia" w:hAnsi="Georgia"/>
          <w:b/>
          <w:i w:val="0"/>
          <w:color w:val="2FA3D6"/>
          <w:sz w:val="23"/>
        </w:rPr>
        <w:t xml:space="preserve">4  </w:t>
      </w:r>
      <w:r>
        <w:rPr>
          <w:rFonts w:ascii="Calibri" w:hAnsi="Calibri"/>
          <w:b/>
          <w:i w:val="0"/>
          <w:color w:val="08243A"/>
          <w:sz w:val="22"/>
        </w:rPr>
        <w:t>Renew</w:t>
      </w:r>
    </w:p>
    <w:p>
      <w:pPr>
        <w:spacing w:after="40"/>
        <w:ind w:left="432"/>
      </w:pPr>
      <w:r>
        <w:rPr>
          <w:rFonts w:ascii="Calibri" w:hAnsi="Calibri"/>
          <w:b w:val="0"/>
          <w:i w:val="0"/>
          <w:color w:val="222A30"/>
          <w:sz w:val="21"/>
        </w:rPr>
        <w:t>Install a fresh licence for the new term — extends the clock without reinstalling.</w:t>
      </w:r>
    </w:p>
    <w:p>
      <w:pPr>
        <w:spacing w:before="200" w:after="60"/>
      </w:pPr>
      <w:r>
        <w:rPr>
          <w:rFonts w:ascii="Calibri" w:hAnsi="Calibri"/>
          <w:b/>
          <w:i w:val="0"/>
          <w:caps/>
          <w:color w:val="2FA3D6"/>
          <w:sz w:val="17"/>
          <w:spacing w:val="18"/>
        </w:rPr>
        <w:t xml:space="preserve">EXHIBIT — </w:t>
      </w:r>
      <w:r>
        <w:rPr>
          <w:rFonts w:ascii="Calibri" w:hAnsi="Calibri"/>
          <w:b/>
          <w:i w:val="0"/>
          <w:caps/>
          <w:color w:val="5B6B76"/>
          <w:sz w:val="17"/>
          <w:spacing w:val="18"/>
        </w:rPr>
        <w:t>Licence states</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State</w:t>
            </w:r>
          </w:p>
        </w:tc>
        <w:tc>
          <w:tcPr>
            <w:tcW w:type="dxa" w:w="6912"/>
            <w:shd w:val="clear" w:color="auto" w:fill="08243A"/>
          </w:tcPr>
          <w:p>
            <w:pPr>
              <w:spacing w:before="40" w:after="40"/>
            </w:pPr>
            <w:r>
              <w:rPr>
                <w:rFonts w:ascii="Calibri" w:hAnsi="Calibri"/>
                <w:b/>
                <w:i w:val="0"/>
                <w:color w:val="FFFFFF"/>
                <w:sz w:val="18"/>
              </w:rPr>
              <w:t>Meaning</w:t>
            </w:r>
          </w:p>
        </w:tc>
      </w:tr>
      <w:tr>
        <w:tc>
          <w:tcPr>
            <w:tcW w:type="dxa" w:w="2448"/>
          </w:tcPr>
          <w:p>
            <w:pPr>
              <w:spacing w:before="20" w:after="20"/>
            </w:pPr>
            <w:r>
              <w:rPr>
                <w:rFonts w:ascii="Calibri" w:hAnsi="Calibri"/>
                <w:b/>
                <w:i w:val="0"/>
                <w:color w:val="08243A"/>
                <w:sz w:val="18"/>
              </w:rPr>
              <w:t>active / grace</w:t>
            </w:r>
          </w:p>
        </w:tc>
        <w:tc>
          <w:tcPr>
            <w:tcW w:type="dxa" w:w="6912"/>
          </w:tcPr>
          <w:p>
            <w:pPr>
              <w:spacing w:before="20" w:after="20"/>
            </w:pPr>
            <w:r>
              <w:rPr>
                <w:rFonts w:ascii="Calibri" w:hAnsi="Calibri"/>
                <w:b w:val="0"/>
                <w:i w:val="0"/>
                <w:color w:val="222A30"/>
                <w:sz w:val="18"/>
              </w:rPr>
              <w:t>Operating (grace = shortly past expiry, banner-warned).</w:t>
            </w:r>
          </w:p>
        </w:tc>
      </w:tr>
      <w:tr>
        <w:tc>
          <w:tcPr>
            <w:tcW w:type="dxa" w:w="2448"/>
            <w:shd w:val="clear" w:color="auto" w:fill="E7EEF3"/>
          </w:tcPr>
          <w:p>
            <w:pPr>
              <w:spacing w:before="20" w:after="20"/>
            </w:pPr>
            <w:r>
              <w:rPr>
                <w:rFonts w:ascii="Calibri" w:hAnsi="Calibri"/>
                <w:b/>
                <w:i w:val="0"/>
                <w:color w:val="08243A"/>
                <w:sz w:val="18"/>
              </w:rPr>
              <w:t>expired</w:t>
            </w:r>
          </w:p>
        </w:tc>
        <w:tc>
          <w:tcPr>
            <w:tcW w:type="dxa" w:w="6912"/>
            <w:shd w:val="clear" w:color="auto" w:fill="E7EEF3"/>
          </w:tcPr>
          <w:p>
            <w:pPr>
              <w:spacing w:before="20" w:after="20"/>
            </w:pPr>
            <w:r>
              <w:rPr>
                <w:rFonts w:ascii="Calibri" w:hAnsi="Calibri"/>
                <w:b w:val="0"/>
                <w:i w:val="0"/>
                <w:color w:val="222A30"/>
                <w:sz w:val="18"/>
              </w:rPr>
              <w:t>Past expiry + grace — API gated.</w:t>
            </w:r>
          </w:p>
        </w:tc>
      </w:tr>
      <w:tr>
        <w:tc>
          <w:tcPr>
            <w:tcW w:type="dxa" w:w="2448"/>
          </w:tcPr>
          <w:p>
            <w:pPr>
              <w:spacing w:before="20" w:after="20"/>
            </w:pPr>
            <w:r>
              <w:rPr>
                <w:rFonts w:ascii="Calibri" w:hAnsi="Calibri"/>
                <w:b/>
                <w:i w:val="0"/>
                <w:color w:val="08243A"/>
                <w:sz w:val="18"/>
              </w:rPr>
              <w:t>wrong_machine</w:t>
            </w:r>
          </w:p>
        </w:tc>
        <w:tc>
          <w:tcPr>
            <w:tcW w:type="dxa" w:w="6912"/>
          </w:tcPr>
          <w:p>
            <w:pPr>
              <w:spacing w:before="20" w:after="20"/>
            </w:pPr>
            <w:r>
              <w:rPr>
                <w:rFonts w:ascii="Calibri" w:hAnsi="Calibri"/>
                <w:b w:val="0"/>
                <w:i w:val="0"/>
                <w:color w:val="222A30"/>
                <w:sz w:val="18"/>
              </w:rPr>
              <w:t>Licence bound to a different VM.</w:t>
            </w:r>
          </w:p>
        </w:tc>
      </w:tr>
      <w:tr>
        <w:tc>
          <w:tcPr>
            <w:tcW w:type="dxa" w:w="2448"/>
            <w:shd w:val="clear" w:color="auto" w:fill="E7EEF3"/>
          </w:tcPr>
          <w:p>
            <w:pPr>
              <w:spacing w:before="20" w:after="20"/>
            </w:pPr>
            <w:r>
              <w:rPr>
                <w:rFonts w:ascii="Calibri" w:hAnsi="Calibri"/>
                <w:b/>
                <w:i w:val="0"/>
                <w:color w:val="08243A"/>
                <w:sz w:val="18"/>
              </w:rPr>
              <w:t>clock_suspect</w:t>
            </w:r>
          </w:p>
        </w:tc>
        <w:tc>
          <w:tcPr>
            <w:tcW w:type="dxa" w:w="6912"/>
            <w:shd w:val="clear" w:color="auto" w:fill="E7EEF3"/>
          </w:tcPr>
          <w:p>
            <w:pPr>
              <w:spacing w:before="20" w:after="20"/>
            </w:pPr>
            <w:r>
              <w:rPr>
                <w:rFonts w:ascii="Calibri" w:hAnsi="Calibri"/>
                <w:b w:val="0"/>
                <w:i w:val="0"/>
                <w:color w:val="222A30"/>
                <w:sz w:val="18"/>
              </w:rPr>
              <w:t>System clock rolled back vs the anti-rollback high-water mark.</w:t>
            </w:r>
          </w:p>
        </w:tc>
      </w:tr>
      <w:tr>
        <w:tc>
          <w:tcPr>
            <w:tcW w:type="dxa" w:w="2448"/>
          </w:tcPr>
          <w:p>
            <w:pPr>
              <w:spacing w:before="20" w:after="20"/>
            </w:pPr>
            <w:r>
              <w:rPr>
                <w:rFonts w:ascii="Calibri" w:hAnsi="Calibri"/>
                <w:b/>
                <w:i w:val="0"/>
                <w:color w:val="08243A"/>
                <w:sz w:val="18"/>
              </w:rPr>
              <w:t>tampered / missing</w:t>
            </w:r>
          </w:p>
        </w:tc>
        <w:tc>
          <w:tcPr>
            <w:tcW w:type="dxa" w:w="6912"/>
          </w:tcPr>
          <w:p>
            <w:pPr>
              <w:spacing w:before="20" w:after="20"/>
            </w:pPr>
            <w:r>
              <w:rPr>
                <w:rFonts w:ascii="Calibri" w:hAnsi="Calibri"/>
                <w:b w:val="0"/>
                <w:i w:val="0"/>
                <w:color w:val="222A30"/>
                <w:sz w:val="18"/>
              </w:rPr>
              <w:t>Signature invalid / no licence file.</w:t>
            </w:r>
          </w:p>
        </w:tc>
      </w:tr>
    </w:tbl>
    <w:p>
      <w:pPr>
        <w:spacing w:after="40"/>
      </w:pPr>
    </w:p>
    <w:p>
      <w:pPr>
        <w:spacing w:before="260" w:after="60"/>
        <w:outlineLvl w:val="1"/>
      </w:pPr>
      <w:r>
        <w:rPr>
          <w:rFonts w:ascii="Georgia" w:hAnsi="Georgia"/>
          <w:b/>
          <w:i w:val="0"/>
          <w:color w:val="2FA3D6"/>
          <w:sz w:val="28"/>
        </w:rPr>
        <w:t xml:space="preserve">9.2  </w:t>
      </w:r>
      <w:r>
        <w:rPr>
          <w:rFonts w:ascii="Georgia" w:hAnsi="Georgia"/>
          <w:b/>
          <w:i w:val="0"/>
          <w:color w:val="1A5FA0"/>
          <w:sz w:val="28"/>
        </w:rPr>
        <w:t>Tamper protection</w:t>
      </w:r>
    </w:p>
    <w:p>
      <w:pPr>
        <w:spacing w:before="140" w:after="160"/>
        <w:ind w:left="86"/>
        <w:shd w:val="clear" w:color="auto" w:fill="FBF1E4"/>
        <w:pBdr>
          <w:left w:val="single" w:sz="24" w:space="6" w:color="B06A00"/>
        </w:pBdr>
      </w:pPr>
      <w:r>
        <w:rPr>
          <w:rFonts w:ascii="Calibri" w:hAnsi="Calibri"/>
          <w:b/>
          <w:i w:val="0"/>
          <w:caps/>
          <w:color w:val="B06A00"/>
          <w:sz w:val="17"/>
          <w:spacing w:val="25"/>
        </w:rPr>
        <w:t xml:space="preserve">IMPORTANT   </w:t>
      </w:r>
      <w:r>
        <w:rPr>
          <w:rFonts w:ascii="Calibri" w:hAnsi="Calibri"/>
          <w:b w:val="0"/>
          <w:i w:val="0"/>
          <w:color w:val="222A30"/>
          <w:sz w:val="20"/>
        </w:rPr>
        <w:t>The appliance protects the vendor’s intellectual property, not your data. If the software itself is tampered with, it seals and crypto-shreds its own protected components — it never touches, encrypts or deletes your business data. An accidental lock is cleared by a vendor-signed recovery token in minutes (GET /api/license/seal → vendor issues token → POST /api/license/unseal).</w:t>
      </w:r>
    </w:p>
    <w:p>
      <w:pPr>
        <w:spacing w:before="0" w:after="120"/>
      </w:pPr>
      <w:r>
        <w:rPr>
          <w:rFonts w:ascii="Calibri" w:hAnsi="Calibri"/>
          <w:b w:val="0"/>
          <w:i w:val="0"/>
          <w:color w:val="222A30"/>
          <w:sz w:val="21"/>
        </w:rPr>
        <w:t>Enforcement is off by default and enabled only in the shipped image (LICENSE_ENFORCE, TAMPER_SEAL_ENFORCE, LICENSE_REQUIRE_NATIVE). All customer data stays inside the appliance for the life of the subscription.</w:t>
      </w:r>
    </w:p>
    <w:p>
      <w:r>
        <w:br w:type="page"/>
      </w:r>
    </w:p>
    <w:p>
      <w:pPr>
        <w:spacing w:after="0"/>
      </w:pPr>
      <w:r>
        <w:rPr>
          <w:rFonts w:ascii="Calibri" w:hAnsi="Calibri"/>
          <w:b/>
          <w:i w:val="0"/>
          <w:caps/>
          <w:color w:val="2FA3D6"/>
          <w:sz w:val="18"/>
          <w:spacing w:val="40"/>
        </w:rPr>
        <w:t>CHAPTER 10</w:t>
      </w:r>
    </w:p>
    <w:p>
      <w:pPr>
        <w:spacing w:after="200"/>
        <w:pBdr>
          <w:bottom w:val="single" w:sz="12" w:space="6" w:color="08243A"/>
        </w:pBdr>
        <w:outlineLvl w:val="0"/>
      </w:pPr>
      <w:r>
        <w:rPr>
          <w:rFonts w:ascii="Georgia" w:hAnsi="Georgia"/>
          <w:b/>
          <w:i w:val="0"/>
          <w:color w:val="08243A"/>
          <w:sz w:val="44"/>
        </w:rPr>
        <w:t>Troubleshooting &amp; FAQ</w:t>
      </w:r>
    </w:p>
    <w:p>
      <w:pPr>
        <w:spacing w:before="160" w:after="40"/>
      </w:pPr>
      <w:r>
        <w:rPr>
          <w:rFonts w:ascii="Georgia" w:hAnsi="Georgia"/>
          <w:b/>
          <w:i w:val="0"/>
          <w:color w:val="2FA3D6"/>
          <w:sz w:val="22"/>
        </w:rPr>
        <w:t xml:space="preserve">Q  </w:t>
      </w:r>
      <w:r>
        <w:rPr>
          <w:rFonts w:ascii="Calibri" w:hAnsi="Calibri"/>
          <w:b/>
          <w:i w:val="0"/>
          <w:color w:val="08243A"/>
          <w:sz w:val="22"/>
        </w:rPr>
        <w:t>A number is labelled MODELED / illustrative. Can I trust it?</w:t>
      </w:r>
    </w:p>
    <w:p>
      <w:pPr>
        <w:spacing w:after="80"/>
        <w:ind w:left="403"/>
      </w:pPr>
      <w:r>
        <w:rPr>
          <w:rFonts w:ascii="Calibri" w:hAnsi="Calibri"/>
          <w:b w:val="0"/>
          <w:i w:val="0"/>
          <w:color w:val="222A30"/>
          <w:sz w:val="21"/>
        </w:rPr>
        <w:t>Treat it as a model estimate, not a measurement — that is exactly what the label tells you. Tap it to see how the model runs. Connect the relevant tools (and complete onboarding) to turn modeled defaults into LIVE readings.</w:t>
      </w:r>
    </w:p>
    <w:p>
      <w:pPr>
        <w:spacing w:before="160" w:after="40"/>
      </w:pPr>
      <w:r>
        <w:rPr>
          <w:rFonts w:ascii="Georgia" w:hAnsi="Georgia"/>
          <w:b/>
          <w:i w:val="0"/>
          <w:color w:val="2FA3D6"/>
          <w:sz w:val="22"/>
        </w:rPr>
        <w:t xml:space="preserve">Q  </w:t>
      </w:r>
      <w:r>
        <w:rPr>
          <w:rFonts w:ascii="Calibri" w:hAnsi="Calibri"/>
          <w:b/>
          <w:i w:val="0"/>
          <w:color w:val="08243A"/>
          <w:sz w:val="22"/>
        </w:rPr>
        <w:t>A tile says “Not connected”. What do I connect?</w:t>
      </w:r>
    </w:p>
    <w:p>
      <w:pPr>
        <w:spacing w:after="80"/>
        <w:ind w:left="403"/>
      </w:pPr>
      <w:r>
        <w:rPr>
          <w:rFonts w:ascii="Calibri" w:hAnsi="Calibri"/>
          <w:b w:val="0"/>
          <w:i w:val="0"/>
          <w:color w:val="222A30"/>
          <w:sz w:val="21"/>
        </w:rPr>
        <w:t>Tap it — the panel names the exact source and lists the tool · connector · field under “Where it will come from”.</w:t>
      </w:r>
    </w:p>
    <w:p>
      <w:pPr>
        <w:spacing w:before="160" w:after="40"/>
      </w:pPr>
      <w:r>
        <w:rPr>
          <w:rFonts w:ascii="Georgia" w:hAnsi="Georgia"/>
          <w:b/>
          <w:i w:val="0"/>
          <w:color w:val="2FA3D6"/>
          <w:sz w:val="22"/>
        </w:rPr>
        <w:t xml:space="preserve">Q  </w:t>
      </w:r>
      <w:r>
        <w:rPr>
          <w:rFonts w:ascii="Calibri" w:hAnsi="Calibri"/>
          <w:b/>
          <w:i w:val="0"/>
          <w:color w:val="08243A"/>
          <w:sz w:val="22"/>
        </w:rPr>
        <w:t>Why does a computed number show a value I can’t reconstruct?</w:t>
      </w:r>
    </w:p>
    <w:p>
      <w:pPr>
        <w:spacing w:after="80"/>
        <w:ind w:left="403"/>
      </w:pPr>
      <w:r>
        <w:rPr>
          <w:rFonts w:ascii="Calibri" w:hAnsi="Calibri"/>
          <w:b w:val="0"/>
          <w:i w:val="0"/>
          <w:color w:val="222A30"/>
          <w:sz w:val="21"/>
        </w:rPr>
        <w:t>It shouldn’t. Every computed metric’s inputs end in a “= result” row that reproduces the value. If one doesn’t, report it — that is a defect.</w:t>
      </w:r>
    </w:p>
    <w:p>
      <w:pPr>
        <w:spacing w:before="160" w:after="40"/>
      </w:pPr>
      <w:r>
        <w:rPr>
          <w:rFonts w:ascii="Georgia" w:hAnsi="Georgia"/>
          <w:b/>
          <w:i w:val="0"/>
          <w:color w:val="2FA3D6"/>
          <w:sz w:val="22"/>
        </w:rPr>
        <w:t xml:space="preserve">Q  </w:t>
      </w:r>
      <w:r>
        <w:rPr>
          <w:rFonts w:ascii="Calibri" w:hAnsi="Calibri"/>
          <w:b/>
          <w:i w:val="0"/>
          <w:color w:val="08243A"/>
          <w:sz w:val="22"/>
        </w:rPr>
        <w:t>Where do my decisions go?</w:t>
      </w:r>
    </w:p>
    <w:p>
      <w:pPr>
        <w:spacing w:after="80"/>
        <w:ind w:left="403"/>
      </w:pPr>
      <w:r>
        <w:rPr>
          <w:rFonts w:ascii="Calibri" w:hAnsi="Calibri"/>
          <w:b w:val="0"/>
          <w:i w:val="0"/>
          <w:color w:val="222A30"/>
          <w:sz w:val="21"/>
        </w:rPr>
        <w:t>Recorded against the seat leader’s name, committed after 24 hours, and — if you connected Jira / ServiceNow — opened as a tracked project whose status is pulled back on refresh.</w:t>
      </w:r>
    </w:p>
    <w:p>
      <w:pPr>
        <w:spacing w:before="160" w:after="40"/>
      </w:pPr>
      <w:r>
        <w:rPr>
          <w:rFonts w:ascii="Georgia" w:hAnsi="Georgia"/>
          <w:b/>
          <w:i w:val="0"/>
          <w:color w:val="2FA3D6"/>
          <w:sz w:val="22"/>
        </w:rPr>
        <w:t xml:space="preserve">Q  </w:t>
      </w:r>
      <w:r>
        <w:rPr>
          <w:rFonts w:ascii="Calibri" w:hAnsi="Calibri"/>
          <w:b/>
          <w:i w:val="0"/>
          <w:color w:val="08243A"/>
          <w:sz w:val="22"/>
        </w:rPr>
        <w:t>Does any of our data leave the environment?</w:t>
      </w:r>
    </w:p>
    <w:p>
      <w:pPr>
        <w:spacing w:after="80"/>
        <w:ind w:left="403"/>
      </w:pPr>
      <w:r>
        <w:rPr>
          <w:rFonts w:ascii="Calibri" w:hAnsi="Calibri"/>
          <w:b w:val="0"/>
          <w:i w:val="0"/>
          <w:color w:val="222A30"/>
          <w:sz w:val="21"/>
        </w:rPr>
        <w:t>No. The appliance is fully offline for operation, benchmarking and licensing.</w:t>
      </w:r>
    </w:p>
    <w:p>
      <w:pPr>
        <w:spacing w:before="160" w:after="40"/>
      </w:pPr>
      <w:r>
        <w:rPr>
          <w:rFonts w:ascii="Georgia" w:hAnsi="Georgia"/>
          <w:b/>
          <w:i w:val="0"/>
          <w:color w:val="2FA3D6"/>
          <w:sz w:val="22"/>
        </w:rPr>
        <w:t xml:space="preserve">Q  </w:t>
      </w:r>
      <w:r>
        <w:rPr>
          <w:rFonts w:ascii="Calibri" w:hAnsi="Calibri"/>
          <w:b/>
          <w:i w:val="0"/>
          <w:color w:val="08243A"/>
          <w:sz w:val="22"/>
        </w:rPr>
        <w:t>The platform is locked after a change to the VM. What now?</w:t>
      </w:r>
    </w:p>
    <w:p>
      <w:pPr>
        <w:spacing w:after="80"/>
        <w:ind w:left="403"/>
      </w:pPr>
      <w:r>
        <w:rPr>
          <w:rFonts w:ascii="Calibri" w:hAnsi="Calibri"/>
          <w:b w:val="0"/>
          <w:i w:val="0"/>
          <w:color w:val="222A30"/>
          <w:sz w:val="21"/>
        </w:rPr>
        <w:t>That is the tamper seal. Send your vendor the fingerprint and nonce shown; a signed recovery token clears it in minutes. Your data is untouched.</w:t>
      </w:r>
    </w:p>
    <w:p>
      <w:r>
        <w:br w:type="page"/>
      </w:r>
    </w:p>
    <w:p>
      <w:pPr>
        <w:spacing w:after="0"/>
      </w:pPr>
      <w:r>
        <w:rPr>
          <w:rFonts w:ascii="Calibri" w:hAnsi="Calibri"/>
          <w:b/>
          <w:i w:val="0"/>
          <w:caps/>
          <w:color w:val="2FA3D6"/>
          <w:sz w:val="18"/>
          <w:spacing w:val="40"/>
        </w:rPr>
        <w:t>CHAPTER 11</w:t>
      </w:r>
    </w:p>
    <w:p>
      <w:pPr>
        <w:spacing w:after="200"/>
        <w:pBdr>
          <w:bottom w:val="single" w:sz="12" w:space="6" w:color="08243A"/>
        </w:pBdr>
        <w:outlineLvl w:val="0"/>
      </w:pPr>
      <w:r>
        <w:rPr>
          <w:rFonts w:ascii="Georgia" w:hAnsi="Georgia"/>
          <w:b/>
          <w:i w:val="0"/>
          <w:color w:val="08243A"/>
          <w:sz w:val="44"/>
        </w:rPr>
        <w:t>Glossary</w:t>
      </w:r>
    </w:p>
    <w:tbl>
      <w:tblPr>
        <w:tblW w:type="auto" w:w="0"/>
        <w:jc w:val="center"/>
        <w:tblLook w:firstColumn="1" w:firstRow="1" w:lastColumn="0" w:lastRow="0" w:noHBand="0" w:noVBand="1" w:val="04A0"/>
      </w:tblPr>
      <w:tblGrid>
        <w:gridCol w:w="4680"/>
        <w:gridCol w:w="4680"/>
      </w:tblGrid>
      <w:tr>
        <w:tc>
          <w:tcPr>
            <w:tcW w:type="dxa" w:w="2448"/>
            <w:shd w:val="clear" w:color="auto" w:fill="08243A"/>
          </w:tcPr>
          <w:p>
            <w:pPr>
              <w:spacing w:before="40" w:after="40"/>
            </w:pPr>
            <w:r>
              <w:rPr>
                <w:rFonts w:ascii="Calibri" w:hAnsi="Calibri"/>
                <w:b/>
                <w:i w:val="0"/>
                <w:color w:val="FFFFFF"/>
                <w:sz w:val="18"/>
              </w:rPr>
              <w:t>Term</w:t>
            </w:r>
          </w:p>
        </w:tc>
        <w:tc>
          <w:tcPr>
            <w:tcW w:type="dxa" w:w="6912"/>
            <w:shd w:val="clear" w:color="auto" w:fill="08243A"/>
          </w:tcPr>
          <w:p>
            <w:pPr>
              <w:spacing w:before="40" w:after="40"/>
            </w:pPr>
            <w:r>
              <w:rPr>
                <w:rFonts w:ascii="Calibri" w:hAnsi="Calibri"/>
                <w:b/>
                <w:i w:val="0"/>
                <w:color w:val="FFFFFF"/>
                <w:sz w:val="18"/>
              </w:rPr>
              <w:t>Definition</w:t>
            </w:r>
          </w:p>
        </w:tc>
      </w:tr>
      <w:tr>
        <w:tc>
          <w:tcPr>
            <w:tcW w:type="dxa" w:w="2448"/>
          </w:tcPr>
          <w:p>
            <w:pPr>
              <w:spacing w:before="20" w:after="20"/>
            </w:pPr>
            <w:r>
              <w:rPr>
                <w:rFonts w:ascii="Calibri" w:hAnsi="Calibri"/>
                <w:b/>
                <w:i w:val="0"/>
                <w:color w:val="08243A"/>
                <w:sz w:val="18"/>
              </w:rPr>
              <w:t>ALE</w:t>
            </w:r>
          </w:p>
        </w:tc>
        <w:tc>
          <w:tcPr>
            <w:tcW w:type="dxa" w:w="6912"/>
          </w:tcPr>
          <w:p>
            <w:pPr>
              <w:spacing w:before="20" w:after="20"/>
            </w:pPr>
            <w:r>
              <w:rPr>
                <w:rFonts w:ascii="Calibri" w:hAnsi="Calibri"/>
                <w:b w:val="0"/>
                <w:i w:val="0"/>
                <w:color w:val="222A30"/>
                <w:sz w:val="18"/>
              </w:rPr>
              <w:t>Annualized Loss Expectancy — your modeled expected annual cyber loss (MODELED).</w:t>
            </w:r>
          </w:p>
        </w:tc>
      </w:tr>
      <w:tr>
        <w:tc>
          <w:tcPr>
            <w:tcW w:type="dxa" w:w="2448"/>
            <w:shd w:val="clear" w:color="auto" w:fill="E7EEF3"/>
          </w:tcPr>
          <w:p>
            <w:pPr>
              <w:spacing w:before="20" w:after="20"/>
            </w:pPr>
            <w:r>
              <w:rPr>
                <w:rFonts w:ascii="Calibri" w:hAnsi="Calibri"/>
                <w:b/>
                <w:i w:val="0"/>
                <w:color w:val="08243A"/>
                <w:sz w:val="18"/>
              </w:rPr>
              <w:t>Control-value ledger</w:t>
            </w:r>
          </w:p>
        </w:tc>
        <w:tc>
          <w:tcPr>
            <w:tcW w:type="dxa" w:w="6912"/>
            <w:shd w:val="clear" w:color="auto" w:fill="E7EEF3"/>
          </w:tcPr>
          <w:p>
            <w:pPr>
              <w:spacing w:before="20" w:after="20"/>
            </w:pPr>
            <w:r>
              <w:rPr>
                <w:rFonts w:ascii="Calibri" w:hAnsi="Calibri"/>
                <w:b w:val="0"/>
                <w:i w:val="0"/>
                <w:color w:val="222A30"/>
                <w:sz w:val="18"/>
              </w:rPr>
              <w:t>Each control’s risk-removal weight (from its NIST CSF/800-53 mapping) × its live deployment; how coverage becomes dollars.</w:t>
            </w:r>
          </w:p>
        </w:tc>
      </w:tr>
      <w:tr>
        <w:tc>
          <w:tcPr>
            <w:tcW w:type="dxa" w:w="2448"/>
          </w:tcPr>
          <w:p>
            <w:pPr>
              <w:spacing w:before="20" w:after="20"/>
            </w:pPr>
            <w:r>
              <w:rPr>
                <w:rFonts w:ascii="Calibri" w:hAnsi="Calibri"/>
                <w:b/>
                <w:i w:val="0"/>
                <w:color w:val="08243A"/>
                <w:sz w:val="18"/>
              </w:rPr>
              <w:t>Crown jewel</w:t>
            </w:r>
          </w:p>
        </w:tc>
        <w:tc>
          <w:tcPr>
            <w:tcW w:type="dxa" w:w="6912"/>
          </w:tcPr>
          <w:p>
            <w:pPr>
              <w:spacing w:before="20" w:after="20"/>
            </w:pPr>
            <w:r>
              <w:rPr>
                <w:rFonts w:ascii="Calibri" w:hAnsi="Calibri"/>
                <w:b w:val="0"/>
                <w:i w:val="0"/>
                <w:color w:val="222A30"/>
                <w:sz w:val="18"/>
              </w:rPr>
              <w:t>A concentration of business value an attacker would target, derived from your processes and systems.</w:t>
            </w:r>
          </w:p>
        </w:tc>
      </w:tr>
      <w:tr>
        <w:tc>
          <w:tcPr>
            <w:tcW w:type="dxa" w:w="2448"/>
            <w:shd w:val="clear" w:color="auto" w:fill="E7EEF3"/>
          </w:tcPr>
          <w:p>
            <w:pPr>
              <w:spacing w:before="20" w:after="20"/>
            </w:pPr>
            <w:r>
              <w:rPr>
                <w:rFonts w:ascii="Calibri" w:hAnsi="Calibri"/>
                <w:b/>
                <w:i w:val="0"/>
                <w:color w:val="08243A"/>
                <w:sz w:val="18"/>
              </w:rPr>
              <w:t>CMMI</w:t>
            </w:r>
          </w:p>
        </w:tc>
        <w:tc>
          <w:tcPr>
            <w:tcW w:type="dxa" w:w="6912"/>
            <w:shd w:val="clear" w:color="auto" w:fill="E7EEF3"/>
          </w:tcPr>
          <w:p>
            <w:pPr>
              <w:spacing w:before="20" w:after="20"/>
            </w:pPr>
            <w:r>
              <w:rPr>
                <w:rFonts w:ascii="Calibri" w:hAnsi="Calibri"/>
                <w:b w:val="0"/>
                <w:i w:val="0"/>
                <w:color w:val="222A30"/>
                <w:sz w:val="18"/>
              </w:rPr>
              <w:t>Capability Maturity Model Integration — a 0–5 maturity score used for framework controls.</w:t>
            </w:r>
          </w:p>
        </w:tc>
      </w:tr>
      <w:tr>
        <w:tc>
          <w:tcPr>
            <w:tcW w:type="dxa" w:w="2448"/>
          </w:tcPr>
          <w:p>
            <w:pPr>
              <w:spacing w:before="20" w:after="20"/>
            </w:pPr>
            <w:r>
              <w:rPr>
                <w:rFonts w:ascii="Calibri" w:hAnsi="Calibri"/>
                <w:b/>
                <w:i w:val="0"/>
                <w:color w:val="08243A"/>
                <w:sz w:val="18"/>
              </w:rPr>
              <w:t>Provenance</w:t>
            </w:r>
          </w:p>
        </w:tc>
        <w:tc>
          <w:tcPr>
            <w:tcW w:type="dxa" w:w="6912"/>
          </w:tcPr>
          <w:p>
            <w:pPr>
              <w:spacing w:before="20" w:after="20"/>
            </w:pPr>
            <w:r>
              <w:rPr>
                <w:rFonts w:ascii="Calibri" w:hAnsi="Calibri"/>
                <w:b w:val="0"/>
                <w:i w:val="0"/>
                <w:color w:val="222A30"/>
                <w:sz w:val="18"/>
              </w:rPr>
              <w:t>The inputs, calculation and source behind a number, shown in its inspection panel.</w:t>
            </w:r>
          </w:p>
        </w:tc>
      </w:tr>
      <w:tr>
        <w:tc>
          <w:tcPr>
            <w:tcW w:type="dxa" w:w="2448"/>
            <w:shd w:val="clear" w:color="auto" w:fill="E7EEF3"/>
          </w:tcPr>
          <w:p>
            <w:pPr>
              <w:spacing w:before="20" w:after="20"/>
            </w:pPr>
            <w:r>
              <w:rPr>
                <w:rFonts w:ascii="Calibri" w:hAnsi="Calibri"/>
                <w:b/>
                <w:i w:val="0"/>
                <w:color w:val="08243A"/>
                <w:sz w:val="18"/>
              </w:rPr>
              <w:t>Tail / VaR₉₅</w:t>
            </w:r>
          </w:p>
        </w:tc>
        <w:tc>
          <w:tcPr>
            <w:tcW w:type="dxa" w:w="6912"/>
            <w:shd w:val="clear" w:color="auto" w:fill="E7EEF3"/>
          </w:tcPr>
          <w:p>
            <w:pPr>
              <w:spacing w:before="20" w:after="20"/>
            </w:pPr>
            <w:r>
              <w:rPr>
                <w:rFonts w:ascii="Calibri" w:hAnsi="Calibri"/>
                <w:b w:val="0"/>
                <w:i w:val="0"/>
                <w:color w:val="222A30"/>
                <w:sz w:val="18"/>
              </w:rPr>
              <w:t>The 95th-percentile (≈1-in-20-year) annual loss from the seeded Monte-Carlo simulation.</w:t>
            </w:r>
          </w:p>
        </w:tc>
      </w:tr>
      <w:tr>
        <w:tc>
          <w:tcPr>
            <w:tcW w:type="dxa" w:w="2448"/>
          </w:tcPr>
          <w:p>
            <w:pPr>
              <w:spacing w:before="20" w:after="20"/>
            </w:pPr>
            <w:r>
              <w:rPr>
                <w:rFonts w:ascii="Calibri" w:hAnsi="Calibri"/>
                <w:b/>
                <w:i w:val="0"/>
                <w:color w:val="08243A"/>
                <w:sz w:val="18"/>
              </w:rPr>
              <w:t>Materiality threshold</w:t>
            </w:r>
          </w:p>
        </w:tc>
        <w:tc>
          <w:tcPr>
            <w:tcW w:type="dxa" w:w="6912"/>
          </w:tcPr>
          <w:p>
            <w:pPr>
              <w:spacing w:before="20" w:after="20"/>
            </w:pPr>
            <w:r>
              <w:rPr>
                <w:rFonts w:ascii="Calibri" w:hAnsi="Calibri"/>
                <w:b w:val="0"/>
                <w:i w:val="0"/>
                <w:color w:val="222A30"/>
                <w:sz w:val="18"/>
              </w:rPr>
              <w:t>The loss large enough to require disclosure (e.g. a % of net income).</w:t>
            </w:r>
          </w:p>
        </w:tc>
      </w:tr>
      <w:tr>
        <w:tc>
          <w:tcPr>
            <w:tcW w:type="dxa" w:w="2448"/>
            <w:shd w:val="clear" w:color="auto" w:fill="E7EEF3"/>
          </w:tcPr>
          <w:p>
            <w:pPr>
              <w:spacing w:before="20" w:after="20"/>
            </w:pPr>
            <w:r>
              <w:rPr>
                <w:rFonts w:ascii="Calibri" w:hAnsi="Calibri"/>
                <w:b/>
                <w:i w:val="0"/>
                <w:color w:val="08243A"/>
                <w:sz w:val="18"/>
              </w:rPr>
              <w:t>Machine fingerprint</w:t>
            </w:r>
          </w:p>
        </w:tc>
        <w:tc>
          <w:tcPr>
            <w:tcW w:type="dxa" w:w="6912"/>
            <w:shd w:val="clear" w:color="auto" w:fill="E7EEF3"/>
          </w:tcPr>
          <w:p>
            <w:pPr>
              <w:spacing w:before="20" w:after="20"/>
            </w:pPr>
            <w:r>
              <w:rPr>
                <w:rFonts w:ascii="Calibri" w:hAnsi="Calibri"/>
                <w:b w:val="0"/>
                <w:i w:val="0"/>
                <w:color w:val="222A30"/>
                <w:sz w:val="18"/>
              </w:rPr>
              <w:t>A one-way hash of the appliance’s hardware, used to bind a licence to one VM.</w:t>
            </w:r>
          </w:p>
        </w:tc>
      </w:tr>
    </w:tbl>
    <w:p>
      <w:pPr>
        <w:spacing w:after="40"/>
      </w:pPr>
    </w:p>
    <w:p>
      <w:pPr>
        <w:spacing w:before="320"/>
        <w:pBdr>
          <w:bottom w:val="single" w:sz="10" w:space="6" w:color="08243A"/>
        </w:pBdr>
      </w:pPr>
    </w:p>
    <w:p>
      <w:pPr>
        <w:jc w:val="center"/>
      </w:pPr>
      <w:r>
        <w:rPr>
          <w:rFonts w:ascii="Calibri" w:hAnsi="Calibri"/>
          <w:b/>
          <w:i w:val="0"/>
          <w:color w:val="1A5FA0"/>
          <w:sz w:val="18"/>
          <w:spacing w:val="30"/>
        </w:rPr>
        <w:t>NERION  ·  Cyber Business Operations Platform</w:t>
      </w:r>
    </w:p>
    <w:p>
      <w:pPr>
        <w:jc w:val="center"/>
      </w:pPr>
      <w:r>
        <w:rPr>
          <w:rFonts w:ascii="Calibri" w:hAnsi="Calibri"/>
          <w:b w:val="0"/>
          <w:i/>
          <w:color w:val="5B6B76"/>
          <w:sz w:val="16"/>
        </w:rPr>
        <w:t>Confidential — Distribution limited to licensed users</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B6B76"/>
        <w:sz w:val="16"/>
      </w:rPr>
      <w:t xml:space="preserve">Nerion User Guide   ·   Confidential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1A5FA0"/>
        <w:sz w:val="16"/>
        <w:spacing w:val="30"/>
      </w:rPr>
      <w:t>NERION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Calibri" w:hAnsi="Calibri"/>
      <w:color w:val="22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