
<file path=[Content_Types].xml><?xml version="1.0" encoding="utf-8"?>
<Types xmlns="http://schemas.openxmlformats.org/package/2006/content-types">
  <Default Extension="gif" ContentType="image/gif"/>
  <Default Extension="odttf" ContentType="application/vnd.openxmlformats-officedocument.obfuscatedFont"/>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F1417" w14:textId="77777777" w:rsidR="00A55F12" w:rsidRDefault="00A55F12">
      <w:pPr>
        <w:widowControl w:val="0"/>
        <w:pBdr>
          <w:top w:val="nil"/>
          <w:left w:val="nil"/>
          <w:bottom w:val="nil"/>
          <w:right w:val="nil"/>
          <w:between w:val="nil"/>
        </w:pBdr>
        <w:spacing w:after="0" w:line="276" w:lineRule="auto"/>
        <w:ind w:left="-450" w:right="-180"/>
        <w:rPr>
          <w:color w:val="000000"/>
          <w:sz w:val="22"/>
          <w:szCs w:val="22"/>
        </w:rPr>
      </w:pPr>
    </w:p>
    <w:tbl>
      <w:tblPr>
        <w:tblStyle w:val="a"/>
        <w:tblW w:w="9450" w:type="dxa"/>
        <w:tblInd w:w="-135" w:type="dxa"/>
        <w:tblBorders>
          <w:left w:val="single" w:sz="36" w:space="0" w:color="071DF2"/>
        </w:tblBorders>
        <w:tblLayout w:type="fixed"/>
        <w:tblLook w:val="0600" w:firstRow="0" w:lastRow="0" w:firstColumn="0" w:lastColumn="0" w:noHBand="1" w:noVBand="1"/>
      </w:tblPr>
      <w:tblGrid>
        <w:gridCol w:w="9450"/>
      </w:tblGrid>
      <w:tr w:rsidR="00A55F12" w14:paraId="4BED9342" w14:textId="77777777">
        <w:tc>
          <w:tcPr>
            <w:tcW w:w="9450" w:type="dxa"/>
          </w:tcPr>
          <w:p w14:paraId="0862B1B1" w14:textId="77777777" w:rsidR="00A55F12" w:rsidRDefault="00DA2580">
            <w:pPr>
              <w:pStyle w:val="Title"/>
              <w:spacing w:line="240" w:lineRule="auto"/>
              <w:ind w:right="-180"/>
              <w:rPr>
                <w:b/>
              </w:rPr>
            </w:pPr>
            <w:r>
              <w:rPr>
                <w:b/>
              </w:rPr>
              <w:t xml:space="preserve">The AI Shift: </w:t>
            </w:r>
          </w:p>
          <w:p w14:paraId="4D478607" w14:textId="77777777" w:rsidR="00A55F12" w:rsidRDefault="00DA2580">
            <w:pPr>
              <w:pStyle w:val="Title"/>
              <w:spacing w:line="240" w:lineRule="auto"/>
              <w:ind w:right="-180"/>
              <w:rPr>
                <w:sz w:val="38"/>
                <w:szCs w:val="38"/>
              </w:rPr>
            </w:pPr>
            <w:r>
              <w:rPr>
                <w:b/>
                <w:sz w:val="38"/>
                <w:szCs w:val="38"/>
              </w:rPr>
              <w:t>Workforce Impact and Opportunity in Connecticut</w:t>
            </w:r>
          </w:p>
        </w:tc>
      </w:tr>
      <w:tr w:rsidR="00A55F12" w14:paraId="02E83377" w14:textId="77777777">
        <w:tc>
          <w:tcPr>
            <w:tcW w:w="9450" w:type="dxa"/>
          </w:tcPr>
          <w:p w14:paraId="74372736" w14:textId="77777777" w:rsidR="00A55F12" w:rsidRDefault="00DA2580">
            <w:pPr>
              <w:pStyle w:val="Subtitle"/>
              <w:ind w:right="-180"/>
            </w:pPr>
            <w:proofErr w:type="gramStart"/>
            <w:r>
              <w:t>April,</w:t>
            </w:r>
            <w:proofErr w:type="gramEnd"/>
            <w:r>
              <w:t xml:space="preserve"> 2025 </w:t>
            </w:r>
          </w:p>
        </w:tc>
      </w:tr>
    </w:tbl>
    <w:p w14:paraId="210AFEA0" w14:textId="77777777" w:rsidR="00A55F12" w:rsidRDefault="00A55F12">
      <w:pPr>
        <w:ind w:right="-180"/>
      </w:pPr>
    </w:p>
    <w:p w14:paraId="3DD701EA" w14:textId="77777777" w:rsidR="00A55F12" w:rsidRDefault="00DA2580">
      <w:pPr>
        <w:pStyle w:val="Heading1"/>
        <w:spacing w:before="0"/>
        <w:ind w:right="-180"/>
      </w:pPr>
      <w:r>
        <w:t>Overview</w:t>
      </w:r>
    </w:p>
    <w:p w14:paraId="7C714AEA" w14:textId="77777777" w:rsidR="00A55F12" w:rsidRDefault="00DA2580">
      <w:pPr>
        <w:pStyle w:val="Heading2"/>
        <w:numPr>
          <w:ilvl w:val="0"/>
          <w:numId w:val="7"/>
        </w:numPr>
        <w:ind w:right="-180"/>
      </w:pPr>
      <w:r>
        <w:t xml:space="preserve">Project background and description </w:t>
      </w:r>
    </w:p>
    <w:tbl>
      <w:tblPr>
        <w:tblStyle w:val="a0"/>
        <w:tblW w:w="9360" w:type="dxa"/>
        <w:tblLayout w:type="fixed"/>
        <w:tblLook w:val="0480" w:firstRow="0" w:lastRow="0" w:firstColumn="1" w:lastColumn="0" w:noHBand="0" w:noVBand="1"/>
      </w:tblPr>
      <w:tblGrid>
        <w:gridCol w:w="577"/>
        <w:gridCol w:w="8783"/>
      </w:tblGrid>
      <w:tr w:rsidR="00A55F12" w14:paraId="0A612DE2" w14:textId="77777777">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2153FC34" w14:textId="77777777" w:rsidR="00A55F12" w:rsidRDefault="00A55F12">
            <w:pPr>
              <w:ind w:right="-180"/>
            </w:pPr>
          </w:p>
        </w:tc>
        <w:tc>
          <w:tcPr>
            <w:tcW w:w="8783" w:type="dxa"/>
            <w:shd w:val="clear" w:color="auto" w:fill="auto"/>
          </w:tcPr>
          <w:p w14:paraId="2DFF20D9" w14:textId="4A9ADB4C" w:rsidR="00A55F12" w:rsidRDefault="00DA2580">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This project is an effort by the Social Impact Partnership for Connecticut</w:t>
            </w:r>
            <w:r w:rsidR="00E80FEA">
              <w:rPr>
                <w:color w:val="595959"/>
                <w:sz w:val="20"/>
                <w:szCs w:val="20"/>
              </w:rPr>
              <w:t xml:space="preserve"> and its Volunteer Partners</w:t>
            </w:r>
            <w:r>
              <w:rPr>
                <w:color w:val="595959"/>
                <w:sz w:val="20"/>
                <w:szCs w:val="20"/>
              </w:rPr>
              <w:t xml:space="preserve"> to assist the state of Connecticut and its workforce better prepare for the rapid, unprecedented,</w:t>
            </w:r>
            <w:r w:rsidR="00E80FEA">
              <w:rPr>
                <w:color w:val="595959"/>
                <w:sz w:val="20"/>
                <w:szCs w:val="20"/>
              </w:rPr>
              <w:t xml:space="preserve"> and d</w:t>
            </w:r>
            <w:r>
              <w:rPr>
                <w:color w:val="595959"/>
                <w:sz w:val="20"/>
                <w:szCs w:val="20"/>
              </w:rPr>
              <w:t>isruptive impact of AI technologies in the workplace.</w:t>
            </w:r>
          </w:p>
          <w:p w14:paraId="2F9BE306" w14:textId="79EE5A93" w:rsidR="00A55F12" w:rsidRDefault="00DA2580">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i/>
                <w:color w:val="595959"/>
                <w:sz w:val="20"/>
                <w:szCs w:val="20"/>
              </w:rPr>
            </w:pPr>
            <w:r>
              <w:rPr>
                <w:color w:val="595959"/>
                <w:sz w:val="20"/>
                <w:szCs w:val="20"/>
              </w:rPr>
              <w:t>The effort is predicated on leveraging the resources and network of SIP and the volunteer time of professionals with experience in the space</w:t>
            </w:r>
            <w:r w:rsidR="00F40795">
              <w:rPr>
                <w:color w:val="595959"/>
                <w:sz w:val="20"/>
                <w:szCs w:val="20"/>
              </w:rPr>
              <w:t>,</w:t>
            </w:r>
            <w:r>
              <w:rPr>
                <w:color w:val="595959"/>
                <w:sz w:val="20"/>
                <w:szCs w:val="20"/>
              </w:rPr>
              <w:t xml:space="preserve"> and </w:t>
            </w:r>
            <w:r w:rsidR="00823171">
              <w:rPr>
                <w:color w:val="595959"/>
                <w:sz w:val="20"/>
                <w:szCs w:val="20"/>
              </w:rPr>
              <w:t>the</w:t>
            </w:r>
            <w:r>
              <w:rPr>
                <w:color w:val="595959"/>
                <w:sz w:val="20"/>
                <w:szCs w:val="20"/>
              </w:rPr>
              <w:t xml:space="preserve"> dedication and passion for championing their fellow </w:t>
            </w:r>
            <w:proofErr w:type="spellStart"/>
            <w:r>
              <w:rPr>
                <w:color w:val="595959"/>
                <w:sz w:val="20"/>
                <w:szCs w:val="20"/>
              </w:rPr>
              <w:t>Nutmeggers</w:t>
            </w:r>
            <w:proofErr w:type="spellEnd"/>
            <w:r>
              <w:rPr>
                <w:color w:val="595959"/>
                <w:sz w:val="20"/>
                <w:szCs w:val="20"/>
              </w:rPr>
              <w:t xml:space="preserve"> as leaders in the coming AI transformation.</w:t>
            </w:r>
          </w:p>
        </w:tc>
      </w:tr>
    </w:tbl>
    <w:p w14:paraId="4D29DC44" w14:textId="64F5CB3D" w:rsidR="00A55F12" w:rsidRDefault="000C4549">
      <w:pPr>
        <w:pStyle w:val="Heading2"/>
        <w:numPr>
          <w:ilvl w:val="0"/>
          <w:numId w:val="7"/>
        </w:numPr>
        <w:ind w:right="-180"/>
      </w:pPr>
      <w:r>
        <w:t xml:space="preserve">Phase I </w:t>
      </w:r>
      <w:r w:rsidR="00DA2580">
        <w:t xml:space="preserve">Objectives </w:t>
      </w:r>
    </w:p>
    <w:tbl>
      <w:tblPr>
        <w:tblStyle w:val="a1"/>
        <w:tblW w:w="9450" w:type="dxa"/>
        <w:tblLayout w:type="fixed"/>
        <w:tblLook w:val="0480" w:firstRow="0" w:lastRow="0" w:firstColumn="1" w:lastColumn="0" w:noHBand="0" w:noVBand="1"/>
      </w:tblPr>
      <w:tblGrid>
        <w:gridCol w:w="577"/>
        <w:gridCol w:w="8873"/>
      </w:tblGrid>
      <w:tr w:rsidR="00A55F12" w14:paraId="15BDC4C3" w14:textId="77777777" w:rsidTr="00823171">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59F3FA23" w14:textId="371F44EA" w:rsidR="00A55F12" w:rsidRDefault="00A55F12">
            <w:pPr>
              <w:ind w:right="-180"/>
            </w:pPr>
          </w:p>
        </w:tc>
        <w:tc>
          <w:tcPr>
            <w:tcW w:w="8873" w:type="dxa"/>
            <w:shd w:val="clear" w:color="auto" w:fill="auto"/>
          </w:tcPr>
          <w:p w14:paraId="1CB3A408" w14:textId="77777777" w:rsidR="00B21FF1" w:rsidRDefault="00B21FF1" w:rsidP="00B21FF1">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r w:rsidRPr="00B21FF1">
              <w:rPr>
                <w:color w:val="595959"/>
                <w:sz w:val="20"/>
                <w:szCs w:val="20"/>
              </w:rPr>
              <w:t xml:space="preserve">(1) industry workflow-oriented rubric for the evaluation of the impact of AI on specific occupations, </w:t>
            </w:r>
          </w:p>
          <w:p w14:paraId="04C4EF45" w14:textId="77777777" w:rsidR="00B21FF1" w:rsidRDefault="00B21FF1" w:rsidP="00B21FF1">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r w:rsidRPr="00B21FF1">
              <w:rPr>
                <w:color w:val="595959"/>
                <w:sz w:val="20"/>
                <w:szCs w:val="20"/>
              </w:rPr>
              <w:t xml:space="preserve">(2) first-cut at critical issues posed by AI, e.g., educational system misalignment, and </w:t>
            </w:r>
          </w:p>
          <w:p w14:paraId="5C14AB19" w14:textId="32A87CB5" w:rsidR="00B21FF1" w:rsidRPr="00B21FF1" w:rsidRDefault="00B21FF1" w:rsidP="00B21FF1">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r w:rsidRPr="00B21FF1">
              <w:rPr>
                <w:color w:val="595959"/>
                <w:sz w:val="20"/>
                <w:szCs w:val="20"/>
              </w:rPr>
              <w:t>(3) recommended approach / work plan for a “comprehensive” assessment of AI on CT's workforce.</w:t>
            </w:r>
          </w:p>
          <w:p w14:paraId="1FF4C808" w14:textId="77777777" w:rsidR="00B21FF1" w:rsidRPr="00B21FF1" w:rsidRDefault="00B21FF1" w:rsidP="00B21FF1">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p>
          <w:p w14:paraId="3547962A" w14:textId="77777777" w:rsidR="00B21FF1" w:rsidRDefault="00B21FF1" w:rsidP="0094009B">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p>
          <w:p w14:paraId="7FCFFDF5" w14:textId="3CA58762" w:rsidR="00A55F12" w:rsidRDefault="00823171" w:rsidP="0094009B">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Assess</w:t>
            </w:r>
            <w:r w:rsidR="00DA2580" w:rsidRPr="0094009B">
              <w:rPr>
                <w:color w:val="595959"/>
                <w:sz w:val="20"/>
                <w:szCs w:val="20"/>
              </w:rPr>
              <w:t xml:space="preserve"> </w:t>
            </w:r>
            <w:r w:rsidR="00DF632D" w:rsidRPr="0094009B">
              <w:rPr>
                <w:color w:val="595959"/>
                <w:sz w:val="20"/>
                <w:szCs w:val="20"/>
              </w:rPr>
              <w:t xml:space="preserve">a high probability, high impact workflow </w:t>
            </w:r>
            <w:r>
              <w:rPr>
                <w:color w:val="595959"/>
                <w:sz w:val="20"/>
                <w:szCs w:val="20"/>
              </w:rPr>
              <w:t xml:space="preserve">prevalent in CT </w:t>
            </w:r>
            <w:r w:rsidR="008619E5" w:rsidRPr="0094009B">
              <w:rPr>
                <w:color w:val="595959"/>
                <w:sz w:val="20"/>
                <w:szCs w:val="20"/>
              </w:rPr>
              <w:t xml:space="preserve">and </w:t>
            </w:r>
            <w:r>
              <w:rPr>
                <w:color w:val="595959"/>
                <w:sz w:val="20"/>
                <w:szCs w:val="20"/>
              </w:rPr>
              <w:t>use it</w:t>
            </w:r>
            <w:r w:rsidR="008619E5" w:rsidRPr="0094009B">
              <w:rPr>
                <w:color w:val="595959"/>
                <w:sz w:val="20"/>
                <w:szCs w:val="20"/>
              </w:rPr>
              <w:t xml:space="preserve"> </w:t>
            </w:r>
            <w:r w:rsidR="00DF632D" w:rsidRPr="0094009B">
              <w:rPr>
                <w:color w:val="595959"/>
                <w:sz w:val="20"/>
                <w:szCs w:val="20"/>
              </w:rPr>
              <w:t xml:space="preserve">as a demonstration of </w:t>
            </w:r>
            <w:r>
              <w:rPr>
                <w:color w:val="595959"/>
                <w:sz w:val="20"/>
                <w:szCs w:val="20"/>
              </w:rPr>
              <w:t xml:space="preserve">potential </w:t>
            </w:r>
            <w:r w:rsidR="00DF632D" w:rsidRPr="0094009B">
              <w:rPr>
                <w:color w:val="595959"/>
                <w:sz w:val="20"/>
                <w:szCs w:val="20"/>
              </w:rPr>
              <w:t xml:space="preserve">AI impact </w:t>
            </w:r>
            <w:r>
              <w:rPr>
                <w:color w:val="595959"/>
                <w:sz w:val="20"/>
                <w:szCs w:val="20"/>
              </w:rPr>
              <w:t>across</w:t>
            </w:r>
            <w:r w:rsidR="008619E5" w:rsidRPr="0094009B">
              <w:rPr>
                <w:color w:val="595959"/>
                <w:sz w:val="20"/>
                <w:szCs w:val="20"/>
              </w:rPr>
              <w:t xml:space="preserve"> CT</w:t>
            </w:r>
            <w:r>
              <w:rPr>
                <w:color w:val="595959"/>
                <w:sz w:val="20"/>
                <w:szCs w:val="20"/>
              </w:rPr>
              <w:t>’s broader</w:t>
            </w:r>
            <w:r w:rsidR="008619E5" w:rsidRPr="0094009B">
              <w:rPr>
                <w:color w:val="595959"/>
                <w:sz w:val="20"/>
                <w:szCs w:val="20"/>
              </w:rPr>
              <w:t xml:space="preserve"> workforce</w:t>
            </w:r>
            <w:r w:rsidR="00204EB5">
              <w:rPr>
                <w:color w:val="595959"/>
                <w:sz w:val="20"/>
                <w:szCs w:val="20"/>
              </w:rPr>
              <w:t>.</w:t>
            </w:r>
          </w:p>
          <w:p w14:paraId="076DAE20" w14:textId="0C1400FD" w:rsidR="00A55F12" w:rsidRPr="00823171" w:rsidRDefault="00823171" w:rsidP="00823171">
            <w:pPr>
              <w:pStyle w:val="ListParagraph"/>
              <w:numPr>
                <w:ilvl w:val="0"/>
                <w:numId w:val="10"/>
              </w:numPr>
              <w:ind w:left="389" w:right="-180" w:hanging="389"/>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 xml:space="preserve">Use assessment findings to recommend concrete investments CT State can make to minimize the risks, maximize the opportunities, and investigate </w:t>
            </w:r>
            <w:proofErr w:type="gramStart"/>
            <w:r>
              <w:rPr>
                <w:color w:val="595959"/>
                <w:sz w:val="20"/>
                <w:szCs w:val="20"/>
              </w:rPr>
              <w:t>further</w:t>
            </w:r>
            <w:r w:rsidR="00E833E5">
              <w:rPr>
                <w:color w:val="595959"/>
                <w:sz w:val="20"/>
                <w:szCs w:val="20"/>
              </w:rPr>
              <w:t>;</w:t>
            </w:r>
            <w:proofErr w:type="gramEnd"/>
            <w:r w:rsidR="00E833E5">
              <w:rPr>
                <w:color w:val="595959"/>
                <w:sz w:val="20"/>
                <w:szCs w:val="20"/>
              </w:rPr>
              <w:t xml:space="preserve"> i.e. “Phase II.”</w:t>
            </w:r>
          </w:p>
        </w:tc>
      </w:tr>
    </w:tbl>
    <w:p w14:paraId="2C323D17" w14:textId="1B71D183" w:rsidR="00A55F12" w:rsidRDefault="00DA2580" w:rsidP="00A06845">
      <w:pPr>
        <w:pStyle w:val="Heading2"/>
        <w:numPr>
          <w:ilvl w:val="0"/>
          <w:numId w:val="7"/>
        </w:numPr>
        <w:ind w:right="-180"/>
      </w:pPr>
      <w:r>
        <w:t xml:space="preserve">Initial Hypotheses </w:t>
      </w:r>
    </w:p>
    <w:tbl>
      <w:tblPr>
        <w:tblStyle w:val="a2"/>
        <w:tblW w:w="9630" w:type="dxa"/>
        <w:tblLayout w:type="fixed"/>
        <w:tblLook w:val="0480" w:firstRow="0" w:lastRow="0" w:firstColumn="1" w:lastColumn="0" w:noHBand="0" w:noVBand="1"/>
      </w:tblPr>
      <w:tblGrid>
        <w:gridCol w:w="577"/>
        <w:gridCol w:w="9053"/>
      </w:tblGrid>
      <w:tr w:rsidR="00A55F12" w14:paraId="78B5EAC8" w14:textId="77777777" w:rsidTr="00F00235">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1E5E6370" w14:textId="0DFCA079" w:rsidR="00A55F12" w:rsidRDefault="00A55F12">
            <w:pPr>
              <w:ind w:right="-180"/>
            </w:pPr>
          </w:p>
        </w:tc>
        <w:tc>
          <w:tcPr>
            <w:tcW w:w="9053" w:type="dxa"/>
            <w:shd w:val="clear" w:color="auto" w:fill="auto"/>
          </w:tcPr>
          <w:p w14:paraId="0B5F0ABC" w14:textId="7D2D46DE" w:rsidR="00A3240E" w:rsidRDefault="008F2D0F">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W</w:t>
            </w:r>
            <w:r w:rsidR="004C2B40">
              <w:rPr>
                <w:i/>
                <w:color w:val="595959"/>
                <w:sz w:val="20"/>
                <w:szCs w:val="20"/>
              </w:rPr>
              <w:t xml:space="preserve">hile </w:t>
            </w:r>
            <w:r w:rsidR="00127EF9">
              <w:rPr>
                <w:i/>
                <w:color w:val="595959"/>
                <w:sz w:val="20"/>
                <w:szCs w:val="20"/>
              </w:rPr>
              <w:t xml:space="preserve">CT has faced a chronic </w:t>
            </w:r>
            <w:r w:rsidR="0032573D">
              <w:rPr>
                <w:i/>
                <w:color w:val="595959"/>
                <w:sz w:val="20"/>
                <w:szCs w:val="20"/>
              </w:rPr>
              <w:t xml:space="preserve">employment gap </w:t>
            </w:r>
            <w:r w:rsidR="00FC12D9">
              <w:rPr>
                <w:i/>
                <w:color w:val="595959"/>
                <w:sz w:val="20"/>
                <w:szCs w:val="20"/>
              </w:rPr>
              <w:t>for many years between job openings and candidates with the skills to fill them</w:t>
            </w:r>
            <w:r w:rsidR="0077017D">
              <w:rPr>
                <w:i/>
                <w:color w:val="595959"/>
                <w:sz w:val="20"/>
                <w:szCs w:val="20"/>
              </w:rPr>
              <w:t xml:space="preserve">, </w:t>
            </w:r>
            <w:r w:rsidR="0077017D" w:rsidRPr="00CB752D">
              <w:rPr>
                <w:b/>
                <w:bCs/>
                <w:i/>
                <w:color w:val="595959"/>
                <w:sz w:val="20"/>
                <w:szCs w:val="20"/>
              </w:rPr>
              <w:t>AI is adding another layer of complexity</w:t>
            </w:r>
            <w:r w:rsidR="0077017D">
              <w:rPr>
                <w:i/>
                <w:color w:val="595959"/>
                <w:sz w:val="20"/>
                <w:szCs w:val="20"/>
              </w:rPr>
              <w:t xml:space="preserve"> to workforce </w:t>
            </w:r>
            <w:r w:rsidR="00F4084A">
              <w:rPr>
                <w:i/>
                <w:color w:val="595959"/>
                <w:sz w:val="20"/>
                <w:szCs w:val="20"/>
              </w:rPr>
              <w:t>preparedness</w:t>
            </w:r>
            <w:r w:rsidR="0077017D">
              <w:rPr>
                <w:i/>
                <w:color w:val="595959"/>
                <w:sz w:val="20"/>
                <w:szCs w:val="20"/>
              </w:rPr>
              <w:t xml:space="preserve"> in the state</w:t>
            </w:r>
            <w:r w:rsidR="000463E9">
              <w:rPr>
                <w:i/>
                <w:color w:val="595959"/>
                <w:sz w:val="20"/>
                <w:szCs w:val="20"/>
              </w:rPr>
              <w:t>.</w:t>
            </w:r>
          </w:p>
          <w:p w14:paraId="7E823F82" w14:textId="20FF1C29" w:rsidR="000463E9" w:rsidRDefault="000463E9">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 xml:space="preserve">Near-term AI impact is </w:t>
            </w:r>
            <w:r w:rsidRPr="004C7B0E">
              <w:rPr>
                <w:b/>
                <w:bCs/>
                <w:i/>
                <w:color w:val="595959"/>
                <w:sz w:val="20"/>
                <w:szCs w:val="20"/>
              </w:rPr>
              <w:t xml:space="preserve">likely to </w:t>
            </w:r>
            <w:r w:rsidR="00644482">
              <w:rPr>
                <w:b/>
                <w:bCs/>
                <w:i/>
                <w:color w:val="595959"/>
                <w:sz w:val="20"/>
                <w:szCs w:val="20"/>
              </w:rPr>
              <w:t>be on</w:t>
            </w:r>
            <w:r w:rsidR="00477804" w:rsidRPr="004C7B0E">
              <w:rPr>
                <w:b/>
                <w:bCs/>
                <w:i/>
                <w:color w:val="595959"/>
                <w:sz w:val="20"/>
                <w:szCs w:val="20"/>
              </w:rPr>
              <w:t xml:space="preserve"> </w:t>
            </w:r>
            <w:r w:rsidR="00823171">
              <w:rPr>
                <w:b/>
                <w:bCs/>
                <w:i/>
                <w:color w:val="595959"/>
                <w:sz w:val="20"/>
                <w:szCs w:val="20"/>
              </w:rPr>
              <w:t xml:space="preserve">CT </w:t>
            </w:r>
            <w:r w:rsidR="00477804" w:rsidRPr="004C7B0E">
              <w:rPr>
                <w:b/>
                <w:bCs/>
                <w:i/>
                <w:color w:val="595959"/>
                <w:sz w:val="20"/>
                <w:szCs w:val="20"/>
              </w:rPr>
              <w:t>knowledge workers</w:t>
            </w:r>
            <w:r w:rsidR="00477804">
              <w:rPr>
                <w:i/>
                <w:color w:val="595959"/>
                <w:sz w:val="20"/>
                <w:szCs w:val="20"/>
              </w:rPr>
              <w:t xml:space="preserve"> </w:t>
            </w:r>
            <w:r w:rsidR="00D06541">
              <w:rPr>
                <w:i/>
                <w:color w:val="595959"/>
                <w:sz w:val="20"/>
                <w:szCs w:val="20"/>
              </w:rPr>
              <w:t xml:space="preserve">– </w:t>
            </w:r>
            <w:r w:rsidR="00823171">
              <w:rPr>
                <w:i/>
                <w:color w:val="595959"/>
                <w:sz w:val="20"/>
                <w:szCs w:val="20"/>
              </w:rPr>
              <w:t>who</w:t>
            </w:r>
            <w:r w:rsidR="00B2181A">
              <w:rPr>
                <w:i/>
                <w:color w:val="595959"/>
                <w:sz w:val="20"/>
                <w:szCs w:val="20"/>
              </w:rPr>
              <w:t xml:space="preserve"> generally and</w:t>
            </w:r>
            <w:r w:rsidR="00D06541">
              <w:rPr>
                <w:i/>
                <w:color w:val="595959"/>
                <w:sz w:val="20"/>
                <w:szCs w:val="20"/>
              </w:rPr>
              <w:t xml:space="preserve"> historically command higher compensation - </w:t>
            </w:r>
            <w:r w:rsidR="00477804">
              <w:rPr>
                <w:i/>
                <w:color w:val="595959"/>
                <w:sz w:val="20"/>
                <w:szCs w:val="20"/>
              </w:rPr>
              <w:t xml:space="preserve">more so than </w:t>
            </w:r>
            <w:r w:rsidR="00D06541">
              <w:rPr>
                <w:i/>
                <w:color w:val="595959"/>
                <w:sz w:val="20"/>
                <w:szCs w:val="20"/>
              </w:rPr>
              <w:t>manual and service workers</w:t>
            </w:r>
          </w:p>
          <w:p w14:paraId="58C206D3" w14:textId="09F23949" w:rsidR="00823171" w:rsidRDefault="00823171">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 xml:space="preserve">The productivity and efficiency </w:t>
            </w:r>
            <w:r w:rsidR="00644482">
              <w:rPr>
                <w:i/>
                <w:color w:val="595959"/>
                <w:sz w:val="20"/>
                <w:szCs w:val="20"/>
              </w:rPr>
              <w:t>impacts</w:t>
            </w:r>
            <w:r>
              <w:rPr>
                <w:i/>
                <w:color w:val="595959"/>
                <w:sz w:val="20"/>
                <w:szCs w:val="20"/>
              </w:rPr>
              <w:t xml:space="preserve"> of AI </w:t>
            </w:r>
            <w:r w:rsidR="00644482">
              <w:rPr>
                <w:i/>
                <w:color w:val="595959"/>
                <w:sz w:val="20"/>
                <w:szCs w:val="20"/>
              </w:rPr>
              <w:t>are</w:t>
            </w:r>
            <w:r>
              <w:rPr>
                <w:i/>
                <w:color w:val="595959"/>
                <w:sz w:val="20"/>
                <w:szCs w:val="20"/>
              </w:rPr>
              <w:t xml:space="preserve"> likely to contract </w:t>
            </w:r>
            <w:r w:rsidR="00644482">
              <w:rPr>
                <w:i/>
                <w:color w:val="595959"/>
                <w:sz w:val="20"/>
                <w:szCs w:val="20"/>
              </w:rPr>
              <w:t xml:space="preserve">entry level </w:t>
            </w:r>
            <w:r>
              <w:rPr>
                <w:i/>
                <w:color w:val="595959"/>
                <w:sz w:val="20"/>
                <w:szCs w:val="20"/>
              </w:rPr>
              <w:t xml:space="preserve">opportunities for </w:t>
            </w:r>
            <w:r w:rsidR="00644482">
              <w:rPr>
                <w:i/>
                <w:color w:val="595959"/>
                <w:sz w:val="20"/>
                <w:szCs w:val="20"/>
              </w:rPr>
              <w:t>knowledge workers in the State and cause displacement for some current knowledge worker roles, while creating new opportunities for AI literate workers</w:t>
            </w:r>
          </w:p>
          <w:p w14:paraId="160A9288" w14:textId="653236B8" w:rsidR="00A3240E" w:rsidRDefault="00D23CDE">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 xml:space="preserve">At this </w:t>
            </w:r>
            <w:r w:rsidR="00823171">
              <w:rPr>
                <w:i/>
                <w:color w:val="595959"/>
                <w:sz w:val="20"/>
                <w:szCs w:val="20"/>
              </w:rPr>
              <w:t>early</w:t>
            </w:r>
            <w:r>
              <w:rPr>
                <w:i/>
                <w:color w:val="595959"/>
                <w:sz w:val="20"/>
                <w:szCs w:val="20"/>
              </w:rPr>
              <w:t xml:space="preserve"> stage, the best </w:t>
            </w:r>
            <w:r w:rsidR="00AE5918">
              <w:rPr>
                <w:i/>
                <w:color w:val="595959"/>
                <w:sz w:val="20"/>
                <w:szCs w:val="20"/>
              </w:rPr>
              <w:t>point of observation to assess</w:t>
            </w:r>
            <w:r w:rsidR="00CB752D">
              <w:rPr>
                <w:i/>
                <w:color w:val="595959"/>
                <w:sz w:val="20"/>
                <w:szCs w:val="20"/>
              </w:rPr>
              <w:t xml:space="preserve"> the workforce</w:t>
            </w:r>
            <w:r w:rsidR="00AE5918">
              <w:rPr>
                <w:i/>
                <w:color w:val="595959"/>
                <w:sz w:val="20"/>
                <w:szCs w:val="20"/>
              </w:rPr>
              <w:t xml:space="preserve"> impact </w:t>
            </w:r>
            <w:r w:rsidR="00CB752D">
              <w:rPr>
                <w:i/>
                <w:color w:val="595959"/>
                <w:sz w:val="20"/>
                <w:szCs w:val="20"/>
              </w:rPr>
              <w:t xml:space="preserve">of AI </w:t>
            </w:r>
            <w:r w:rsidR="00823171">
              <w:rPr>
                <w:i/>
                <w:color w:val="595959"/>
                <w:sz w:val="20"/>
                <w:szCs w:val="20"/>
              </w:rPr>
              <w:t xml:space="preserve">is </w:t>
            </w:r>
            <w:r w:rsidR="006B211B">
              <w:rPr>
                <w:i/>
                <w:color w:val="595959"/>
                <w:sz w:val="20"/>
                <w:szCs w:val="20"/>
              </w:rPr>
              <w:t xml:space="preserve">from the vantage point of </w:t>
            </w:r>
            <w:r w:rsidR="00823171">
              <w:rPr>
                <w:i/>
                <w:color w:val="595959"/>
                <w:sz w:val="20"/>
                <w:szCs w:val="20"/>
              </w:rPr>
              <w:t xml:space="preserve">a </w:t>
            </w:r>
            <w:r w:rsidR="006B211B">
              <w:rPr>
                <w:i/>
                <w:color w:val="595959"/>
                <w:sz w:val="20"/>
                <w:szCs w:val="20"/>
              </w:rPr>
              <w:t xml:space="preserve">specific </w:t>
            </w:r>
            <w:r w:rsidR="00CB752D">
              <w:rPr>
                <w:b/>
                <w:bCs/>
                <w:i/>
                <w:color w:val="595959"/>
                <w:sz w:val="20"/>
                <w:szCs w:val="20"/>
              </w:rPr>
              <w:t>WORKFLOW</w:t>
            </w:r>
            <w:r w:rsidR="00644482">
              <w:rPr>
                <w:b/>
                <w:bCs/>
                <w:i/>
                <w:color w:val="595959"/>
                <w:sz w:val="20"/>
                <w:szCs w:val="20"/>
              </w:rPr>
              <w:t xml:space="preserve"> </w:t>
            </w:r>
            <w:r w:rsidR="00644482">
              <w:rPr>
                <w:i/>
                <w:color w:val="595959"/>
                <w:sz w:val="20"/>
                <w:szCs w:val="20"/>
              </w:rPr>
              <w:t>within a priority industry such as Insurance</w:t>
            </w:r>
          </w:p>
          <w:p w14:paraId="4A92DCF3" w14:textId="76769DAF" w:rsidR="00644482" w:rsidRDefault="00644482">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lastRenderedPageBreak/>
              <w:t xml:space="preserve">Assessing a specific workflow should allow for the creation of rubric that can be used for assessment of other workflows and </w:t>
            </w:r>
            <w:proofErr w:type="gramStart"/>
            <w:r>
              <w:rPr>
                <w:i/>
                <w:color w:val="595959"/>
                <w:sz w:val="20"/>
                <w:szCs w:val="20"/>
              </w:rPr>
              <w:t>industries, and</w:t>
            </w:r>
            <w:proofErr w:type="gramEnd"/>
            <w:r>
              <w:rPr>
                <w:i/>
                <w:color w:val="595959"/>
                <w:sz w:val="20"/>
                <w:szCs w:val="20"/>
              </w:rPr>
              <w:t xml:space="preserve"> </w:t>
            </w:r>
            <w:proofErr w:type="gramStart"/>
            <w:r>
              <w:rPr>
                <w:i/>
                <w:color w:val="595959"/>
                <w:sz w:val="20"/>
                <w:szCs w:val="20"/>
              </w:rPr>
              <w:t>evolved</w:t>
            </w:r>
            <w:proofErr w:type="gramEnd"/>
            <w:r>
              <w:rPr>
                <w:i/>
                <w:color w:val="595959"/>
                <w:sz w:val="20"/>
                <w:szCs w:val="20"/>
              </w:rPr>
              <w:t xml:space="preserve"> for</w:t>
            </w:r>
            <w:r w:rsidR="002A64D7">
              <w:rPr>
                <w:i/>
                <w:color w:val="595959"/>
                <w:sz w:val="20"/>
                <w:szCs w:val="20"/>
              </w:rPr>
              <w:t xml:space="preserve"> use in</w:t>
            </w:r>
            <w:r>
              <w:rPr>
                <w:i/>
                <w:color w:val="595959"/>
                <w:sz w:val="20"/>
                <w:szCs w:val="20"/>
              </w:rPr>
              <w:t xml:space="preserve"> </w:t>
            </w:r>
            <w:r w:rsidR="00C4204F">
              <w:rPr>
                <w:i/>
                <w:color w:val="595959"/>
                <w:sz w:val="20"/>
                <w:szCs w:val="20"/>
              </w:rPr>
              <w:t>a repeating periodic</w:t>
            </w:r>
            <w:r>
              <w:rPr>
                <w:i/>
                <w:color w:val="595959"/>
                <w:sz w:val="20"/>
                <w:szCs w:val="20"/>
              </w:rPr>
              <w:t xml:space="preserve"> assessment if that is desirable</w:t>
            </w:r>
            <w:r w:rsidR="00E833E5">
              <w:rPr>
                <w:i/>
                <w:color w:val="595959"/>
                <w:sz w:val="20"/>
                <w:szCs w:val="20"/>
              </w:rPr>
              <w:t>.</w:t>
            </w:r>
          </w:p>
          <w:p w14:paraId="08DABFE6" w14:textId="3C4FDF3F" w:rsidR="00C4204F" w:rsidRDefault="00C4204F">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 xml:space="preserve">For expediency, the initial assessment can be conducted through secondary research only with extensive use LLM sources and the team’s own extensive expertise.  Primary research </w:t>
            </w:r>
            <w:commentRangeStart w:id="0"/>
            <w:r>
              <w:rPr>
                <w:i/>
                <w:color w:val="595959"/>
                <w:sz w:val="20"/>
                <w:szCs w:val="20"/>
              </w:rPr>
              <w:t>can</w:t>
            </w:r>
            <w:commentRangeEnd w:id="0"/>
            <w:r w:rsidR="00E833E5">
              <w:rPr>
                <w:rStyle w:val="CommentReference"/>
              </w:rPr>
              <w:commentReference w:id="0"/>
            </w:r>
            <w:r>
              <w:rPr>
                <w:i/>
                <w:color w:val="595959"/>
                <w:sz w:val="20"/>
                <w:szCs w:val="20"/>
              </w:rPr>
              <w:t xml:space="preserve"> be conducted in a subsequent effort to confirm findings if desired.</w:t>
            </w:r>
          </w:p>
          <w:p w14:paraId="11D223CC" w14:textId="528CDA5C" w:rsidR="00C4204F" w:rsidRDefault="00566326" w:rsidP="00C4204F">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The</w:t>
            </w:r>
            <w:r w:rsidR="002A64D7">
              <w:rPr>
                <w:i/>
                <w:color w:val="595959"/>
                <w:sz w:val="20"/>
                <w:szCs w:val="20"/>
              </w:rPr>
              <w:t xml:space="preserve"> recommendations for mitigating and inoculating against risks, as well preparing for new </w:t>
            </w:r>
            <w:r w:rsidR="00C4204F">
              <w:rPr>
                <w:i/>
                <w:color w:val="595959"/>
                <w:sz w:val="20"/>
                <w:szCs w:val="20"/>
              </w:rPr>
              <w:t>opportunities</w:t>
            </w:r>
            <w:r w:rsidR="00E833E5">
              <w:rPr>
                <w:i/>
                <w:color w:val="595959"/>
                <w:sz w:val="20"/>
                <w:szCs w:val="20"/>
              </w:rPr>
              <w:t>,</w:t>
            </w:r>
            <w:r w:rsidR="002A64D7">
              <w:rPr>
                <w:i/>
                <w:color w:val="595959"/>
                <w:sz w:val="20"/>
                <w:szCs w:val="20"/>
              </w:rPr>
              <w:t xml:space="preserve"> can be expressed as concrete actions for government, education and private sectors individually and collectively for benefit of the State’s knowledge worker</w:t>
            </w:r>
            <w:r w:rsidR="00C4204F">
              <w:rPr>
                <w:i/>
                <w:color w:val="595959"/>
                <w:sz w:val="20"/>
                <w:szCs w:val="20"/>
              </w:rPr>
              <w:t>.</w:t>
            </w:r>
          </w:p>
          <w:p w14:paraId="1B5721BC" w14:textId="6CEF4181" w:rsidR="00C4204F" w:rsidRPr="00C4204F" w:rsidRDefault="00C4204F" w:rsidP="00C4204F">
            <w:pPr>
              <w:numPr>
                <w:ilvl w:val="0"/>
                <w:numId w:val="1"/>
              </w:numPr>
              <w:pBdr>
                <w:top w:val="nil"/>
                <w:left w:val="nil"/>
                <w:bottom w:val="nil"/>
                <w:right w:val="nil"/>
                <w:between w:val="nil"/>
              </w:pBdr>
              <w:spacing w:after="160" w:line="264" w:lineRule="auto"/>
              <w:ind w:left="414" w:right="-180" w:hanging="414"/>
              <w:cnfStyle w:val="000000000000" w:firstRow="0" w:lastRow="0" w:firstColumn="0" w:lastColumn="0" w:oddVBand="0" w:evenVBand="0" w:oddHBand="0" w:evenHBand="0" w:firstRowFirstColumn="0" w:firstRowLastColumn="0" w:lastRowFirstColumn="0" w:lastRowLastColumn="0"/>
              <w:rPr>
                <w:i/>
                <w:color w:val="595959"/>
                <w:sz w:val="20"/>
                <w:szCs w:val="20"/>
              </w:rPr>
            </w:pPr>
            <w:r>
              <w:rPr>
                <w:i/>
                <w:color w:val="595959"/>
                <w:sz w:val="20"/>
                <w:szCs w:val="20"/>
              </w:rPr>
              <w:t xml:space="preserve">The </w:t>
            </w:r>
            <w:r w:rsidR="00566326">
              <w:rPr>
                <w:i/>
                <w:color w:val="595959"/>
                <w:sz w:val="20"/>
                <w:szCs w:val="20"/>
              </w:rPr>
              <w:t xml:space="preserve">initial </w:t>
            </w:r>
            <w:r>
              <w:rPr>
                <w:i/>
                <w:color w:val="595959"/>
                <w:sz w:val="20"/>
                <w:szCs w:val="20"/>
              </w:rPr>
              <w:t xml:space="preserve">recommendations can be </w:t>
            </w:r>
            <w:r w:rsidR="00566326">
              <w:rPr>
                <w:i/>
                <w:color w:val="595959"/>
                <w:sz w:val="20"/>
                <w:szCs w:val="20"/>
              </w:rPr>
              <w:t>vetted within SIP’s Volunteer Partner network and CT State’s Office for Workforce Strategy before presentation to the Governor’s office.  A subsequent effort can deepen the recommendations and make them actionable in collaboration with government, education and private sector leadership in the State.</w:t>
            </w:r>
          </w:p>
        </w:tc>
      </w:tr>
    </w:tbl>
    <w:p w14:paraId="75FCF16A" w14:textId="77777777" w:rsidR="00A55F12" w:rsidRDefault="00A55F12">
      <w:pPr>
        <w:ind w:right="-180"/>
      </w:pPr>
    </w:p>
    <w:p w14:paraId="03C66BF8" w14:textId="77777777" w:rsidR="00A55F12" w:rsidRDefault="00DA2580">
      <w:pPr>
        <w:pStyle w:val="Heading2"/>
        <w:numPr>
          <w:ilvl w:val="0"/>
          <w:numId w:val="7"/>
        </w:numPr>
        <w:ind w:right="-180"/>
      </w:pPr>
      <w:r>
        <w:t>Approach and Deliverables</w:t>
      </w:r>
    </w:p>
    <w:tbl>
      <w:tblPr>
        <w:tblStyle w:val="a3"/>
        <w:tblW w:w="9360" w:type="dxa"/>
        <w:tblLayout w:type="fixed"/>
        <w:tblLook w:val="0480" w:firstRow="0" w:lastRow="0" w:firstColumn="1" w:lastColumn="0" w:noHBand="0" w:noVBand="1"/>
      </w:tblPr>
      <w:tblGrid>
        <w:gridCol w:w="577"/>
        <w:gridCol w:w="8783"/>
      </w:tblGrid>
      <w:tr w:rsidR="00A55F12" w14:paraId="4544A4DD" w14:textId="77777777" w:rsidTr="002A64D7">
        <w:trPr>
          <w:trHeight w:val="4014"/>
        </w:trPr>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6E28B154" w14:textId="77777777" w:rsidR="00A55F12" w:rsidRDefault="00A55F12">
            <w:pPr>
              <w:ind w:right="-180"/>
              <w:rPr>
                <w:sz w:val="20"/>
                <w:szCs w:val="20"/>
              </w:rPr>
            </w:pPr>
          </w:p>
        </w:tc>
        <w:tc>
          <w:tcPr>
            <w:tcW w:w="8783" w:type="dxa"/>
            <w:shd w:val="clear" w:color="auto" w:fill="auto"/>
          </w:tcPr>
          <w:p w14:paraId="2A27D21D" w14:textId="538448CF" w:rsidR="00A55F12" w:rsidRDefault="00204EB5">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b/>
                <w:color w:val="595959"/>
                <w:sz w:val="20"/>
                <w:szCs w:val="20"/>
              </w:rPr>
              <w:t>Step 1</w:t>
            </w:r>
            <w:r w:rsidR="00DA2580">
              <w:rPr>
                <w:b/>
                <w:color w:val="595959"/>
                <w:sz w:val="20"/>
                <w:szCs w:val="20"/>
              </w:rPr>
              <w:t xml:space="preserve"> Mobilization and Discovery [</w:t>
            </w:r>
            <w:r w:rsidR="00566326">
              <w:rPr>
                <w:b/>
                <w:color w:val="595959"/>
                <w:sz w:val="20"/>
                <w:szCs w:val="20"/>
              </w:rPr>
              <w:t>April 28</w:t>
            </w:r>
            <w:r w:rsidR="00DA2580">
              <w:rPr>
                <w:b/>
                <w:color w:val="595959"/>
                <w:sz w:val="20"/>
                <w:szCs w:val="20"/>
              </w:rPr>
              <w:t xml:space="preserve"> – </w:t>
            </w:r>
            <w:r w:rsidR="00D26400">
              <w:rPr>
                <w:b/>
                <w:color w:val="595959"/>
                <w:sz w:val="20"/>
                <w:szCs w:val="20"/>
              </w:rPr>
              <w:t>May</w:t>
            </w:r>
            <w:r w:rsidR="00566326">
              <w:rPr>
                <w:b/>
                <w:color w:val="595959"/>
                <w:sz w:val="20"/>
                <w:szCs w:val="20"/>
              </w:rPr>
              <w:t xml:space="preserve"> 2</w:t>
            </w:r>
            <w:r w:rsidR="00DA2580">
              <w:rPr>
                <w:b/>
                <w:color w:val="595959"/>
                <w:sz w:val="20"/>
                <w:szCs w:val="20"/>
              </w:rPr>
              <w:t>]</w:t>
            </w:r>
          </w:p>
          <w:p w14:paraId="54B459E8" w14:textId="2166594E" w:rsidR="00A55F12" w:rsidRDefault="00DA2580">
            <w:pPr>
              <w:numPr>
                <w:ilvl w:val="0"/>
                <w:numId w:val="6"/>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color w:val="595959"/>
                <w:sz w:val="20"/>
                <w:szCs w:val="20"/>
              </w:rPr>
              <w:t>Develop</w:t>
            </w:r>
            <w:r w:rsidR="00566326">
              <w:rPr>
                <w:color w:val="595959"/>
                <w:sz w:val="20"/>
                <w:szCs w:val="20"/>
              </w:rPr>
              <w:t xml:space="preserve"> detailed</w:t>
            </w:r>
            <w:r>
              <w:rPr>
                <w:color w:val="595959"/>
                <w:sz w:val="20"/>
                <w:szCs w:val="20"/>
              </w:rPr>
              <w:t xml:space="preserve"> plan</w:t>
            </w:r>
          </w:p>
          <w:p w14:paraId="25E9FC0A" w14:textId="77777777" w:rsidR="00A55F12" w:rsidRDefault="00DA2580">
            <w:pPr>
              <w:numPr>
                <w:ilvl w:val="0"/>
                <w:numId w:val="6"/>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color w:val="595959"/>
                <w:sz w:val="20"/>
                <w:szCs w:val="20"/>
              </w:rPr>
              <w:t>Confirm resource allocation and availability</w:t>
            </w:r>
          </w:p>
          <w:p w14:paraId="1C76CE8C" w14:textId="77777777" w:rsidR="00A55F12" w:rsidRDefault="00DA2580">
            <w:pPr>
              <w:numPr>
                <w:ilvl w:val="0"/>
                <w:numId w:val="6"/>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color w:val="595959"/>
                <w:sz w:val="20"/>
                <w:szCs w:val="20"/>
              </w:rPr>
              <w:t>Collect initial sources of secondary research</w:t>
            </w:r>
          </w:p>
          <w:p w14:paraId="14DE8C35" w14:textId="77777777" w:rsidR="00A55F12" w:rsidRDefault="00DA2580">
            <w:pPr>
              <w:numPr>
                <w:ilvl w:val="0"/>
                <w:numId w:val="6"/>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color w:val="595959"/>
                <w:sz w:val="20"/>
                <w:szCs w:val="20"/>
                <w:u w:val="single"/>
              </w:rPr>
              <w:t>Deliverables:</w:t>
            </w:r>
            <w:r>
              <w:rPr>
                <w:color w:val="595959"/>
                <w:sz w:val="20"/>
                <w:szCs w:val="20"/>
              </w:rPr>
              <w:t xml:space="preserve">  Detailed plan, team structure, project kick off</w:t>
            </w:r>
          </w:p>
          <w:p w14:paraId="38B57B56" w14:textId="7CF010AA" w:rsidR="00A55F12" w:rsidRDefault="00D26400">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b/>
                <w:color w:val="595959"/>
                <w:sz w:val="20"/>
                <w:szCs w:val="20"/>
              </w:rPr>
              <w:t>Step 2</w:t>
            </w:r>
            <w:r w:rsidR="00DA2580">
              <w:rPr>
                <w:b/>
                <w:color w:val="595959"/>
                <w:sz w:val="20"/>
                <w:szCs w:val="20"/>
              </w:rPr>
              <w:t xml:space="preserve"> – </w:t>
            </w:r>
            <w:r w:rsidR="00566326">
              <w:rPr>
                <w:b/>
                <w:color w:val="595959"/>
                <w:sz w:val="20"/>
                <w:szCs w:val="20"/>
              </w:rPr>
              <w:t>Preliminary</w:t>
            </w:r>
            <w:r w:rsidR="00DA2580">
              <w:rPr>
                <w:b/>
                <w:color w:val="595959"/>
                <w:sz w:val="20"/>
                <w:szCs w:val="20"/>
              </w:rPr>
              <w:t xml:space="preserve"> Research and Analysis [</w:t>
            </w:r>
            <w:r w:rsidR="00E133D9">
              <w:rPr>
                <w:b/>
                <w:color w:val="595959"/>
                <w:sz w:val="20"/>
                <w:szCs w:val="20"/>
              </w:rPr>
              <w:t xml:space="preserve">May </w:t>
            </w:r>
            <w:r w:rsidR="00566326">
              <w:rPr>
                <w:b/>
                <w:color w:val="595959"/>
                <w:sz w:val="20"/>
                <w:szCs w:val="20"/>
              </w:rPr>
              <w:t>5</w:t>
            </w:r>
            <w:r w:rsidR="00DA2580">
              <w:rPr>
                <w:b/>
                <w:color w:val="595959"/>
                <w:sz w:val="20"/>
                <w:szCs w:val="20"/>
              </w:rPr>
              <w:t xml:space="preserve"> – May </w:t>
            </w:r>
            <w:r w:rsidR="00566326">
              <w:rPr>
                <w:b/>
                <w:color w:val="595959"/>
                <w:sz w:val="20"/>
                <w:szCs w:val="20"/>
              </w:rPr>
              <w:t>16</w:t>
            </w:r>
            <w:r w:rsidR="00DA2580">
              <w:rPr>
                <w:b/>
                <w:color w:val="595959"/>
                <w:sz w:val="20"/>
                <w:szCs w:val="20"/>
              </w:rPr>
              <w:t>]</w:t>
            </w:r>
          </w:p>
          <w:p w14:paraId="0B17E693" w14:textId="1673E630" w:rsidR="00A55F12" w:rsidRDefault="00DA2580">
            <w:pPr>
              <w:numPr>
                <w:ilvl w:val="0"/>
                <w:numId w:val="2"/>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 xml:space="preserve">Develop </w:t>
            </w:r>
            <w:r w:rsidR="0019613B">
              <w:rPr>
                <w:color w:val="595959"/>
                <w:sz w:val="20"/>
                <w:szCs w:val="20"/>
              </w:rPr>
              <w:t xml:space="preserve">workflow </w:t>
            </w:r>
            <w:r>
              <w:rPr>
                <w:color w:val="595959"/>
                <w:sz w:val="20"/>
                <w:szCs w:val="20"/>
              </w:rPr>
              <w:t xml:space="preserve">impact evaluation rubric </w:t>
            </w:r>
          </w:p>
          <w:p w14:paraId="2EF548A8" w14:textId="62D7C9F0" w:rsidR="00A55F12" w:rsidRDefault="0019613B">
            <w:pPr>
              <w:numPr>
                <w:ilvl w:val="0"/>
                <w:numId w:val="2"/>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 xml:space="preserve">Identify high-impact workflows to </w:t>
            </w:r>
            <w:r w:rsidR="003F7BEF">
              <w:rPr>
                <w:color w:val="595959"/>
                <w:sz w:val="20"/>
                <w:szCs w:val="20"/>
              </w:rPr>
              <w:t>be assessed</w:t>
            </w:r>
            <w:r w:rsidR="00566326">
              <w:rPr>
                <w:color w:val="595959"/>
                <w:sz w:val="20"/>
                <w:szCs w:val="20"/>
              </w:rPr>
              <w:t xml:space="preserve"> in Insurance industry</w:t>
            </w:r>
          </w:p>
          <w:p w14:paraId="4446F926" w14:textId="24EE3D7E" w:rsidR="009C7C70" w:rsidRPr="009C7C70" w:rsidRDefault="009C7C70" w:rsidP="009C7C70">
            <w:pPr>
              <w:numPr>
                <w:ilvl w:val="0"/>
                <w:numId w:val="2"/>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Conduct secondary research to confirm and adjust hypotheses</w:t>
            </w:r>
          </w:p>
          <w:p w14:paraId="12F111CD" w14:textId="197B3499" w:rsidR="00A55F12" w:rsidRDefault="00DA2580">
            <w:pPr>
              <w:numPr>
                <w:ilvl w:val="0"/>
                <w:numId w:val="2"/>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u w:val="single"/>
              </w:rPr>
              <w:t>Deliverables:</w:t>
            </w:r>
            <w:r>
              <w:rPr>
                <w:color w:val="595959"/>
                <w:sz w:val="20"/>
                <w:szCs w:val="20"/>
              </w:rPr>
              <w:t xml:space="preserve">  </w:t>
            </w:r>
            <w:r w:rsidR="009C7C70">
              <w:rPr>
                <w:color w:val="595959"/>
                <w:sz w:val="20"/>
                <w:szCs w:val="20"/>
              </w:rPr>
              <w:t>I</w:t>
            </w:r>
            <w:r>
              <w:rPr>
                <w:color w:val="595959"/>
                <w:sz w:val="20"/>
                <w:szCs w:val="20"/>
              </w:rPr>
              <w:t>mpact evaluation rubric</w:t>
            </w:r>
            <w:r w:rsidR="009C7C70">
              <w:rPr>
                <w:color w:val="595959"/>
                <w:sz w:val="20"/>
                <w:szCs w:val="20"/>
              </w:rPr>
              <w:t xml:space="preserve"> and refined hypotheses</w:t>
            </w:r>
          </w:p>
        </w:tc>
      </w:tr>
      <w:tr w:rsidR="002A64D7" w14:paraId="48B0E096" w14:textId="77777777">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75757F62" w14:textId="77777777" w:rsidR="002A64D7" w:rsidRDefault="002A64D7">
            <w:pPr>
              <w:ind w:right="-180"/>
              <w:rPr>
                <w:sz w:val="20"/>
                <w:szCs w:val="20"/>
              </w:rPr>
            </w:pPr>
          </w:p>
        </w:tc>
        <w:tc>
          <w:tcPr>
            <w:tcW w:w="8783" w:type="dxa"/>
            <w:shd w:val="clear" w:color="auto" w:fill="auto"/>
          </w:tcPr>
          <w:p w14:paraId="4013D23C" w14:textId="7E566187" w:rsidR="002A64D7" w:rsidRDefault="002A64D7">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b/>
                <w:color w:val="595959"/>
                <w:sz w:val="20"/>
                <w:szCs w:val="20"/>
              </w:rPr>
              <w:t xml:space="preserve">Step 3 – </w:t>
            </w:r>
            <w:r w:rsidR="00566326">
              <w:rPr>
                <w:b/>
                <w:color w:val="595959"/>
                <w:sz w:val="20"/>
                <w:szCs w:val="20"/>
              </w:rPr>
              <w:t>Final</w:t>
            </w:r>
            <w:r>
              <w:rPr>
                <w:b/>
                <w:color w:val="595959"/>
                <w:sz w:val="20"/>
                <w:szCs w:val="20"/>
              </w:rPr>
              <w:t xml:space="preserve"> </w:t>
            </w:r>
            <w:r w:rsidR="009C7C70">
              <w:rPr>
                <w:b/>
                <w:color w:val="595959"/>
                <w:sz w:val="20"/>
                <w:szCs w:val="20"/>
              </w:rPr>
              <w:t>Assessment</w:t>
            </w:r>
            <w:r>
              <w:rPr>
                <w:b/>
                <w:color w:val="595959"/>
                <w:sz w:val="20"/>
                <w:szCs w:val="20"/>
              </w:rPr>
              <w:t xml:space="preserve"> and Validation [May 19 – </w:t>
            </w:r>
            <w:r w:rsidR="009C7C70">
              <w:rPr>
                <w:b/>
                <w:color w:val="595959"/>
                <w:sz w:val="20"/>
                <w:szCs w:val="20"/>
              </w:rPr>
              <w:t>June</w:t>
            </w:r>
            <w:r>
              <w:rPr>
                <w:b/>
                <w:color w:val="595959"/>
                <w:sz w:val="20"/>
                <w:szCs w:val="20"/>
              </w:rPr>
              <w:t xml:space="preserve"> </w:t>
            </w:r>
            <w:r w:rsidR="009C7C70">
              <w:rPr>
                <w:b/>
                <w:color w:val="595959"/>
                <w:sz w:val="20"/>
                <w:szCs w:val="20"/>
              </w:rPr>
              <w:t>20</w:t>
            </w:r>
            <w:r>
              <w:rPr>
                <w:b/>
                <w:color w:val="595959"/>
                <w:sz w:val="20"/>
                <w:szCs w:val="20"/>
              </w:rPr>
              <w:t>]</w:t>
            </w:r>
          </w:p>
          <w:p w14:paraId="53750D54" w14:textId="317E5EDA" w:rsidR="002A64D7" w:rsidRDefault="00566326">
            <w:pPr>
              <w:numPr>
                <w:ilvl w:val="0"/>
                <w:numId w:val="3"/>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Fully assess a single workflow in the Insurance industry</w:t>
            </w:r>
          </w:p>
          <w:p w14:paraId="4C8D3EEF" w14:textId="0C18B021" w:rsidR="002A64D7" w:rsidRDefault="00566326">
            <w:pPr>
              <w:numPr>
                <w:ilvl w:val="0"/>
                <w:numId w:val="3"/>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 xml:space="preserve">Validate findings with SIP </w:t>
            </w:r>
            <w:r w:rsidR="009C7C70">
              <w:rPr>
                <w:color w:val="595959"/>
                <w:sz w:val="20"/>
                <w:szCs w:val="20"/>
              </w:rPr>
              <w:t>team and select Volunteer Partners</w:t>
            </w:r>
          </w:p>
          <w:p w14:paraId="37A4CF48" w14:textId="7A135841" w:rsidR="002A64D7" w:rsidRDefault="002A64D7">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color w:val="595959"/>
                <w:sz w:val="20"/>
                <w:szCs w:val="20"/>
                <w:u w:val="single"/>
              </w:rPr>
              <w:t>Deliverables:</w:t>
            </w:r>
            <w:r>
              <w:rPr>
                <w:color w:val="595959"/>
                <w:sz w:val="20"/>
                <w:szCs w:val="20"/>
              </w:rPr>
              <w:t xml:space="preserve">  Summary of </w:t>
            </w:r>
            <w:r w:rsidR="009C7C70">
              <w:rPr>
                <w:color w:val="595959"/>
                <w:sz w:val="20"/>
                <w:szCs w:val="20"/>
              </w:rPr>
              <w:t>findings</w:t>
            </w:r>
            <w:r>
              <w:rPr>
                <w:color w:val="595959"/>
                <w:sz w:val="20"/>
                <w:szCs w:val="20"/>
              </w:rPr>
              <w:t xml:space="preserve"> and revised impact </w:t>
            </w:r>
            <w:r w:rsidR="009C7C70">
              <w:rPr>
                <w:color w:val="595959"/>
                <w:sz w:val="20"/>
                <w:szCs w:val="20"/>
              </w:rPr>
              <w:t>assessment</w:t>
            </w:r>
            <w:r>
              <w:rPr>
                <w:color w:val="595959"/>
                <w:sz w:val="20"/>
                <w:szCs w:val="20"/>
              </w:rPr>
              <w:t xml:space="preserve"> report</w:t>
            </w:r>
          </w:p>
        </w:tc>
      </w:tr>
      <w:tr w:rsidR="002A64D7" w14:paraId="64A24AEB" w14:textId="77777777">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44A4B5C1" w14:textId="77777777" w:rsidR="002A64D7" w:rsidRDefault="002A64D7">
            <w:pPr>
              <w:ind w:right="-180"/>
            </w:pPr>
          </w:p>
        </w:tc>
        <w:tc>
          <w:tcPr>
            <w:tcW w:w="8783" w:type="dxa"/>
            <w:shd w:val="clear" w:color="auto" w:fill="auto"/>
          </w:tcPr>
          <w:p w14:paraId="2D195CC7" w14:textId="77777777" w:rsidR="002A64D7" w:rsidRDefault="002A64D7">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b/>
                <w:color w:val="595959"/>
                <w:sz w:val="20"/>
                <w:szCs w:val="20"/>
              </w:rPr>
            </w:pPr>
            <w:r>
              <w:rPr>
                <w:b/>
                <w:color w:val="595959"/>
                <w:sz w:val="20"/>
                <w:szCs w:val="20"/>
              </w:rPr>
              <w:t>Step 4 – Opportunity Analysis and Recommendations [July 14 – August 15]</w:t>
            </w:r>
          </w:p>
          <w:p w14:paraId="4108F943" w14:textId="77ABEDA1" w:rsidR="002A64D7" w:rsidRDefault="002A64D7">
            <w:pPr>
              <w:numPr>
                <w:ilvl w:val="0"/>
                <w:numId w:val="4"/>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 xml:space="preserve">Ideation for impact mitigation </w:t>
            </w:r>
            <w:r w:rsidR="009C7C70">
              <w:rPr>
                <w:color w:val="595959"/>
                <w:sz w:val="20"/>
                <w:szCs w:val="20"/>
              </w:rPr>
              <w:t xml:space="preserve">and </w:t>
            </w:r>
            <w:r>
              <w:rPr>
                <w:color w:val="595959"/>
                <w:sz w:val="20"/>
                <w:szCs w:val="20"/>
              </w:rPr>
              <w:t>opportunities</w:t>
            </w:r>
          </w:p>
          <w:p w14:paraId="110782CA" w14:textId="77777777" w:rsidR="009C7C70" w:rsidRDefault="009C7C70" w:rsidP="009C7C70">
            <w:pPr>
              <w:numPr>
                <w:ilvl w:val="0"/>
                <w:numId w:val="4"/>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Final recommendations</w:t>
            </w:r>
          </w:p>
          <w:p w14:paraId="4ED52E9E" w14:textId="738CFDDA" w:rsidR="002A64D7" w:rsidRDefault="009C7C70">
            <w:pPr>
              <w:numPr>
                <w:ilvl w:val="0"/>
                <w:numId w:val="4"/>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B</w:t>
            </w:r>
            <w:r w:rsidR="002A64D7">
              <w:rPr>
                <w:color w:val="595959"/>
                <w:sz w:val="20"/>
                <w:szCs w:val="20"/>
              </w:rPr>
              <w:t>lue-print for Phase II broader study</w:t>
            </w:r>
            <w:r>
              <w:rPr>
                <w:color w:val="595959"/>
                <w:sz w:val="20"/>
                <w:szCs w:val="20"/>
              </w:rPr>
              <w:t xml:space="preserve"> (if desired)</w:t>
            </w:r>
          </w:p>
          <w:p w14:paraId="1A69B71B" w14:textId="7BDC146D" w:rsidR="002A64D7" w:rsidRDefault="002A64D7">
            <w:pPr>
              <w:numPr>
                <w:ilvl w:val="0"/>
                <w:numId w:val="3"/>
              </w:num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u w:val="single"/>
              </w:rPr>
              <w:t>Deliverables:</w:t>
            </w:r>
            <w:r>
              <w:rPr>
                <w:color w:val="595959"/>
                <w:sz w:val="20"/>
                <w:szCs w:val="20"/>
              </w:rPr>
              <w:t xml:space="preserve">  Prioritized portfolio of opportunities and final recommendations</w:t>
            </w:r>
          </w:p>
        </w:tc>
      </w:tr>
      <w:tr w:rsidR="002A64D7" w14:paraId="542F4B9A" w14:textId="77777777">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4120F77B" w14:textId="77777777" w:rsidR="002A64D7" w:rsidRDefault="002A64D7">
            <w:pPr>
              <w:ind w:right="-180"/>
              <w:rPr>
                <w:sz w:val="20"/>
                <w:szCs w:val="20"/>
              </w:rPr>
            </w:pPr>
          </w:p>
        </w:tc>
        <w:tc>
          <w:tcPr>
            <w:tcW w:w="8783" w:type="dxa"/>
            <w:shd w:val="clear" w:color="auto" w:fill="auto"/>
          </w:tcPr>
          <w:p w14:paraId="18537153" w14:textId="2530C409" w:rsidR="002A64D7" w:rsidRDefault="002A64D7" w:rsidP="009C7C70">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p>
        </w:tc>
      </w:tr>
    </w:tbl>
    <w:p w14:paraId="3574339B" w14:textId="77777777" w:rsidR="00A55F12" w:rsidRDefault="00DA2580">
      <w:pPr>
        <w:pStyle w:val="Heading2"/>
        <w:numPr>
          <w:ilvl w:val="0"/>
          <w:numId w:val="7"/>
        </w:numPr>
        <w:ind w:right="-180"/>
      </w:pPr>
      <w:r>
        <w:t xml:space="preserve">Specific exclusions from scope </w:t>
      </w:r>
    </w:p>
    <w:tbl>
      <w:tblPr>
        <w:tblStyle w:val="a4"/>
        <w:tblW w:w="9360" w:type="dxa"/>
        <w:tblLayout w:type="fixed"/>
        <w:tblLook w:val="0480" w:firstRow="0" w:lastRow="0" w:firstColumn="1" w:lastColumn="0" w:noHBand="0" w:noVBand="1"/>
      </w:tblPr>
      <w:tblGrid>
        <w:gridCol w:w="577"/>
        <w:gridCol w:w="8783"/>
      </w:tblGrid>
      <w:tr w:rsidR="00A55F12" w14:paraId="263AA5FB" w14:textId="77777777">
        <w:tc>
          <w:tcPr>
            <w:cnfStyle w:val="001000000000" w:firstRow="0" w:lastRow="0" w:firstColumn="1" w:lastColumn="0" w:oddVBand="0" w:evenVBand="0" w:oddHBand="0" w:evenHBand="0" w:firstRowFirstColumn="0" w:firstRowLastColumn="0" w:lastRowFirstColumn="0" w:lastRowLastColumn="0"/>
            <w:tcW w:w="577" w:type="dxa"/>
            <w:shd w:val="clear" w:color="auto" w:fill="auto"/>
          </w:tcPr>
          <w:p w14:paraId="45EC80EC" w14:textId="77777777" w:rsidR="00A55F12" w:rsidRDefault="00A55F12">
            <w:pPr>
              <w:ind w:right="-180"/>
            </w:pPr>
          </w:p>
        </w:tc>
        <w:tc>
          <w:tcPr>
            <w:tcW w:w="8783" w:type="dxa"/>
            <w:shd w:val="clear" w:color="auto" w:fill="auto"/>
          </w:tcPr>
          <w:p w14:paraId="1D1ABFBE" w14:textId="77777777" w:rsidR="00A55F12" w:rsidRDefault="00DA2580">
            <w:pPr>
              <w:pBdr>
                <w:top w:val="nil"/>
                <w:left w:val="nil"/>
                <w:bottom w:val="nil"/>
                <w:right w:val="nil"/>
                <w:between w:val="nil"/>
              </w:pBdr>
              <w:spacing w:after="160" w:line="264" w:lineRule="auto"/>
              <w:ind w:right="-180"/>
              <w:cnfStyle w:val="000000000000" w:firstRow="0" w:lastRow="0" w:firstColumn="0" w:lastColumn="0" w:oddVBand="0" w:evenVBand="0" w:oddHBand="0" w:evenHBand="0" w:firstRowFirstColumn="0" w:firstRowLastColumn="0" w:lastRowFirstColumn="0" w:lastRowLastColumn="0"/>
              <w:rPr>
                <w:color w:val="595959"/>
                <w:sz w:val="20"/>
                <w:szCs w:val="20"/>
              </w:rPr>
            </w:pPr>
            <w:r>
              <w:rPr>
                <w:color w:val="595959"/>
                <w:sz w:val="20"/>
                <w:szCs w:val="20"/>
              </w:rPr>
              <w:t xml:space="preserve">The study is not intended to be comprehensive of all industries and jobs owing to time and resource </w:t>
            </w:r>
            <w:proofErr w:type="gramStart"/>
            <w:r>
              <w:rPr>
                <w:color w:val="595959"/>
                <w:sz w:val="20"/>
                <w:szCs w:val="20"/>
              </w:rPr>
              <w:t>constraints, but</w:t>
            </w:r>
            <w:proofErr w:type="gramEnd"/>
            <w:r>
              <w:rPr>
                <w:color w:val="595959"/>
                <w:sz w:val="20"/>
                <w:szCs w:val="20"/>
              </w:rPr>
              <w:t xml:space="preserve"> will use a “triage” approach to develop a “Pareto” view of impacts and mitigation opportunities.</w:t>
            </w:r>
          </w:p>
        </w:tc>
      </w:tr>
    </w:tbl>
    <w:p w14:paraId="795C05ED" w14:textId="77777777" w:rsidR="00A55F12" w:rsidRDefault="00DA2580">
      <w:pPr>
        <w:pStyle w:val="Heading2"/>
        <w:numPr>
          <w:ilvl w:val="0"/>
          <w:numId w:val="7"/>
        </w:numPr>
        <w:ind w:right="-180"/>
      </w:pPr>
      <w:r>
        <w:t>High-level timeline/schedule</w:t>
      </w:r>
    </w:p>
    <w:p w14:paraId="03B0A40D" w14:textId="4DFC555B" w:rsidR="00B176CB" w:rsidRPr="00B176CB" w:rsidRDefault="00DA2580" w:rsidP="00B176CB">
      <w:pPr>
        <w:ind w:right="-180"/>
      </w:pPr>
      <w:r>
        <w:t xml:space="preserve"> </w:t>
      </w:r>
      <w:r w:rsidR="00B176CB" w:rsidRPr="00B176CB">
        <w:rPr>
          <w:noProof/>
        </w:rPr>
        <w:drawing>
          <wp:inline distT="0" distB="0" distL="0" distR="0" wp14:anchorId="325861E7" wp14:editId="550FCC8B">
            <wp:extent cx="6286500" cy="3476625"/>
            <wp:effectExtent l="0" t="0" r="0" b="9525"/>
            <wp:docPr id="451810902"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10902" name="Picture 2" descr="A screenshot of a graph&#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0" cy="3476625"/>
                    </a:xfrm>
                    <a:prstGeom prst="rect">
                      <a:avLst/>
                    </a:prstGeom>
                    <a:noFill/>
                    <a:ln>
                      <a:noFill/>
                    </a:ln>
                  </pic:spPr>
                </pic:pic>
              </a:graphicData>
            </a:graphic>
          </wp:inline>
        </w:drawing>
      </w:r>
    </w:p>
    <w:p w14:paraId="5A5C58E5" w14:textId="2A9244FD" w:rsidR="00A55F12" w:rsidRDefault="00A55F12">
      <w:pPr>
        <w:ind w:right="-180"/>
      </w:pPr>
    </w:p>
    <w:p w14:paraId="23CB3684" w14:textId="77777777" w:rsidR="00A55F12" w:rsidRDefault="00DA2580">
      <w:pPr>
        <w:pStyle w:val="Heading2"/>
        <w:numPr>
          <w:ilvl w:val="0"/>
          <w:numId w:val="7"/>
        </w:numPr>
        <w:ind w:right="-180"/>
      </w:pPr>
      <w:r>
        <w:t>Risks</w:t>
      </w:r>
    </w:p>
    <w:p w14:paraId="45F719F4" w14:textId="77777777" w:rsidR="00A55F12" w:rsidRDefault="00DA2580">
      <w:pPr>
        <w:numPr>
          <w:ilvl w:val="0"/>
          <w:numId w:val="8"/>
        </w:numPr>
        <w:spacing w:after="0"/>
        <w:rPr>
          <w:sz w:val="20"/>
          <w:szCs w:val="20"/>
        </w:rPr>
      </w:pPr>
      <w:r>
        <w:rPr>
          <w:sz w:val="20"/>
          <w:szCs w:val="20"/>
        </w:rPr>
        <w:t>Resource availability</w:t>
      </w:r>
    </w:p>
    <w:p w14:paraId="33AB81BB" w14:textId="77777777" w:rsidR="00A55F12" w:rsidRDefault="00DA2580">
      <w:pPr>
        <w:numPr>
          <w:ilvl w:val="0"/>
          <w:numId w:val="8"/>
        </w:numPr>
        <w:rPr>
          <w:sz w:val="20"/>
          <w:szCs w:val="20"/>
        </w:rPr>
      </w:pPr>
      <w:r>
        <w:rPr>
          <w:sz w:val="20"/>
          <w:szCs w:val="20"/>
        </w:rPr>
        <w:t>Interview availability</w:t>
      </w:r>
    </w:p>
    <w:p w14:paraId="559C9F7A" w14:textId="77777777" w:rsidR="00A55F12" w:rsidRDefault="00A55F12">
      <w:pPr>
        <w:ind w:right="-180"/>
      </w:pPr>
    </w:p>
    <w:p w14:paraId="749EDC2A" w14:textId="77777777" w:rsidR="00A55F12" w:rsidRDefault="00DA2580">
      <w:pPr>
        <w:ind w:right="-180"/>
      </w:pPr>
      <w:r>
        <w:br w:type="page"/>
      </w:r>
    </w:p>
    <w:p w14:paraId="0D713717" w14:textId="77777777" w:rsidR="00A55F12" w:rsidRDefault="00DA2580">
      <w:pPr>
        <w:ind w:right="-180"/>
        <w:rPr>
          <w:b/>
          <w:color w:val="071DF2"/>
          <w:sz w:val="24"/>
          <w:szCs w:val="24"/>
        </w:rPr>
      </w:pPr>
      <w:r>
        <w:rPr>
          <w:b/>
          <w:color w:val="071DF2"/>
          <w:sz w:val="24"/>
          <w:szCs w:val="24"/>
        </w:rPr>
        <w:lastRenderedPageBreak/>
        <w:t>Project Volunteers</w:t>
      </w:r>
    </w:p>
    <w:p w14:paraId="4B5B1C56" w14:textId="77777777" w:rsidR="00A55F12" w:rsidRDefault="00DA2580">
      <w:pPr>
        <w:numPr>
          <w:ilvl w:val="0"/>
          <w:numId w:val="5"/>
        </w:numPr>
        <w:pBdr>
          <w:top w:val="nil"/>
          <w:left w:val="nil"/>
          <w:bottom w:val="nil"/>
          <w:right w:val="nil"/>
          <w:between w:val="nil"/>
        </w:pBdr>
        <w:spacing w:after="0"/>
        <w:ind w:right="-180"/>
      </w:pPr>
      <w:r>
        <w:rPr>
          <w:b/>
          <w:color w:val="000000"/>
          <w:sz w:val="20"/>
          <w:szCs w:val="20"/>
        </w:rPr>
        <w:t>Sanjiv Nathwani</w:t>
      </w:r>
      <w:r>
        <w:rPr>
          <w:color w:val="000000"/>
          <w:sz w:val="20"/>
          <w:szCs w:val="20"/>
        </w:rPr>
        <w:t xml:space="preserve"> - Sanjiv Nathwani is a seasoned executive and transformation leader in AI, data, and financial services. Most recently, he served as CEO of a Fintech, driving AI-as-a-Service innovations that redefined operations in institutional banking. His career spans senior roles at Deloitte, Goldman Sachs and Freddie Mac, where he led large-scale digital and operational transformations. Sanjiv holds an EMBA from Kellogg and studied Computer Science and English at University of Pennsylvania.</w:t>
      </w:r>
    </w:p>
    <w:p w14:paraId="015AE4D0" w14:textId="77777777" w:rsidR="00A55F12" w:rsidRDefault="00A55F12">
      <w:pPr>
        <w:pBdr>
          <w:top w:val="nil"/>
          <w:left w:val="nil"/>
          <w:bottom w:val="nil"/>
          <w:right w:val="nil"/>
          <w:between w:val="nil"/>
        </w:pBdr>
        <w:spacing w:after="0"/>
        <w:ind w:left="720" w:right="-180"/>
        <w:rPr>
          <w:color w:val="000000"/>
        </w:rPr>
      </w:pPr>
    </w:p>
    <w:p w14:paraId="1708C3AD" w14:textId="77777777" w:rsidR="00A55F12" w:rsidRDefault="00DA2580">
      <w:pPr>
        <w:numPr>
          <w:ilvl w:val="0"/>
          <w:numId w:val="5"/>
        </w:numPr>
        <w:pBdr>
          <w:top w:val="nil"/>
          <w:left w:val="nil"/>
          <w:bottom w:val="nil"/>
          <w:right w:val="nil"/>
          <w:between w:val="nil"/>
        </w:pBdr>
        <w:ind w:right="-180"/>
        <w:rPr>
          <w:color w:val="000000"/>
          <w:sz w:val="20"/>
          <w:szCs w:val="20"/>
        </w:rPr>
      </w:pPr>
      <w:r>
        <w:rPr>
          <w:b/>
          <w:color w:val="000000"/>
          <w:sz w:val="20"/>
          <w:szCs w:val="20"/>
        </w:rPr>
        <w:t xml:space="preserve">Joseph Smialowski - </w:t>
      </w:r>
      <w:r>
        <w:rPr>
          <w:color w:val="000000"/>
          <w:sz w:val="20"/>
          <w:szCs w:val="20"/>
        </w:rPr>
        <w:t>Joe is a veteran executive and thought leader whose career spans senior technology and operations roles in financial services, retail, and consulting. He co-founded the Innovation and Workforce Discontinuity Initiative, where he leads research on how technology is reshaping employment in the U.S. Joe previously held C-level and executive roles at Citi, Freddie Mac, FleetBoston, Sears, and PwC. He holds a B.A. in Philosophy from Merrimack College and studied at the Rochester Institute of Technology.</w:t>
      </w:r>
    </w:p>
    <w:p w14:paraId="46477B98" w14:textId="77777777" w:rsidR="00A55F12" w:rsidRDefault="00DA2580">
      <w:pPr>
        <w:numPr>
          <w:ilvl w:val="0"/>
          <w:numId w:val="5"/>
        </w:numPr>
        <w:pBdr>
          <w:top w:val="nil"/>
          <w:left w:val="nil"/>
          <w:bottom w:val="nil"/>
          <w:right w:val="nil"/>
          <w:between w:val="nil"/>
        </w:pBdr>
        <w:ind w:right="-180"/>
      </w:pPr>
      <w:r>
        <w:rPr>
          <w:b/>
          <w:color w:val="000000"/>
          <w:sz w:val="20"/>
          <w:szCs w:val="20"/>
        </w:rPr>
        <w:t xml:space="preserve">Brett Adams - </w:t>
      </w:r>
      <w:r>
        <w:rPr>
          <w:color w:val="000000"/>
          <w:sz w:val="20"/>
          <w:szCs w:val="20"/>
        </w:rPr>
        <w:t>Brett Adams is a fintech executive with over 20 years of global experience leading product, data, and AI strategy across startups and enterprises. He has launched and scaled innovative solutions in payments, credit, and automation at companies including Mastercard, Openpay, and Accenture. Most recently, Brett served as Head of Product at CTFSI, spearheading its transition to an AI-as-a-Service platform for institutional banking. He holds degrees from Stanford, the London School of Economics, and Northwestern’s Kellogg School of Management.</w:t>
      </w:r>
    </w:p>
    <w:p w14:paraId="3F5D60F4" w14:textId="77777777" w:rsidR="00A55F12" w:rsidRDefault="00DA2580">
      <w:pPr>
        <w:numPr>
          <w:ilvl w:val="0"/>
          <w:numId w:val="5"/>
        </w:numPr>
        <w:pBdr>
          <w:top w:val="nil"/>
          <w:left w:val="nil"/>
          <w:bottom w:val="nil"/>
          <w:right w:val="nil"/>
          <w:between w:val="nil"/>
        </w:pBdr>
        <w:ind w:right="-180"/>
        <w:rPr>
          <w:b/>
          <w:sz w:val="20"/>
          <w:szCs w:val="20"/>
        </w:rPr>
      </w:pPr>
      <w:r>
        <w:rPr>
          <w:b/>
          <w:sz w:val="20"/>
          <w:szCs w:val="20"/>
        </w:rPr>
        <w:t xml:space="preserve">Accenture </w:t>
      </w:r>
      <w:proofErr w:type="gramStart"/>
      <w:r>
        <w:rPr>
          <w:b/>
          <w:sz w:val="20"/>
          <w:szCs w:val="20"/>
        </w:rPr>
        <w:t xml:space="preserve">- </w:t>
      </w:r>
      <w:r>
        <w:rPr>
          <w:sz w:val="20"/>
          <w:szCs w:val="20"/>
        </w:rPr>
        <w:t xml:space="preserve"> have</w:t>
      </w:r>
      <w:proofErr w:type="gramEnd"/>
      <w:r>
        <w:rPr>
          <w:sz w:val="20"/>
          <w:szCs w:val="20"/>
        </w:rPr>
        <w:t xml:space="preserve"> expressed interest.  Specific involvement TBD</w:t>
      </w:r>
    </w:p>
    <w:p w14:paraId="7C5D53FE" w14:textId="77777777" w:rsidR="00A55F12" w:rsidRDefault="00DA2580">
      <w:pPr>
        <w:numPr>
          <w:ilvl w:val="0"/>
          <w:numId w:val="5"/>
        </w:numPr>
        <w:pBdr>
          <w:top w:val="nil"/>
          <w:left w:val="nil"/>
          <w:bottom w:val="nil"/>
          <w:right w:val="nil"/>
          <w:between w:val="nil"/>
        </w:pBdr>
        <w:ind w:right="-180"/>
        <w:rPr>
          <w:b/>
          <w:sz w:val="20"/>
          <w:szCs w:val="20"/>
        </w:rPr>
      </w:pPr>
      <w:r>
        <w:rPr>
          <w:b/>
          <w:sz w:val="20"/>
          <w:szCs w:val="20"/>
        </w:rPr>
        <w:t xml:space="preserve">SIP </w:t>
      </w:r>
      <w:r>
        <w:rPr>
          <w:sz w:val="20"/>
          <w:szCs w:val="20"/>
        </w:rPr>
        <w:t>- specific resource commitments TBD</w:t>
      </w:r>
    </w:p>
    <w:p w14:paraId="236C31EF" w14:textId="77777777" w:rsidR="00A55F12" w:rsidRDefault="00A55F12">
      <w:pPr>
        <w:ind w:right="-180"/>
      </w:pPr>
    </w:p>
    <w:p w14:paraId="08C45EA4" w14:textId="77777777" w:rsidR="00A55F12" w:rsidRDefault="00A55F12">
      <w:pPr>
        <w:ind w:right="-180"/>
      </w:pPr>
    </w:p>
    <w:sectPr w:rsidR="00A55F12">
      <w:footerReference w:type="default" r:id="rId13"/>
      <w:pgSz w:w="12240" w:h="15840"/>
      <w:pgMar w:top="1440" w:right="90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ett adams" w:date="2025-04-29T19:51:00Z" w:initials="ba">
    <w:p w14:paraId="3F8C301F" w14:textId="77777777" w:rsidR="00E833E5" w:rsidRDefault="00E833E5" w:rsidP="00E833E5">
      <w:pPr>
        <w:pStyle w:val="CommentText"/>
      </w:pPr>
      <w:r>
        <w:rPr>
          <w:rStyle w:val="CommentReference"/>
        </w:rPr>
        <w:annotationRef/>
      </w:r>
      <w:r>
        <w:t xml:space="preserve">Suggest we conduct some anecdotal, primary research to ensure we are not entirely off track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8C3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BE89DD" w16cex:dateUtc="2025-04-29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8C301F" w16cid:durableId="0BBE8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96F9D" w14:textId="77777777" w:rsidR="00085042" w:rsidRDefault="00085042">
      <w:pPr>
        <w:spacing w:after="0" w:line="240" w:lineRule="auto"/>
      </w:pPr>
      <w:r>
        <w:separator/>
      </w:r>
    </w:p>
  </w:endnote>
  <w:endnote w:type="continuationSeparator" w:id="0">
    <w:p w14:paraId="154E7262" w14:textId="77777777" w:rsidR="00085042" w:rsidRDefault="0008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AA8FAE9D-86E3-499C-8619-5AF8B9E71216}"/>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embedRegular r:id="rId2" w:fontKey="{2EC59C47-4492-4279-8448-055005BB8B0E}"/>
    <w:embedBold r:id="rId3" w:fontKey="{28340EB1-5F97-4E3B-B799-2E3D283D1861}"/>
    <w:embedItalic r:id="rId4" w:fontKey="{F4C0DFCC-3D0F-4016-ACE2-CB4B5D49FE37}"/>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21B3E" w14:textId="77777777" w:rsidR="00A55F12" w:rsidRDefault="00DA2580">
    <w:pPr>
      <w:pBdr>
        <w:top w:val="nil"/>
        <w:left w:val="nil"/>
        <w:bottom w:val="nil"/>
        <w:right w:val="nil"/>
        <w:between w:val="nil"/>
      </w:pBdr>
      <w:spacing w:before="200" w:after="0" w:line="240" w:lineRule="auto"/>
      <w:ind w:left="-216"/>
      <w:rPr>
        <w:rFonts w:ascii="Arial Black" w:eastAsia="Arial Black" w:hAnsi="Arial Black" w:cs="Arial Black"/>
        <w:color w:val="0F263C"/>
        <w:sz w:val="20"/>
        <w:szCs w:val="20"/>
      </w:rPr>
    </w:pPr>
    <w:r>
      <w:rPr>
        <w:rFonts w:ascii="Arial Black" w:eastAsia="Arial Black" w:hAnsi="Arial Black" w:cs="Arial Black"/>
        <w:color w:val="0F263C"/>
        <w:sz w:val="20"/>
        <w:szCs w:val="20"/>
      </w:rPr>
      <w:fldChar w:fldCharType="begin"/>
    </w:r>
    <w:r>
      <w:rPr>
        <w:rFonts w:ascii="Arial Black" w:eastAsia="Arial Black" w:hAnsi="Arial Black" w:cs="Arial Black"/>
        <w:color w:val="0F263C"/>
        <w:sz w:val="20"/>
        <w:szCs w:val="20"/>
      </w:rPr>
      <w:instrText>PAGE</w:instrText>
    </w:r>
    <w:r>
      <w:rPr>
        <w:rFonts w:ascii="Arial Black" w:eastAsia="Arial Black" w:hAnsi="Arial Black" w:cs="Arial Black"/>
        <w:color w:val="0F263C"/>
        <w:sz w:val="20"/>
        <w:szCs w:val="20"/>
      </w:rPr>
      <w:fldChar w:fldCharType="separate"/>
    </w:r>
    <w:r>
      <w:rPr>
        <w:rFonts w:ascii="Arial Black" w:eastAsia="Arial Black" w:hAnsi="Arial Black" w:cs="Arial Black"/>
        <w:noProof/>
        <w:color w:val="0F263C"/>
        <w:sz w:val="20"/>
        <w:szCs w:val="20"/>
      </w:rPr>
      <w:t>1</w:t>
    </w:r>
    <w:r>
      <w:rPr>
        <w:rFonts w:ascii="Arial Black" w:eastAsia="Arial Black" w:hAnsi="Arial Black" w:cs="Arial Black"/>
        <w:color w:val="0F263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DB925" w14:textId="77777777" w:rsidR="00085042" w:rsidRDefault="00085042">
      <w:pPr>
        <w:spacing w:after="0" w:line="240" w:lineRule="auto"/>
      </w:pPr>
      <w:r>
        <w:separator/>
      </w:r>
    </w:p>
  </w:footnote>
  <w:footnote w:type="continuationSeparator" w:id="0">
    <w:p w14:paraId="2BE82D71" w14:textId="77777777" w:rsidR="00085042" w:rsidRDefault="0008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DF327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alt="Badge Tick1 with solid fill" style="width:15.6pt;height:15.6pt;visibility:visible;mso-wrap-style:square">
            <v:imagedata r:id="rId1" o:title="Badge Tick1 with solid fill"/>
          </v:shape>
        </w:pict>
      </mc:Choice>
      <mc:Fallback>
        <w:drawing>
          <wp:inline distT="0" distB="0" distL="0" distR="0" wp14:anchorId="25323629" wp14:editId="12547E2A">
            <wp:extent cx="198430" cy="198430"/>
            <wp:effectExtent l="0" t="0" r="0" b="0"/>
            <wp:docPr id="1186187839" name="image1.png" descr="Badge Tick1 with solid fill"/>
            <wp:cNvGraphicFramePr/>
            <a:graphic xmlns:a="http://schemas.openxmlformats.org/drawingml/2006/main">
              <a:graphicData uri="http://schemas.openxmlformats.org/drawingml/2006/picture">
                <pic:pic xmlns:pic="http://schemas.openxmlformats.org/drawingml/2006/picture">
                  <pic:nvPicPr>
                    <pic:cNvPr id="0" name="image1.png" descr="Badge Tick1 with solid fill"/>
                    <pic:cNvPicPr preferRelativeResize="0"/>
                  </pic:nvPicPr>
                  <pic:blipFill>
                    <a:blip r:embed="rId2"/>
                    <a:srcRect/>
                    <a:stretch>
                      <a:fillRect/>
                    </a:stretch>
                  </pic:blipFill>
                  <pic:spPr>
                    <a:xfrm>
                      <a:off x="0" y="0"/>
                      <a:ext cx="198430" cy="198430"/>
                    </a:xfrm>
                    <a:prstGeom prst="rect">
                      <a:avLst/>
                    </a:prstGeom>
                    <a:ln/>
                  </pic:spPr>
                </pic:pic>
              </a:graphicData>
            </a:graphic>
          </wp:inline>
        </w:drawing>
      </mc:Fallback>
    </mc:AlternateContent>
  </w:numPicBullet>
  <w:numPicBullet w:numPicBulletId="1">
    <mc:AlternateContent>
      <mc:Choice Requires="v">
        <w:pict>
          <v:shape w14:anchorId="6FB6AF75" id="Picture 1" o:spid="_x0000_i1025" type="#_x0000_t75" style="width:11.25pt;height:11.25pt;visibility:visible;mso-wrap-style:square">
            <v:imagedata r:id="rId3" o:title="mso77EA"/>
          </v:shape>
        </w:pict>
      </mc:Choice>
      <mc:Fallback>
        <w:drawing>
          <wp:inline distT="0" distB="0" distL="0" distR="0" wp14:anchorId="4E78DEBC" wp14:editId="0E05A519">
            <wp:extent cx="142875" cy="142875"/>
            <wp:effectExtent l="0" t="0" r="9525" b="9525"/>
            <wp:docPr id="300824360" name="Picture 1" descr="C:\Users\btdda\AppData\Local\Temp\mso77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16073" name="Picture 795916073" descr="C:\Users\btdda\AppData\Local\Temp\mso77EA.tmp"/>
                    <pic:cNvPicPr/>
                  </pic:nvPicPr>
                  <pic:blipFill>
                    <a:blip r:embed="rId4">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295FB7"/>
    <w:multiLevelType w:val="multilevel"/>
    <w:tmpl w:val="5372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87424A"/>
    <w:multiLevelType w:val="multilevel"/>
    <w:tmpl w:val="E66EBB62"/>
    <w:lvl w:ilvl="0">
      <w:start w:val="1"/>
      <w:numFmt w:val="bullet"/>
      <w:lvlText w:val=""/>
      <w:lvlPicBulletId w:val="0"/>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F050F"/>
    <w:multiLevelType w:val="multilevel"/>
    <w:tmpl w:val="658E7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87459"/>
    <w:multiLevelType w:val="multilevel"/>
    <w:tmpl w:val="B86A65EA"/>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D1796E"/>
    <w:multiLevelType w:val="multilevel"/>
    <w:tmpl w:val="6642823A"/>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C80265"/>
    <w:multiLevelType w:val="multilevel"/>
    <w:tmpl w:val="0B3C5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5A5E69"/>
    <w:multiLevelType w:val="multilevel"/>
    <w:tmpl w:val="4C748F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60E5698"/>
    <w:multiLevelType w:val="multilevel"/>
    <w:tmpl w:val="853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E4D74"/>
    <w:multiLevelType w:val="multilevel"/>
    <w:tmpl w:val="42A2B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D524D9"/>
    <w:multiLevelType w:val="multilevel"/>
    <w:tmpl w:val="C03A0576"/>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2A857F4"/>
    <w:multiLevelType w:val="hybridMultilevel"/>
    <w:tmpl w:val="959E758A"/>
    <w:lvl w:ilvl="0" w:tplc="04090007">
      <w:start w:val="1"/>
      <w:numFmt w:val="bullet"/>
      <w:lvlText w:val=""/>
      <w:lvlPicBulletId w:val="1"/>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1001736828">
    <w:abstractNumId w:val="6"/>
  </w:num>
  <w:num w:numId="2" w16cid:durableId="69887023">
    <w:abstractNumId w:val="4"/>
  </w:num>
  <w:num w:numId="3" w16cid:durableId="1214318272">
    <w:abstractNumId w:val="8"/>
  </w:num>
  <w:num w:numId="4" w16cid:durableId="1592469986">
    <w:abstractNumId w:val="3"/>
  </w:num>
  <w:num w:numId="5" w16cid:durableId="872156969">
    <w:abstractNumId w:val="0"/>
  </w:num>
  <w:num w:numId="6" w16cid:durableId="1191337477">
    <w:abstractNumId w:val="5"/>
  </w:num>
  <w:num w:numId="7" w16cid:durableId="83691079">
    <w:abstractNumId w:val="1"/>
  </w:num>
  <w:num w:numId="8" w16cid:durableId="1790513182">
    <w:abstractNumId w:val="2"/>
  </w:num>
  <w:num w:numId="9" w16cid:durableId="2039161082">
    <w:abstractNumId w:val="9"/>
  </w:num>
  <w:num w:numId="10" w16cid:durableId="1531794997">
    <w:abstractNumId w:val="10"/>
  </w:num>
  <w:num w:numId="11" w16cid:durableId="54653065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adams">
    <w15:presenceInfo w15:providerId="Windows Live" w15:userId="d7a5eeb30b0942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12"/>
    <w:rsid w:val="00015C47"/>
    <w:rsid w:val="000463E9"/>
    <w:rsid w:val="00052163"/>
    <w:rsid w:val="00085042"/>
    <w:rsid w:val="000C4549"/>
    <w:rsid w:val="000C499F"/>
    <w:rsid w:val="000D671A"/>
    <w:rsid w:val="00120064"/>
    <w:rsid w:val="00127EF9"/>
    <w:rsid w:val="00135BC5"/>
    <w:rsid w:val="0019613B"/>
    <w:rsid w:val="001D027E"/>
    <w:rsid w:val="001E5552"/>
    <w:rsid w:val="001F6006"/>
    <w:rsid w:val="00204EB5"/>
    <w:rsid w:val="002A64D7"/>
    <w:rsid w:val="002A6963"/>
    <w:rsid w:val="00306D26"/>
    <w:rsid w:val="0032573D"/>
    <w:rsid w:val="003F7BEF"/>
    <w:rsid w:val="00443BF8"/>
    <w:rsid w:val="00477804"/>
    <w:rsid w:val="004C2B40"/>
    <w:rsid w:val="004C7B0E"/>
    <w:rsid w:val="004D79C3"/>
    <w:rsid w:val="00523E85"/>
    <w:rsid w:val="00566326"/>
    <w:rsid w:val="0059239A"/>
    <w:rsid w:val="005A1A0E"/>
    <w:rsid w:val="005B36E2"/>
    <w:rsid w:val="00644482"/>
    <w:rsid w:val="006A252D"/>
    <w:rsid w:val="006B211B"/>
    <w:rsid w:val="0077017D"/>
    <w:rsid w:val="00823171"/>
    <w:rsid w:val="00837D2C"/>
    <w:rsid w:val="008619E5"/>
    <w:rsid w:val="008F2D0F"/>
    <w:rsid w:val="0094009B"/>
    <w:rsid w:val="00946491"/>
    <w:rsid w:val="00947B58"/>
    <w:rsid w:val="009C7C70"/>
    <w:rsid w:val="00A06845"/>
    <w:rsid w:val="00A16348"/>
    <w:rsid w:val="00A3240E"/>
    <w:rsid w:val="00A33B35"/>
    <w:rsid w:val="00A4118D"/>
    <w:rsid w:val="00A55F12"/>
    <w:rsid w:val="00AE5918"/>
    <w:rsid w:val="00B1662E"/>
    <w:rsid w:val="00B176CB"/>
    <w:rsid w:val="00B21217"/>
    <w:rsid w:val="00B2181A"/>
    <w:rsid w:val="00B21FF1"/>
    <w:rsid w:val="00BB2905"/>
    <w:rsid w:val="00C4204F"/>
    <w:rsid w:val="00CA4467"/>
    <w:rsid w:val="00CB752D"/>
    <w:rsid w:val="00D02059"/>
    <w:rsid w:val="00D06541"/>
    <w:rsid w:val="00D23CDE"/>
    <w:rsid w:val="00D26400"/>
    <w:rsid w:val="00D4695D"/>
    <w:rsid w:val="00DA2580"/>
    <w:rsid w:val="00DC78DD"/>
    <w:rsid w:val="00DF632D"/>
    <w:rsid w:val="00E037FD"/>
    <w:rsid w:val="00E133D9"/>
    <w:rsid w:val="00E55C7C"/>
    <w:rsid w:val="00E80FEA"/>
    <w:rsid w:val="00E833E5"/>
    <w:rsid w:val="00EF0BEC"/>
    <w:rsid w:val="00F00235"/>
    <w:rsid w:val="00F40795"/>
    <w:rsid w:val="00F4084A"/>
    <w:rsid w:val="00F91E95"/>
    <w:rsid w:val="00FC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78A7"/>
  <w15:docId w15:val="{15A98A68-A51E-4C59-8C2B-F554AB7A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spacing w:before="80" w:after="0" w:line="280" w:lineRule="auto"/>
    </w:pPr>
    <w:rPr>
      <w:b/>
      <w:color w:val="071DF2"/>
      <w:sz w:val="24"/>
      <w:szCs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table" w:styleId="PlainTable1">
    <w:name w:val="Plain Table 1"/>
    <w:basedOn w:val="TableNormal"/>
    <w:uiPriority w:val="41"/>
    <w:rsid w:val="00CA09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CA0963"/>
    <w:pPr>
      <w:ind w:left="720"/>
      <w:contextualSpacing/>
    </w:p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C5DBF0"/>
    </w:tcPr>
    <w:tblStylePr w:type="firstCol">
      <w:pPr>
        <w:jc w:val="center"/>
      </w:p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C5DBF0"/>
    </w:tcPr>
    <w:tblStylePr w:type="firstCol">
      <w:pPr>
        <w:jc w:val="center"/>
      </w:p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C5DBF0"/>
    </w:tcPr>
    <w:tblStylePr w:type="firstCol">
      <w:pPr>
        <w:jc w:val="center"/>
      </w:p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C5DBF0"/>
    </w:tcPr>
    <w:tblStylePr w:type="firstCol">
      <w:pPr>
        <w:jc w:val="center"/>
      </w:p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C5DBF0"/>
    </w:tcPr>
    <w:tblStylePr w:type="firstCol">
      <w:pPr>
        <w:jc w:val="center"/>
      </w:pPr>
    </w:tblStylePr>
  </w:style>
  <w:style w:type="character" w:styleId="CommentReference">
    <w:name w:val="annotation reference"/>
    <w:basedOn w:val="DefaultParagraphFont"/>
    <w:uiPriority w:val="99"/>
    <w:semiHidden/>
    <w:unhideWhenUsed/>
    <w:rsid w:val="00E833E5"/>
    <w:rPr>
      <w:sz w:val="16"/>
      <w:szCs w:val="16"/>
    </w:rPr>
  </w:style>
  <w:style w:type="paragraph" w:styleId="CommentText">
    <w:name w:val="annotation text"/>
    <w:basedOn w:val="Normal"/>
    <w:link w:val="CommentTextChar"/>
    <w:uiPriority w:val="99"/>
    <w:unhideWhenUsed/>
    <w:rsid w:val="00E833E5"/>
    <w:pPr>
      <w:spacing w:line="240" w:lineRule="auto"/>
    </w:pPr>
    <w:rPr>
      <w:sz w:val="20"/>
      <w:szCs w:val="20"/>
    </w:rPr>
  </w:style>
  <w:style w:type="character" w:customStyle="1" w:styleId="CommentTextChar">
    <w:name w:val="Comment Text Char"/>
    <w:basedOn w:val="DefaultParagraphFont"/>
    <w:link w:val="CommentText"/>
    <w:uiPriority w:val="99"/>
    <w:rsid w:val="00E833E5"/>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833E5"/>
    <w:rPr>
      <w:b/>
      <w:bCs/>
    </w:rPr>
  </w:style>
  <w:style w:type="character" w:customStyle="1" w:styleId="CommentSubjectChar">
    <w:name w:val="Comment Subject Char"/>
    <w:basedOn w:val="CommentTextChar"/>
    <w:link w:val="CommentSubject"/>
    <w:uiPriority w:val="99"/>
    <w:semiHidden/>
    <w:rsid w:val="00E833E5"/>
    <w:rPr>
      <w:b/>
      <w:bCs/>
      <w:color w:val="000000" w:themeColor="text1"/>
      <w:sz w:val="20"/>
      <w:szCs w:val="20"/>
    </w:rPr>
  </w:style>
  <w:style w:type="paragraph" w:styleId="NormalWeb">
    <w:name w:val="Normal (Web)"/>
    <w:basedOn w:val="Normal"/>
    <w:uiPriority w:val="99"/>
    <w:semiHidden/>
    <w:unhideWhenUsed/>
    <w:rsid w:val="00B176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147808">
      <w:bodyDiv w:val="1"/>
      <w:marLeft w:val="0"/>
      <w:marRight w:val="0"/>
      <w:marTop w:val="0"/>
      <w:marBottom w:val="0"/>
      <w:divBdr>
        <w:top w:val="none" w:sz="0" w:space="0" w:color="auto"/>
        <w:left w:val="none" w:sz="0" w:space="0" w:color="auto"/>
        <w:bottom w:val="none" w:sz="0" w:space="0" w:color="auto"/>
        <w:right w:val="none" w:sz="0" w:space="0" w:color="auto"/>
      </w:divBdr>
    </w:div>
    <w:div w:id="348530761">
      <w:bodyDiv w:val="1"/>
      <w:marLeft w:val="0"/>
      <w:marRight w:val="0"/>
      <w:marTop w:val="0"/>
      <w:marBottom w:val="0"/>
      <w:divBdr>
        <w:top w:val="none" w:sz="0" w:space="0" w:color="auto"/>
        <w:left w:val="none" w:sz="0" w:space="0" w:color="auto"/>
        <w:bottom w:val="none" w:sz="0" w:space="0" w:color="auto"/>
        <w:right w:val="none" w:sz="0" w:space="0" w:color="auto"/>
      </w:divBdr>
      <w:divsChild>
        <w:div w:id="240919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274240">
              <w:marLeft w:val="0"/>
              <w:marRight w:val="0"/>
              <w:marTop w:val="0"/>
              <w:marBottom w:val="0"/>
              <w:divBdr>
                <w:top w:val="none" w:sz="0" w:space="0" w:color="auto"/>
                <w:left w:val="none" w:sz="0" w:space="0" w:color="auto"/>
                <w:bottom w:val="none" w:sz="0" w:space="0" w:color="auto"/>
                <w:right w:val="none" w:sz="0" w:space="0" w:color="auto"/>
              </w:divBdr>
              <w:divsChild>
                <w:div w:id="1697996433">
                  <w:marLeft w:val="0"/>
                  <w:marRight w:val="0"/>
                  <w:marTop w:val="0"/>
                  <w:marBottom w:val="0"/>
                  <w:divBdr>
                    <w:top w:val="none" w:sz="0" w:space="0" w:color="auto"/>
                    <w:left w:val="none" w:sz="0" w:space="0" w:color="auto"/>
                    <w:bottom w:val="none" w:sz="0" w:space="0" w:color="auto"/>
                    <w:right w:val="none" w:sz="0" w:space="0" w:color="auto"/>
                  </w:divBdr>
                  <w:divsChild>
                    <w:div w:id="2032490264">
                      <w:marLeft w:val="0"/>
                      <w:marRight w:val="0"/>
                      <w:marTop w:val="0"/>
                      <w:marBottom w:val="0"/>
                      <w:divBdr>
                        <w:top w:val="none" w:sz="0" w:space="0" w:color="auto"/>
                        <w:left w:val="none" w:sz="0" w:space="0" w:color="auto"/>
                        <w:bottom w:val="none" w:sz="0" w:space="0" w:color="auto"/>
                        <w:right w:val="none" w:sz="0" w:space="0" w:color="auto"/>
                      </w:divBdr>
                      <w:divsChild>
                        <w:div w:id="12534651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3623469">
                              <w:marLeft w:val="0"/>
                              <w:marRight w:val="0"/>
                              <w:marTop w:val="0"/>
                              <w:marBottom w:val="0"/>
                              <w:divBdr>
                                <w:top w:val="none" w:sz="0" w:space="0" w:color="auto"/>
                                <w:left w:val="none" w:sz="0" w:space="0" w:color="auto"/>
                                <w:bottom w:val="none" w:sz="0" w:space="0" w:color="auto"/>
                                <w:right w:val="none" w:sz="0" w:space="0" w:color="auto"/>
                              </w:divBdr>
                              <w:divsChild>
                                <w:div w:id="614556972">
                                  <w:marLeft w:val="0"/>
                                  <w:marRight w:val="0"/>
                                  <w:marTop w:val="0"/>
                                  <w:marBottom w:val="0"/>
                                  <w:divBdr>
                                    <w:top w:val="none" w:sz="0" w:space="0" w:color="auto"/>
                                    <w:left w:val="none" w:sz="0" w:space="0" w:color="auto"/>
                                    <w:bottom w:val="none" w:sz="0" w:space="0" w:color="auto"/>
                                    <w:right w:val="none" w:sz="0" w:space="0" w:color="auto"/>
                                  </w:divBdr>
                                  <w:divsChild>
                                    <w:div w:id="411435863">
                                      <w:marLeft w:val="0"/>
                                      <w:marRight w:val="0"/>
                                      <w:marTop w:val="0"/>
                                      <w:marBottom w:val="0"/>
                                      <w:divBdr>
                                        <w:top w:val="none" w:sz="0" w:space="0" w:color="auto"/>
                                        <w:left w:val="none" w:sz="0" w:space="0" w:color="auto"/>
                                        <w:bottom w:val="none" w:sz="0" w:space="0" w:color="auto"/>
                                        <w:right w:val="none" w:sz="0" w:space="0" w:color="auto"/>
                                      </w:divBdr>
                                      <w:divsChild>
                                        <w:div w:id="12327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909174">
      <w:bodyDiv w:val="1"/>
      <w:marLeft w:val="0"/>
      <w:marRight w:val="0"/>
      <w:marTop w:val="0"/>
      <w:marBottom w:val="0"/>
      <w:divBdr>
        <w:top w:val="none" w:sz="0" w:space="0" w:color="auto"/>
        <w:left w:val="none" w:sz="0" w:space="0" w:color="auto"/>
        <w:bottom w:val="none" w:sz="0" w:space="0" w:color="auto"/>
        <w:right w:val="none" w:sz="0" w:space="0" w:color="auto"/>
      </w:divBdr>
    </w:div>
    <w:div w:id="2122530557">
      <w:bodyDiv w:val="1"/>
      <w:marLeft w:val="0"/>
      <w:marRight w:val="0"/>
      <w:marTop w:val="0"/>
      <w:marBottom w:val="0"/>
      <w:divBdr>
        <w:top w:val="none" w:sz="0" w:space="0" w:color="auto"/>
        <w:left w:val="none" w:sz="0" w:space="0" w:color="auto"/>
        <w:bottom w:val="none" w:sz="0" w:space="0" w:color="auto"/>
        <w:right w:val="none" w:sz="0" w:space="0" w:color="auto"/>
      </w:divBdr>
      <w:divsChild>
        <w:div w:id="416639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9606866">
              <w:marLeft w:val="0"/>
              <w:marRight w:val="0"/>
              <w:marTop w:val="0"/>
              <w:marBottom w:val="0"/>
              <w:divBdr>
                <w:top w:val="none" w:sz="0" w:space="0" w:color="auto"/>
                <w:left w:val="none" w:sz="0" w:space="0" w:color="auto"/>
                <w:bottom w:val="none" w:sz="0" w:space="0" w:color="auto"/>
                <w:right w:val="none" w:sz="0" w:space="0" w:color="auto"/>
              </w:divBdr>
              <w:divsChild>
                <w:div w:id="460879198">
                  <w:marLeft w:val="0"/>
                  <w:marRight w:val="0"/>
                  <w:marTop w:val="0"/>
                  <w:marBottom w:val="0"/>
                  <w:divBdr>
                    <w:top w:val="none" w:sz="0" w:space="0" w:color="auto"/>
                    <w:left w:val="none" w:sz="0" w:space="0" w:color="auto"/>
                    <w:bottom w:val="none" w:sz="0" w:space="0" w:color="auto"/>
                    <w:right w:val="none" w:sz="0" w:space="0" w:color="auto"/>
                  </w:divBdr>
                  <w:divsChild>
                    <w:div w:id="874123309">
                      <w:marLeft w:val="0"/>
                      <w:marRight w:val="0"/>
                      <w:marTop w:val="0"/>
                      <w:marBottom w:val="0"/>
                      <w:divBdr>
                        <w:top w:val="none" w:sz="0" w:space="0" w:color="auto"/>
                        <w:left w:val="none" w:sz="0" w:space="0" w:color="auto"/>
                        <w:bottom w:val="none" w:sz="0" w:space="0" w:color="auto"/>
                        <w:right w:val="none" w:sz="0" w:space="0" w:color="auto"/>
                      </w:divBdr>
                      <w:divsChild>
                        <w:div w:id="5258726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942791">
                              <w:marLeft w:val="0"/>
                              <w:marRight w:val="0"/>
                              <w:marTop w:val="0"/>
                              <w:marBottom w:val="0"/>
                              <w:divBdr>
                                <w:top w:val="none" w:sz="0" w:space="0" w:color="auto"/>
                                <w:left w:val="none" w:sz="0" w:space="0" w:color="auto"/>
                                <w:bottom w:val="none" w:sz="0" w:space="0" w:color="auto"/>
                                <w:right w:val="none" w:sz="0" w:space="0" w:color="auto"/>
                              </w:divBdr>
                              <w:divsChild>
                                <w:div w:id="1167332373">
                                  <w:marLeft w:val="0"/>
                                  <w:marRight w:val="0"/>
                                  <w:marTop w:val="0"/>
                                  <w:marBottom w:val="0"/>
                                  <w:divBdr>
                                    <w:top w:val="none" w:sz="0" w:space="0" w:color="auto"/>
                                    <w:left w:val="none" w:sz="0" w:space="0" w:color="auto"/>
                                    <w:bottom w:val="none" w:sz="0" w:space="0" w:color="auto"/>
                                    <w:right w:val="none" w:sz="0" w:space="0" w:color="auto"/>
                                  </w:divBdr>
                                  <w:divsChild>
                                    <w:div w:id="503978498">
                                      <w:marLeft w:val="0"/>
                                      <w:marRight w:val="0"/>
                                      <w:marTop w:val="0"/>
                                      <w:marBottom w:val="0"/>
                                      <w:divBdr>
                                        <w:top w:val="none" w:sz="0" w:space="0" w:color="auto"/>
                                        <w:left w:val="none" w:sz="0" w:space="0" w:color="auto"/>
                                        <w:bottom w:val="none" w:sz="0" w:space="0" w:color="auto"/>
                                        <w:right w:val="none" w:sz="0" w:space="0" w:color="auto"/>
                                      </w:divBdr>
                                      <w:divsChild>
                                        <w:div w:id="12340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tmp"/></Relationship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4H9GMcxc54aPWHqFKkkON8rrGw==">CgMxLjA4AHIhMTdmM1lpUTlTODJGOU1qYW1kOC1FM3FVYUxUcDA2SU5R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adams</cp:lastModifiedBy>
  <cp:revision>3</cp:revision>
  <dcterms:created xsi:type="dcterms:W3CDTF">2025-04-30T00:04:00Z</dcterms:created>
  <dcterms:modified xsi:type="dcterms:W3CDTF">2025-04-30T17:29:00Z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