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FE426">
      <w:pPr>
        <w:jc w:val="center"/>
        <w:rPr>
          <w:rFonts w:ascii="Times New Roman" w:hAnsi="Times New Roman" w:eastAsia="Calibri" w:cs="Times New Roman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 w:cs="Times New Roman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Lesson/Course Plan</w:t>
      </w:r>
    </w:p>
    <w:p w14:paraId="76CD3D98">
      <w:pPr>
        <w:jc w:val="center"/>
        <w:rPr>
          <w:rFonts w:ascii="Times New Roman" w:hAnsi="Times New Roman" w:eastAsia="Calibri" w:cs="Times New Roman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</w:p>
    <w:p w14:paraId="549968A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eastAsia="Calibri" w:cs="Times New Roman"/>
          <w:b/>
          <w:color w:val="000000"/>
        </w:rPr>
      </w:pPr>
      <w:r>
        <w:rPr>
          <w:rFonts w:ascii="Times New Roman" w:hAnsi="Times New Roman" w:eastAsia="Calibri" w:cs="Times New Roman"/>
          <w:b/>
          <w:color w:val="000000"/>
        </w:rPr>
        <w:t>Subject   :</w:t>
      </w:r>
      <w:r>
        <w:rPr>
          <w:rFonts w:ascii="Times New Roman" w:hAnsi="Times New Roman" w:eastAsia="Calibri" w:cs="Times New Roman"/>
          <w:bCs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lang w:val="en-US"/>
        </w:rPr>
        <w:t xml:space="preserve">DevOps                                                     </w:t>
      </w:r>
      <w:r>
        <w:rPr>
          <w:rFonts w:ascii="Times New Roman" w:hAnsi="Times New Roman" w:eastAsia="Calibri" w:cs="Times New Roman"/>
          <w:bCs/>
        </w:rPr>
        <w:t xml:space="preserve">         </w:t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 xml:space="preserve">            </w:t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 xml:space="preserve">Branch   </w:t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>: CSE</w:t>
      </w:r>
    </w:p>
    <w:p w14:paraId="055B32E3">
      <w:pPr>
        <w:autoSpaceDE w:val="0"/>
        <w:autoSpaceDN w:val="0"/>
        <w:adjustRightInd w:val="0"/>
        <w:spacing w:after="200" w:line="276" w:lineRule="auto"/>
        <w:rPr>
          <w:rFonts w:hint="default" w:ascii="Times New Roman" w:hAnsi="Times New Roman" w:eastAsia="Calibri" w:cs="Times New Roman"/>
          <w:b/>
          <w:color w:val="000000"/>
          <w:lang w:val="en-US"/>
        </w:rPr>
      </w:pPr>
      <w:r>
        <w:rPr>
          <w:rFonts w:ascii="Times New Roman" w:hAnsi="Times New Roman" w:eastAsia="Calibri" w:cs="Times New Roman"/>
          <w:b/>
          <w:color w:val="000000"/>
        </w:rPr>
        <w:t xml:space="preserve">Year </w:t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 xml:space="preserve">    : I</w:t>
      </w:r>
      <w:r>
        <w:rPr>
          <w:rFonts w:hint="default" w:ascii="Times New Roman" w:hAnsi="Times New Roman" w:eastAsia="Calibri" w:cs="Times New Roman"/>
          <w:b/>
          <w:color w:val="000000"/>
          <w:lang w:val="en-US"/>
        </w:rPr>
        <w:t xml:space="preserve">II </w:t>
      </w:r>
      <w:r>
        <w:rPr>
          <w:rFonts w:ascii="Times New Roman" w:hAnsi="Times New Roman" w:eastAsia="Calibri" w:cs="Times New Roman"/>
          <w:b/>
          <w:color w:val="000000"/>
        </w:rPr>
        <w:t>B.Tech.</w:t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>Semester</w:t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 xml:space="preserve">: </w:t>
      </w:r>
      <w:r>
        <w:rPr>
          <w:rFonts w:hint="default" w:ascii="Times New Roman" w:hAnsi="Times New Roman" w:eastAsia="Calibri" w:cs="Times New Roman"/>
          <w:b/>
          <w:color w:val="000000"/>
          <w:lang w:val="en-US"/>
        </w:rPr>
        <w:t>II</w:t>
      </w:r>
    </w:p>
    <w:tbl>
      <w:tblPr>
        <w:tblStyle w:val="3"/>
        <w:tblW w:w="97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4606"/>
        <w:gridCol w:w="963"/>
        <w:gridCol w:w="1812"/>
        <w:gridCol w:w="1276"/>
      </w:tblGrid>
      <w:tr w14:paraId="08F3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119" w:type="dxa"/>
          </w:tcPr>
          <w:p w14:paraId="786CBD7A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</w:rPr>
              <w:br w:type="page"/>
            </w:r>
            <w:r>
              <w:rPr>
                <w:rFonts w:ascii="Times New Roman" w:hAnsi="Times New Roman" w:eastAsia="Calibri" w:cs="Times New Roman"/>
                <w:b/>
              </w:rPr>
              <w:t>Unit No.</w:t>
            </w:r>
          </w:p>
        </w:tc>
        <w:tc>
          <w:tcPr>
            <w:tcW w:w="4606" w:type="dxa"/>
          </w:tcPr>
          <w:p w14:paraId="4AD597A6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Name of the Topic</w:t>
            </w:r>
          </w:p>
        </w:tc>
        <w:tc>
          <w:tcPr>
            <w:tcW w:w="963" w:type="dxa"/>
          </w:tcPr>
          <w:p w14:paraId="03115219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No .of Classes</w:t>
            </w:r>
          </w:p>
        </w:tc>
        <w:tc>
          <w:tcPr>
            <w:tcW w:w="1812" w:type="dxa"/>
          </w:tcPr>
          <w:p w14:paraId="17C70A0C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Proposed dates</w:t>
            </w:r>
          </w:p>
        </w:tc>
        <w:tc>
          <w:tcPr>
            <w:tcW w:w="1276" w:type="dxa"/>
          </w:tcPr>
          <w:p w14:paraId="13BFD91A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Text Books/Ref.</w:t>
            </w:r>
          </w:p>
        </w:tc>
      </w:tr>
      <w:tr w14:paraId="4333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restart"/>
          </w:tcPr>
          <w:p w14:paraId="5FC8C645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  <w:p w14:paraId="4D928880">
            <w:pPr>
              <w:adjustRightInd w:val="0"/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  <w:bCs/>
              </w:rPr>
            </w:pPr>
          </w:p>
          <w:p w14:paraId="59BC7DB7">
            <w:pPr>
              <w:adjustRightInd w:val="0"/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  <w:b/>
                <w:bCs/>
              </w:rPr>
            </w:pPr>
            <w:r>
              <w:rPr>
                <w:rFonts w:ascii="Times New Roman" w:hAnsi="Times New Roman" w:eastAsia="Calibri" w:cs="Times New Roman"/>
                <w:b/>
                <w:bCs/>
              </w:rPr>
              <w:t>UNIT-I</w:t>
            </w:r>
          </w:p>
          <w:p w14:paraId="4581A6CA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8657" w:type="dxa"/>
            <w:gridSpan w:val="4"/>
            <w:vAlign w:val="center"/>
          </w:tcPr>
          <w:p w14:paraId="72897D1D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Introduction to DevOps and Version Control</w:t>
            </w:r>
          </w:p>
        </w:tc>
      </w:tr>
      <w:tr w14:paraId="695E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70E74F75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44F919DA">
            <w:pPr>
              <w:rPr>
                <w:rFonts w:ascii="Times New Roman" w:hAnsi="Times New Roman" w:eastAsia="Calibri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What is DevOps?, DevOps principles</w:t>
            </w:r>
          </w:p>
        </w:tc>
        <w:tc>
          <w:tcPr>
            <w:tcW w:w="963" w:type="dxa"/>
          </w:tcPr>
          <w:p w14:paraId="4D6D2FB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4217EF72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5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12</w:t>
            </w:r>
            <w:r>
              <w:rPr>
                <w:rFonts w:ascii="Times New Roman" w:hAnsi="Times New Roman" w:eastAsia="Calibri" w:cs="Times New Roman"/>
              </w:rPr>
              <w:t>.2025</w:t>
            </w:r>
          </w:p>
          <w:p w14:paraId="7FB39A6A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To</w:t>
            </w:r>
          </w:p>
          <w:p w14:paraId="5338E2CF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20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12</w:t>
            </w:r>
            <w:r>
              <w:rPr>
                <w:rFonts w:ascii="Times New Roman" w:hAnsi="Times New Roman" w:eastAsia="Calibri" w:cs="Times New Roman"/>
              </w:rPr>
              <w:t>.2025</w:t>
            </w:r>
          </w:p>
          <w:p w14:paraId="2326470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23AB9FA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280B7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19535D12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1D5BB0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 lifecycle, DevOps delivery pipeline</w:t>
            </w:r>
          </w:p>
        </w:tc>
        <w:tc>
          <w:tcPr>
            <w:tcW w:w="963" w:type="dxa"/>
          </w:tcPr>
          <w:p w14:paraId="2C7E686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4A0ED8E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25C543C3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1422E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22CF8508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121A73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 ecosystem and tools.</w:t>
            </w:r>
          </w:p>
        </w:tc>
        <w:tc>
          <w:tcPr>
            <w:tcW w:w="963" w:type="dxa"/>
          </w:tcPr>
          <w:p w14:paraId="2DC922B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013BD7A2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1B5194F4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21DE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3BADE2FC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1507D0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Agile wheel of wheels.</w:t>
            </w:r>
          </w:p>
          <w:p w14:paraId="10B4DE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</w:tcPr>
          <w:p w14:paraId="76C3A526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4FBB15D7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12</w:t>
            </w:r>
            <w:r>
              <w:rPr>
                <w:rFonts w:ascii="Times New Roman" w:hAnsi="Times New Roman" w:eastAsia="Calibri" w:cs="Times New Roman"/>
              </w:rPr>
              <w:t>.2025</w:t>
            </w:r>
          </w:p>
          <w:p w14:paraId="7D3C07B6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To</w:t>
            </w:r>
          </w:p>
          <w:p w14:paraId="3F128221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7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12</w:t>
            </w:r>
            <w:r>
              <w:rPr>
                <w:rFonts w:ascii="Times New Roman" w:hAnsi="Times New Roman" w:eastAsia="Calibri" w:cs="Times New Roman"/>
              </w:rPr>
              <w:t>.2025</w:t>
            </w:r>
          </w:p>
        </w:tc>
        <w:tc>
          <w:tcPr>
            <w:tcW w:w="1276" w:type="dxa"/>
          </w:tcPr>
          <w:p w14:paraId="19217BD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3D93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109877B6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0F1D89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Introduction to version control, Basics of Git</w:t>
            </w:r>
          </w:p>
        </w:tc>
        <w:tc>
          <w:tcPr>
            <w:tcW w:w="963" w:type="dxa"/>
            <w:shd w:val="clear" w:color="auto" w:fill="auto"/>
          </w:tcPr>
          <w:p w14:paraId="208C62A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1A87AC2A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71C1CD4D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7F88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0D31DED2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2EE831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Installing and configuring Git, Common Git commands</w:t>
            </w:r>
          </w:p>
        </w:tc>
        <w:tc>
          <w:tcPr>
            <w:tcW w:w="963" w:type="dxa"/>
            <w:shd w:val="clear" w:color="auto" w:fill="auto"/>
          </w:tcPr>
          <w:p w14:paraId="5BEF8155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4C73CFBD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79D4F7D2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13D24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exact"/>
          <w:jc w:val="center"/>
        </w:trPr>
        <w:tc>
          <w:tcPr>
            <w:tcW w:w="1119" w:type="dxa"/>
            <w:vMerge w:val="continue"/>
          </w:tcPr>
          <w:p w14:paraId="424056C6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35ED5F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Branching and merging strategies</w:t>
            </w:r>
          </w:p>
        </w:tc>
        <w:tc>
          <w:tcPr>
            <w:tcW w:w="963" w:type="dxa"/>
            <w:shd w:val="clear" w:color="auto" w:fill="auto"/>
          </w:tcPr>
          <w:p w14:paraId="240BDEB6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60931A88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>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9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12</w:t>
            </w:r>
            <w:r>
              <w:rPr>
                <w:rFonts w:ascii="Times New Roman" w:hAnsi="Times New Roman" w:eastAsia="Calibri" w:cs="Times New Roman"/>
              </w:rPr>
              <w:t>.2025 to 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488BFF4A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7CCB4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exact"/>
          <w:jc w:val="center"/>
        </w:trPr>
        <w:tc>
          <w:tcPr>
            <w:tcW w:w="1119" w:type="dxa"/>
            <w:vMerge w:val="continue"/>
          </w:tcPr>
          <w:p w14:paraId="7F536214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335D12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Working with remote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repositories</w:t>
            </w:r>
          </w:p>
        </w:tc>
        <w:tc>
          <w:tcPr>
            <w:tcW w:w="963" w:type="dxa"/>
            <w:shd w:val="clear" w:color="auto" w:fill="auto"/>
          </w:tcPr>
          <w:p w14:paraId="7C1354CD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</w:p>
        </w:tc>
        <w:tc>
          <w:tcPr>
            <w:tcW w:w="1812" w:type="dxa"/>
            <w:vMerge w:val="continue"/>
            <w:tcBorders/>
          </w:tcPr>
          <w:p w14:paraId="6F899001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320C43B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1BA5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3B6ACC90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</w:tcPr>
          <w:p w14:paraId="48E6A08F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 xml:space="preserve"> Total No. of Classes for Unit – I </w:t>
            </w:r>
          </w:p>
        </w:tc>
        <w:tc>
          <w:tcPr>
            <w:tcW w:w="963" w:type="dxa"/>
          </w:tcPr>
          <w:p w14:paraId="2E4A51E2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en-US"/>
              </w:rPr>
              <w:t>8</w:t>
            </w:r>
          </w:p>
        </w:tc>
        <w:tc>
          <w:tcPr>
            <w:tcW w:w="3088" w:type="dxa"/>
            <w:gridSpan w:val="2"/>
          </w:tcPr>
          <w:p w14:paraId="595CA27D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</w:tr>
      <w:tr w14:paraId="1E255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restart"/>
          </w:tcPr>
          <w:p w14:paraId="5B6D36BD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  <w:p w14:paraId="038EE051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  <w:p w14:paraId="4A7B8E16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  <w:p w14:paraId="0F1A0E01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UNIT-II</w:t>
            </w:r>
          </w:p>
          <w:p w14:paraId="59FB43DE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8657" w:type="dxa"/>
            <w:gridSpan w:val="4"/>
            <w:vAlign w:val="center"/>
          </w:tcPr>
          <w:p w14:paraId="0ABC9184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DevOps influence on Architecture</w:t>
            </w:r>
          </w:p>
        </w:tc>
      </w:tr>
      <w:tr w14:paraId="2642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55FF1BA7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54EF17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Introducing software architecture</w:t>
            </w:r>
          </w:p>
        </w:tc>
        <w:tc>
          <w:tcPr>
            <w:tcW w:w="963" w:type="dxa"/>
            <w:shd w:val="clear" w:color="auto" w:fill="auto"/>
          </w:tcPr>
          <w:p w14:paraId="00C8FAC5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1AADA7C9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05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to 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10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11513C1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60EBB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2C8C97ED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2D2721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monolithic scenario</w:t>
            </w:r>
          </w:p>
        </w:tc>
        <w:tc>
          <w:tcPr>
            <w:tcW w:w="963" w:type="dxa"/>
            <w:shd w:val="clear" w:color="auto" w:fill="auto"/>
          </w:tcPr>
          <w:p w14:paraId="3115836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5134B701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45E3295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02AE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0715ED47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2A546C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Architecture rules of thumb, The separation of concerns</w:t>
            </w:r>
          </w:p>
        </w:tc>
        <w:tc>
          <w:tcPr>
            <w:tcW w:w="963" w:type="dxa"/>
            <w:shd w:val="clear" w:color="auto" w:fill="auto"/>
          </w:tcPr>
          <w:p w14:paraId="67C5DB11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3B0C9F58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>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to 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17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75B2527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5810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6A4E523E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37D0C1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Handling database migrations</w:t>
            </w:r>
          </w:p>
        </w:tc>
        <w:tc>
          <w:tcPr>
            <w:tcW w:w="963" w:type="dxa"/>
            <w:shd w:val="clear" w:color="auto" w:fill="auto"/>
          </w:tcPr>
          <w:p w14:paraId="0B927A9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491103E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503BE3D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62EC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74707C32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0C8B68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Micro-services</w:t>
            </w:r>
          </w:p>
        </w:tc>
        <w:tc>
          <w:tcPr>
            <w:tcW w:w="963" w:type="dxa"/>
            <w:shd w:val="clear" w:color="auto" w:fill="auto"/>
          </w:tcPr>
          <w:p w14:paraId="260EA926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15B2B022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to 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17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237BA065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5658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0E2DC77F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3DCA54CC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he data tier, DevOps, architecture</w:t>
            </w:r>
          </w:p>
        </w:tc>
        <w:tc>
          <w:tcPr>
            <w:tcW w:w="963" w:type="dxa"/>
            <w:shd w:val="clear" w:color="auto" w:fill="auto"/>
          </w:tcPr>
          <w:p w14:paraId="7B00611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224525CD">
            <w:pPr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4B4EE52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25DB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  <w:jc w:val="center"/>
        </w:trPr>
        <w:tc>
          <w:tcPr>
            <w:tcW w:w="1119" w:type="dxa"/>
            <w:vMerge w:val="continue"/>
          </w:tcPr>
          <w:p w14:paraId="20E1F929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76D17C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resilience</w:t>
            </w:r>
          </w:p>
        </w:tc>
        <w:tc>
          <w:tcPr>
            <w:tcW w:w="963" w:type="dxa"/>
            <w:shd w:val="clear" w:color="auto" w:fill="auto"/>
          </w:tcPr>
          <w:p w14:paraId="5F480E6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</w:tcPr>
          <w:p w14:paraId="6DCBAC57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9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</w:t>
            </w:r>
          </w:p>
          <w:p w14:paraId="744F4226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 xml:space="preserve">to 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 xml:space="preserve"> 24.01.2026</w:t>
            </w:r>
          </w:p>
          <w:p w14:paraId="11378427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23.08.2025</w:t>
            </w:r>
          </w:p>
        </w:tc>
        <w:tc>
          <w:tcPr>
            <w:tcW w:w="1276" w:type="dxa"/>
            <w:shd w:val="clear" w:color="auto" w:fill="auto"/>
          </w:tcPr>
          <w:p w14:paraId="4418EA00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46FD4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  <w:jc w:val="center"/>
        </w:trPr>
        <w:tc>
          <w:tcPr>
            <w:tcW w:w="1119" w:type="dxa"/>
            <w:vMerge w:val="continue"/>
          </w:tcPr>
          <w:p w14:paraId="118550EF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</w:tcPr>
          <w:p w14:paraId="07D74CF4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Total No. of Classes for Unit – II</w:t>
            </w:r>
          </w:p>
        </w:tc>
        <w:tc>
          <w:tcPr>
            <w:tcW w:w="963" w:type="dxa"/>
          </w:tcPr>
          <w:p w14:paraId="5C9C3D0B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en-US"/>
              </w:rPr>
              <w:t>7</w:t>
            </w:r>
          </w:p>
        </w:tc>
        <w:tc>
          <w:tcPr>
            <w:tcW w:w="3088" w:type="dxa"/>
            <w:gridSpan w:val="2"/>
          </w:tcPr>
          <w:p w14:paraId="2EDBF8C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</w:tr>
      <w:tr w14:paraId="0ED3E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restart"/>
          </w:tcPr>
          <w:p w14:paraId="7FD2BB60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</w:p>
          <w:p w14:paraId="5CCE4873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</w:p>
          <w:p w14:paraId="602296F5">
            <w:pPr>
              <w:spacing w:before="100" w:beforeAutospacing="1" w:after="100" w:afterAutospacing="1" w:line="276" w:lineRule="auto"/>
              <w:ind w:left="-42" w:right="-48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UNIT-III</w:t>
            </w:r>
          </w:p>
          <w:p w14:paraId="4E1E4430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  <w:b/>
              </w:rPr>
            </w:pPr>
          </w:p>
          <w:p w14:paraId="2B891970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8657" w:type="dxa"/>
            <w:gridSpan w:val="4"/>
            <w:vAlign w:val="center"/>
          </w:tcPr>
          <w:p w14:paraId="29A7E15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DevOps Integration with Jenkins and Ansible</w:t>
            </w:r>
          </w:p>
        </w:tc>
      </w:tr>
      <w:tr w14:paraId="754DE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4281CB7C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8657" w:type="dxa"/>
            <w:gridSpan w:val="4"/>
            <w:vAlign w:val="center"/>
          </w:tcPr>
          <w:p w14:paraId="29BD4AB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Part-A</w:t>
            </w:r>
          </w:p>
        </w:tc>
      </w:tr>
      <w:tr w14:paraId="2569A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  <w:jc w:val="center"/>
        </w:trPr>
        <w:tc>
          <w:tcPr>
            <w:tcW w:w="1119" w:type="dxa"/>
            <w:vMerge w:val="continue"/>
          </w:tcPr>
          <w:p w14:paraId="521B733E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087EED5C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 Introduction to Continuous Integration (CI), using Maven for build</w:t>
            </w:r>
          </w:p>
        </w:tc>
        <w:tc>
          <w:tcPr>
            <w:tcW w:w="963" w:type="dxa"/>
            <w:shd w:val="clear" w:color="auto" w:fill="auto"/>
          </w:tcPr>
          <w:p w14:paraId="13D0004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65C4FE1F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9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</w:t>
            </w:r>
          </w:p>
          <w:p w14:paraId="44CE7EB1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 xml:space="preserve">to 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 xml:space="preserve"> 24.01.2026</w:t>
            </w:r>
          </w:p>
          <w:p w14:paraId="4CD57FA5">
            <w:pPr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2326DA90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5CAC3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  <w:jc w:val="center"/>
        </w:trPr>
        <w:tc>
          <w:tcPr>
            <w:tcW w:w="1119" w:type="dxa"/>
            <w:vMerge w:val="continue"/>
          </w:tcPr>
          <w:p w14:paraId="398CE3E2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0175CA2C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Jenkins architecture and setup </w:t>
            </w:r>
          </w:p>
        </w:tc>
        <w:tc>
          <w:tcPr>
            <w:tcW w:w="963" w:type="dxa"/>
            <w:shd w:val="clear" w:color="auto" w:fill="auto"/>
          </w:tcPr>
          <w:p w14:paraId="60DB250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2EAB8DE8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1BA181DA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0B64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18280BC5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33855448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Managing Jenkins plugins and nodes</w:t>
            </w:r>
          </w:p>
        </w:tc>
        <w:tc>
          <w:tcPr>
            <w:tcW w:w="963" w:type="dxa"/>
          </w:tcPr>
          <w:p w14:paraId="1EB4B05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5B61410D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26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</w:t>
            </w:r>
          </w:p>
          <w:p w14:paraId="75FB168A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To</w:t>
            </w:r>
          </w:p>
          <w:p w14:paraId="00D82A64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31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01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</w:tcPr>
          <w:p w14:paraId="30F00C4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262F9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  <w:jc w:val="center"/>
        </w:trPr>
        <w:tc>
          <w:tcPr>
            <w:tcW w:w="1119" w:type="dxa"/>
            <w:vMerge w:val="continue"/>
          </w:tcPr>
          <w:p w14:paraId="4AB0B1BF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shd w:val="clear"/>
            <w:vAlign w:val="center"/>
          </w:tcPr>
          <w:p w14:paraId="5FEFAFDB">
            <w:pPr>
              <w:rPr>
                <w:rFonts w:hint="default" w:ascii="Times New Roman" w:hAnsi="Times New Roman" w:cs="Times New Roman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Building and deploying applications using Jenkins</w:t>
            </w:r>
          </w:p>
        </w:tc>
        <w:tc>
          <w:tcPr>
            <w:tcW w:w="963" w:type="dxa"/>
          </w:tcPr>
          <w:p w14:paraId="1E153AC2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69795C66">
            <w:pPr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0946F5A0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6931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19" w:type="dxa"/>
            <w:vMerge w:val="continue"/>
          </w:tcPr>
          <w:p w14:paraId="7A26B071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shd w:val="clear"/>
            <w:vAlign w:val="center"/>
          </w:tcPr>
          <w:p w14:paraId="70AE2ABC">
            <w:pPr>
              <w:rPr>
                <w:rFonts w:hint="default" w:ascii="Times New Roman" w:hAnsi="Times New Roman" w:cs="Times New Roman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Creating and managing Jenkins pipelines</w:t>
            </w:r>
          </w:p>
        </w:tc>
        <w:tc>
          <w:tcPr>
            <w:tcW w:w="963" w:type="dxa"/>
          </w:tcPr>
          <w:p w14:paraId="4E1F0AF8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0BC05158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267F61E2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4B3BC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19" w:type="dxa"/>
            <w:vMerge w:val="continue"/>
          </w:tcPr>
          <w:p w14:paraId="2B3D7CCB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4E53190C">
            <w:pPr>
              <w:rPr>
                <w:rFonts w:ascii="Times New Roman" w:hAnsi="Times New Roman" w:eastAsia="Calibri" w:cs="Times New Roman"/>
                <w:bCs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Pipeline as code with Jenkins</w:t>
            </w:r>
          </w:p>
        </w:tc>
        <w:tc>
          <w:tcPr>
            <w:tcW w:w="963" w:type="dxa"/>
          </w:tcPr>
          <w:p w14:paraId="44DC849A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</w:p>
        </w:tc>
        <w:tc>
          <w:tcPr>
            <w:tcW w:w="1812" w:type="dxa"/>
          </w:tcPr>
          <w:p w14:paraId="2FFD9789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02.02.2026 to 07.02.2026</w:t>
            </w:r>
          </w:p>
        </w:tc>
        <w:tc>
          <w:tcPr>
            <w:tcW w:w="1276" w:type="dxa"/>
          </w:tcPr>
          <w:p w14:paraId="0EBBB316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4B11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375AF30E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4762EED5">
            <w:pPr>
              <w:ind w:left="-26" w:firstLine="26"/>
              <w:jc w:val="both"/>
              <w:rPr>
                <w:rFonts w:ascii="Times New Roman" w:hAnsi="Times New Roman" w:eastAsia="Calibri" w:cs="Times New Roman"/>
                <w:bCs/>
              </w:rPr>
            </w:pPr>
            <w:r>
              <w:rPr>
                <w:rFonts w:ascii="Times New Roman" w:hAnsi="Times New Roman" w:eastAsia="Calibri" w:cs="Times New Roman"/>
                <w:b/>
              </w:rPr>
              <w:t>Total No. of Classes for Unit – III Part A</w:t>
            </w:r>
          </w:p>
        </w:tc>
        <w:tc>
          <w:tcPr>
            <w:tcW w:w="963" w:type="dxa"/>
          </w:tcPr>
          <w:p w14:paraId="5DDC178E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en-US"/>
              </w:rPr>
              <w:t>6</w:t>
            </w:r>
          </w:p>
        </w:tc>
        <w:tc>
          <w:tcPr>
            <w:tcW w:w="1812" w:type="dxa"/>
          </w:tcPr>
          <w:p w14:paraId="00ED25B6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09130298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</w:tr>
      <w:tr w14:paraId="07B3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3EA427C8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8657" w:type="dxa"/>
            <w:gridSpan w:val="4"/>
            <w:vAlign w:val="center"/>
          </w:tcPr>
          <w:p w14:paraId="15A1EA6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Part-B</w:t>
            </w:r>
          </w:p>
        </w:tc>
      </w:tr>
      <w:tr w14:paraId="1A24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2FF2C12A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</w:tcPr>
          <w:p w14:paraId="1D521BA5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Introduction to Ansible</w:t>
            </w:r>
          </w:p>
        </w:tc>
        <w:tc>
          <w:tcPr>
            <w:tcW w:w="963" w:type="dxa"/>
          </w:tcPr>
          <w:p w14:paraId="218680DA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18F0A8BF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  <w:p w14:paraId="43D6FF71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20.09.2025</w:t>
            </w:r>
          </w:p>
        </w:tc>
        <w:tc>
          <w:tcPr>
            <w:tcW w:w="1276" w:type="dxa"/>
          </w:tcPr>
          <w:p w14:paraId="1B44C9C3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31DE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2FD87C86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</w:tcPr>
          <w:p w14:paraId="74387DF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Ansible architecture and installation, Inventory management</w:t>
            </w:r>
          </w:p>
        </w:tc>
        <w:tc>
          <w:tcPr>
            <w:tcW w:w="963" w:type="dxa"/>
          </w:tcPr>
          <w:p w14:paraId="518531A4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7AD5924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31673AC3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5A68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4A3A66B8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shd w:val="clear"/>
            <w:vAlign w:val="top"/>
          </w:tcPr>
          <w:p w14:paraId="4D15795B">
            <w:pPr>
              <w:rPr>
                <w:rFonts w:hint="default" w:ascii="Times New Roman" w:hAnsi="Times New Roman" w:cs="Times New Roman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Ad-hoc commands</w:t>
            </w:r>
          </w:p>
        </w:tc>
        <w:tc>
          <w:tcPr>
            <w:tcW w:w="963" w:type="dxa"/>
          </w:tcPr>
          <w:p w14:paraId="381C9F0A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19CBE7DA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4306BE4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64C8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058B0E6B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shd w:val="clear"/>
            <w:vAlign w:val="top"/>
          </w:tcPr>
          <w:p w14:paraId="05090BEB">
            <w:pPr>
              <w:rPr>
                <w:rFonts w:hint="default" w:ascii="Times New Roman" w:hAnsi="Times New Roman" w:cs="Times New Roman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playbooks</w:t>
            </w:r>
          </w:p>
        </w:tc>
        <w:tc>
          <w:tcPr>
            <w:tcW w:w="963" w:type="dxa"/>
          </w:tcPr>
          <w:p w14:paraId="5C40A4B7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</w:p>
        </w:tc>
        <w:tc>
          <w:tcPr>
            <w:tcW w:w="1812" w:type="dxa"/>
            <w:vMerge w:val="restart"/>
          </w:tcPr>
          <w:p w14:paraId="6BAFDB43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>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to 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8</w:t>
            </w:r>
            <w:r>
              <w:rPr>
                <w:rFonts w:ascii="Times New Roman" w:hAnsi="Times New Roman" w:eastAsia="Calibri" w:cs="Times New Roman"/>
              </w:rPr>
              <w:t>.0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</w:tcPr>
          <w:p w14:paraId="720CA76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64FB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  <w:jc w:val="center"/>
        </w:trPr>
        <w:tc>
          <w:tcPr>
            <w:tcW w:w="1119" w:type="dxa"/>
            <w:vMerge w:val="continue"/>
          </w:tcPr>
          <w:p w14:paraId="24CC259D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</w:tcPr>
          <w:p w14:paraId="23BF690A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Roles and modules in Ansible, Writing and managing Ansible playbook</w:t>
            </w:r>
          </w:p>
        </w:tc>
        <w:tc>
          <w:tcPr>
            <w:tcW w:w="963" w:type="dxa"/>
          </w:tcPr>
          <w:p w14:paraId="40D151F9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</w:p>
        </w:tc>
        <w:tc>
          <w:tcPr>
            <w:tcW w:w="1812" w:type="dxa"/>
            <w:vMerge w:val="continue"/>
            <w:tcBorders/>
          </w:tcPr>
          <w:p w14:paraId="526820C0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1DAB11ED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2FFA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exact"/>
          <w:jc w:val="center"/>
        </w:trPr>
        <w:tc>
          <w:tcPr>
            <w:tcW w:w="1119" w:type="dxa"/>
            <w:vMerge w:val="continue"/>
          </w:tcPr>
          <w:p w14:paraId="4D2745DB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</w:tcPr>
          <w:p w14:paraId="2777B111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Integrating Ansible with other tools.</w:t>
            </w:r>
          </w:p>
        </w:tc>
        <w:tc>
          <w:tcPr>
            <w:tcW w:w="963" w:type="dxa"/>
          </w:tcPr>
          <w:p w14:paraId="4152D98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  <w:tcBorders/>
          </w:tcPr>
          <w:p w14:paraId="12BCC2D2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7A79D15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2BEA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52D3D268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</w:tcPr>
          <w:p w14:paraId="0C4BFA85">
            <w:pPr>
              <w:ind w:left="-26" w:firstLine="26"/>
              <w:jc w:val="both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eastAsia="Calibri" w:cs="Times New Roman"/>
                <w:b/>
              </w:rPr>
              <w:t>Total No. of Classes for Unit – III Part B</w:t>
            </w:r>
          </w:p>
        </w:tc>
        <w:tc>
          <w:tcPr>
            <w:tcW w:w="963" w:type="dxa"/>
          </w:tcPr>
          <w:p w14:paraId="20F42DE3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en-US"/>
              </w:rPr>
              <w:t>6</w:t>
            </w:r>
          </w:p>
        </w:tc>
        <w:tc>
          <w:tcPr>
            <w:tcW w:w="1812" w:type="dxa"/>
          </w:tcPr>
          <w:p w14:paraId="5F98BE9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4A1FC84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</w:tr>
      <w:tr w14:paraId="256D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  <w:jc w:val="center"/>
        </w:trPr>
        <w:tc>
          <w:tcPr>
            <w:tcW w:w="1119" w:type="dxa"/>
            <w:vMerge w:val="restart"/>
          </w:tcPr>
          <w:p w14:paraId="1C73BBF4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  <w:p w14:paraId="48D28E78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</w:p>
          <w:p w14:paraId="2CFE36D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</w:p>
          <w:p w14:paraId="00E3E46D">
            <w:pPr>
              <w:spacing w:before="100" w:beforeAutospacing="1" w:after="100" w:afterAutospacing="1" w:line="276" w:lineRule="auto"/>
              <w:ind w:right="-48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UNIT-IV</w:t>
            </w:r>
          </w:p>
          <w:p w14:paraId="533F1A14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8657" w:type="dxa"/>
            <w:gridSpan w:val="4"/>
            <w:vAlign w:val="center"/>
          </w:tcPr>
          <w:p w14:paraId="08C5947D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Containerization with Docker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 xml:space="preserve"> &amp; </w:t>
            </w:r>
            <w:r>
              <w:rPr>
                <w:rFonts w:ascii="Times New Roman" w:hAnsi="Times New Roman" w:cs="Times New Roman"/>
                <w:b/>
                <w:bCs/>
              </w:rPr>
              <w:t>Orchestration with Kubernetes</w:t>
            </w:r>
          </w:p>
        </w:tc>
      </w:tr>
      <w:tr w14:paraId="19A4A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471270DF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55CDF98E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Introduction to Docker</w:t>
            </w:r>
          </w:p>
        </w:tc>
        <w:tc>
          <w:tcPr>
            <w:tcW w:w="963" w:type="dxa"/>
          </w:tcPr>
          <w:p w14:paraId="368A433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2074E840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22.09.2025 to 27.09.2025</w:t>
            </w:r>
          </w:p>
        </w:tc>
        <w:tc>
          <w:tcPr>
            <w:tcW w:w="1276" w:type="dxa"/>
          </w:tcPr>
          <w:p w14:paraId="75B0D72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7778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791DFDFD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557329E5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Working with Docker images and containers</w:t>
            </w:r>
          </w:p>
        </w:tc>
        <w:tc>
          <w:tcPr>
            <w:tcW w:w="963" w:type="dxa"/>
          </w:tcPr>
          <w:p w14:paraId="6F5C06D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03085B02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406B34D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32680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07BB627C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4F6CC8EC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Dockerfile and image creation</w:t>
            </w:r>
          </w:p>
        </w:tc>
        <w:tc>
          <w:tcPr>
            <w:tcW w:w="963" w:type="dxa"/>
          </w:tcPr>
          <w:p w14:paraId="1A320CE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4B4C2948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>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  <w:p w14:paraId="135DC8BE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 xml:space="preserve"> To </w:t>
            </w:r>
          </w:p>
          <w:p w14:paraId="4890FC46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07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</w:tcPr>
          <w:p w14:paraId="48B425F7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01B5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30D63E67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43639B4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Docker compose and Docker Swarm.</w:t>
            </w:r>
          </w:p>
          <w:p w14:paraId="5E12C5F0">
            <w:pPr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963" w:type="dxa"/>
          </w:tcPr>
          <w:p w14:paraId="41535D4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1DFBFAF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0AB3E81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7A660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3F838724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226B9998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Introduction to Kubernetes</w:t>
            </w:r>
          </w:p>
        </w:tc>
        <w:tc>
          <w:tcPr>
            <w:tcW w:w="963" w:type="dxa"/>
          </w:tcPr>
          <w:p w14:paraId="5AE94F11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</w:p>
        </w:tc>
        <w:tc>
          <w:tcPr>
            <w:tcW w:w="1812" w:type="dxa"/>
            <w:vMerge w:val="continue"/>
          </w:tcPr>
          <w:p w14:paraId="3280AAF4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09E3B066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236B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4B948179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7601FD94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Kubernetes architecture and components</w:t>
            </w:r>
          </w:p>
        </w:tc>
        <w:tc>
          <w:tcPr>
            <w:tcW w:w="963" w:type="dxa"/>
          </w:tcPr>
          <w:p w14:paraId="63FD416F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</w:p>
        </w:tc>
        <w:tc>
          <w:tcPr>
            <w:tcW w:w="1812" w:type="dxa"/>
            <w:vMerge w:val="continue"/>
          </w:tcPr>
          <w:p w14:paraId="33A5A84E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55F07047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327D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20BCE560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4696815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Setting up a Kubernetes cluster, Managing pods</w:t>
            </w:r>
          </w:p>
        </w:tc>
        <w:tc>
          <w:tcPr>
            <w:tcW w:w="963" w:type="dxa"/>
          </w:tcPr>
          <w:p w14:paraId="27FFB9B5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</w:p>
        </w:tc>
        <w:tc>
          <w:tcPr>
            <w:tcW w:w="1812" w:type="dxa"/>
            <w:vMerge w:val="restart"/>
          </w:tcPr>
          <w:p w14:paraId="1640D9AC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>0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9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  <w:p w14:paraId="52F608A2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 xml:space="preserve"> To 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14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</w:tcPr>
          <w:p w14:paraId="0AF0BE3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10C0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5E0E0D3A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3C66436A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deployments, and services.</w:t>
            </w:r>
          </w:p>
        </w:tc>
        <w:tc>
          <w:tcPr>
            <w:tcW w:w="963" w:type="dxa"/>
          </w:tcPr>
          <w:p w14:paraId="08A929FE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</w:t>
            </w:r>
          </w:p>
        </w:tc>
        <w:tc>
          <w:tcPr>
            <w:tcW w:w="1812" w:type="dxa"/>
            <w:vMerge w:val="continue"/>
            <w:tcBorders/>
          </w:tcPr>
          <w:p w14:paraId="645BB83B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2D697E35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11C1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3EE272F2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6A8D68A7">
            <w:pPr>
              <w:ind w:left="420"/>
              <w:contextualSpacing/>
              <w:jc w:val="both"/>
              <w:rPr>
                <w:rFonts w:ascii="Times New Roman" w:hAnsi="Times New Roman" w:eastAsia="Calibri" w:cs="Times New Roman"/>
                <w:bCs/>
              </w:rPr>
            </w:pPr>
            <w:r>
              <w:rPr>
                <w:rFonts w:ascii="Times New Roman" w:hAnsi="Times New Roman" w:eastAsia="Calibri" w:cs="Times New Roman"/>
                <w:b/>
              </w:rPr>
              <w:t>Total No. of Classes for Unit – IV</w:t>
            </w:r>
          </w:p>
        </w:tc>
        <w:tc>
          <w:tcPr>
            <w:tcW w:w="963" w:type="dxa"/>
          </w:tcPr>
          <w:p w14:paraId="5DF9A032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en-US"/>
              </w:rPr>
              <w:t>8</w:t>
            </w:r>
          </w:p>
        </w:tc>
        <w:tc>
          <w:tcPr>
            <w:tcW w:w="3088" w:type="dxa"/>
            <w:gridSpan w:val="2"/>
          </w:tcPr>
          <w:p w14:paraId="6294CBA7">
            <w:pPr>
              <w:spacing w:after="200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</w:tr>
      <w:tr w14:paraId="173FD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restart"/>
          </w:tcPr>
          <w:p w14:paraId="64732EE1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  <w:p w14:paraId="575F2F7F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</w:p>
          <w:p w14:paraId="2EEE7947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</w:p>
          <w:p w14:paraId="5D02CE41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UNIT-V</w:t>
            </w:r>
          </w:p>
          <w:p w14:paraId="58EA60C2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8657" w:type="dxa"/>
            <w:gridSpan w:val="4"/>
            <w:vAlign w:val="center"/>
          </w:tcPr>
          <w:p w14:paraId="68906DFD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Monitoring, Operations and Testing Tools</w:t>
            </w:r>
          </w:p>
        </w:tc>
      </w:tr>
      <w:tr w14:paraId="2650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088998B1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7164A3F6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Prometheus: Introduction, Why learn Prometheus</w:t>
            </w:r>
          </w:p>
        </w:tc>
        <w:tc>
          <w:tcPr>
            <w:tcW w:w="963" w:type="dxa"/>
            <w:shd w:val="clear" w:color="auto" w:fill="auto"/>
          </w:tcPr>
          <w:p w14:paraId="72F76FBA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49BCEB10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16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to 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21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7167D9E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301E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58583F50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10F5E52E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Infrastructure Monitoring, Alerting and Alert Receivers</w:t>
            </w:r>
          </w:p>
        </w:tc>
        <w:tc>
          <w:tcPr>
            <w:tcW w:w="963" w:type="dxa"/>
            <w:shd w:val="clear" w:color="auto" w:fill="auto"/>
          </w:tcPr>
          <w:p w14:paraId="2FA1DC1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3D1E8B41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0C804707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04D18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02592A2F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023DC696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Grafana: Introduction, Creating Grafana Dashboards</w:t>
            </w:r>
          </w:p>
        </w:tc>
        <w:tc>
          <w:tcPr>
            <w:tcW w:w="963" w:type="dxa"/>
            <w:shd w:val="clear" w:color="auto" w:fill="auto"/>
          </w:tcPr>
          <w:p w14:paraId="3ECF17E4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76A043AC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>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  <w:p w14:paraId="6DBEAC9C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To</w:t>
            </w:r>
          </w:p>
          <w:p w14:paraId="3AF9F1DC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</w:rPr>
              <w:t>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8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0E150991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374B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1FAE7458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3421E313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Grafana API and Auto Healing</w:t>
            </w:r>
          </w:p>
        </w:tc>
        <w:tc>
          <w:tcPr>
            <w:tcW w:w="963" w:type="dxa"/>
          </w:tcPr>
          <w:p w14:paraId="08F8FE01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7D5DD9A0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</w:tcPr>
          <w:p w14:paraId="1997FC4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209A9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781A8152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72FA3B47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Testing: Selenium features, Testing backend integration points</w:t>
            </w:r>
          </w:p>
        </w:tc>
        <w:tc>
          <w:tcPr>
            <w:tcW w:w="963" w:type="dxa"/>
            <w:shd w:val="clear" w:color="auto" w:fill="auto"/>
          </w:tcPr>
          <w:p w14:paraId="68FB5F67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347F4294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1F6C26C5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793F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12C18B62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  <w:vAlign w:val="center"/>
          </w:tcPr>
          <w:p w14:paraId="383856B1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Test-driven Development</w:t>
            </w:r>
          </w:p>
        </w:tc>
        <w:tc>
          <w:tcPr>
            <w:tcW w:w="963" w:type="dxa"/>
            <w:shd w:val="clear" w:color="auto" w:fill="auto"/>
          </w:tcPr>
          <w:p w14:paraId="048DBCD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restart"/>
          </w:tcPr>
          <w:p w14:paraId="63EEC35D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30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  <w:p w14:paraId="1EADD23D">
            <w:pPr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To</w:t>
            </w:r>
          </w:p>
          <w:p w14:paraId="35010154">
            <w:pPr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04.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14:paraId="3032F11C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5684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38C9551E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4606" w:type="dxa"/>
          </w:tcPr>
          <w:p w14:paraId="1CB6159E">
            <w:pPr>
              <w:pStyle w:val="14"/>
              <w:spacing w:before="3" w:line="240" w:lineRule="auto"/>
              <w:ind w:right="94"/>
              <w:jc w:val="both"/>
              <w:rPr>
                <w:rFonts w:hint="default" w:ascii="Times New Roman" w:hAnsi="Times New Roman" w:eastAsia="Arial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lang w:val="en-US" w:eastAsia="en-US" w:bidi="ar-SA"/>
              </w:rPr>
              <w:t>REPL-driven Development.</w:t>
            </w:r>
          </w:p>
        </w:tc>
        <w:tc>
          <w:tcPr>
            <w:tcW w:w="963" w:type="dxa"/>
            <w:shd w:val="clear" w:color="auto" w:fill="auto"/>
          </w:tcPr>
          <w:p w14:paraId="65F8E890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</w:t>
            </w:r>
          </w:p>
        </w:tc>
        <w:tc>
          <w:tcPr>
            <w:tcW w:w="1812" w:type="dxa"/>
            <w:vMerge w:val="continue"/>
          </w:tcPr>
          <w:p w14:paraId="1FFA63D7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  <w:tc>
          <w:tcPr>
            <w:tcW w:w="1276" w:type="dxa"/>
            <w:shd w:val="clear" w:color="auto" w:fill="auto"/>
          </w:tcPr>
          <w:p w14:paraId="03329D42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T1</w:t>
            </w:r>
          </w:p>
        </w:tc>
      </w:tr>
      <w:tr w14:paraId="4B00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  <w:vMerge w:val="continue"/>
          </w:tcPr>
          <w:p w14:paraId="66C3C9AA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  <w:b/>
              </w:rPr>
            </w:pPr>
          </w:p>
        </w:tc>
        <w:tc>
          <w:tcPr>
            <w:tcW w:w="4606" w:type="dxa"/>
          </w:tcPr>
          <w:p w14:paraId="5B7A288C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Total No. of Classes for Unit – V</w:t>
            </w:r>
          </w:p>
        </w:tc>
        <w:tc>
          <w:tcPr>
            <w:tcW w:w="963" w:type="dxa"/>
          </w:tcPr>
          <w:p w14:paraId="61598303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en-US"/>
              </w:rPr>
              <w:t>7</w:t>
            </w:r>
          </w:p>
        </w:tc>
        <w:tc>
          <w:tcPr>
            <w:tcW w:w="3088" w:type="dxa"/>
            <w:gridSpan w:val="2"/>
          </w:tcPr>
          <w:p w14:paraId="03035449">
            <w:pPr>
              <w:spacing w:before="100" w:beforeAutospacing="1" w:after="100" w:afterAutospacing="1" w:line="276" w:lineRule="auto"/>
              <w:jc w:val="center"/>
              <w:rPr>
                <w:rFonts w:ascii="Times New Roman" w:hAnsi="Times New Roman" w:eastAsia="Calibri" w:cs="Times New Roman"/>
              </w:rPr>
            </w:pPr>
          </w:p>
        </w:tc>
      </w:tr>
      <w:tr w14:paraId="7580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1119" w:type="dxa"/>
          </w:tcPr>
          <w:p w14:paraId="4FDBF439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 w:eastAsia="Calibri" w:cs="Times New Roman"/>
                <w:b/>
              </w:rPr>
            </w:pPr>
          </w:p>
        </w:tc>
        <w:tc>
          <w:tcPr>
            <w:tcW w:w="4606" w:type="dxa"/>
          </w:tcPr>
          <w:p w14:paraId="025929B7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Student Seminars</w:t>
            </w:r>
          </w:p>
        </w:tc>
        <w:tc>
          <w:tcPr>
            <w:tcW w:w="963" w:type="dxa"/>
          </w:tcPr>
          <w:p w14:paraId="795F64DB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en-US"/>
              </w:rPr>
              <w:t>3</w:t>
            </w:r>
          </w:p>
        </w:tc>
        <w:tc>
          <w:tcPr>
            <w:tcW w:w="3088" w:type="dxa"/>
            <w:gridSpan w:val="2"/>
          </w:tcPr>
          <w:p w14:paraId="54E4AAA5">
            <w:pPr>
              <w:spacing w:before="100" w:beforeAutospacing="1" w:after="100" w:afterAutospacing="1" w:line="276" w:lineRule="auto"/>
              <w:jc w:val="center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lang w:val="en-US"/>
              </w:rPr>
              <w:t>23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</w:rPr>
              <w:t xml:space="preserve"> to 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</w:rPr>
              <w:t>.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</w:rPr>
              <w:t>.202</w:t>
            </w:r>
            <w:r>
              <w:rPr>
                <w:rFonts w:hint="default" w:ascii="Times New Roman" w:hAnsi="Times New Roman" w:eastAsia="Calibri" w:cs="Times New Roman"/>
                <w:lang w:val="en-US"/>
              </w:rPr>
              <w:t>6</w:t>
            </w:r>
          </w:p>
        </w:tc>
      </w:tr>
      <w:tr w14:paraId="7F70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9776" w:type="dxa"/>
            <w:gridSpan w:val="5"/>
          </w:tcPr>
          <w:p w14:paraId="7F8D582D">
            <w:pPr>
              <w:spacing w:before="100" w:beforeAutospacing="1" w:after="100" w:afterAutospacing="1" w:line="276" w:lineRule="auto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Textbooks</w:t>
            </w:r>
          </w:p>
        </w:tc>
      </w:tr>
      <w:tr w14:paraId="5080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9776" w:type="dxa"/>
            <w:gridSpan w:val="5"/>
          </w:tcPr>
          <w:p w14:paraId="1FE76B6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1.Joakim Verona. Practical DevOps, Ingram short title, 2nd Edition, 2018, ISBN-10: 1788392574.</w:t>
            </w:r>
          </w:p>
        </w:tc>
      </w:tr>
      <w:tr w14:paraId="41171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9776" w:type="dxa"/>
            <w:gridSpan w:val="5"/>
          </w:tcPr>
          <w:p w14:paraId="7C18C3BA">
            <w:pPr>
              <w:spacing w:before="100" w:beforeAutospacing="1" w:after="100" w:afterAutospacing="1" w:line="276" w:lineRule="auto"/>
              <w:rPr>
                <w:rFonts w:hint="default" w:ascii="Times New Roman" w:hAnsi="Times New Roman" w:eastAsia="Calibri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lang w:val="en-US"/>
              </w:rPr>
              <w:t>References</w:t>
            </w:r>
          </w:p>
        </w:tc>
      </w:tr>
      <w:tr w14:paraId="62266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exact"/>
          <w:jc w:val="center"/>
        </w:trPr>
        <w:tc>
          <w:tcPr>
            <w:tcW w:w="9776" w:type="dxa"/>
            <w:gridSpan w:val="5"/>
          </w:tcPr>
          <w:p w14:paraId="4415A870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1.Len Bass, Ingo Weber, Liming Zhu. DevOps: A Software Architect's Perspective. </w:t>
            </w:r>
          </w:p>
          <w:p w14:paraId="5D8D3DE1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Addison Wesley; ISBN-10.</w:t>
            </w:r>
          </w:p>
          <w:p w14:paraId="0E58AA3F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2.Deepak Gaikwad, Viral Thakkar. DevOps Tools from Practitioner's Viewpoint. Wiley publications. ISBN: 9788126579952.</w:t>
            </w:r>
          </w:p>
        </w:tc>
      </w:tr>
    </w:tbl>
    <w:p w14:paraId="518DC538">
      <w:pPr>
        <w:rPr>
          <w:rFonts w:hint="default" w:ascii="Times New Roman" w:hAnsi="Times New Roman" w:cs="Times New Roman"/>
          <w:lang w:val="en-US"/>
        </w:rPr>
      </w:pPr>
    </w:p>
    <w:p w14:paraId="63875C59">
      <w:pPr>
        <w:rPr>
          <w:rFonts w:hint="default" w:ascii="Times New Roman" w:hAnsi="Times New Roman" w:cs="Times New Roman"/>
          <w:lang w:val="en-US"/>
        </w:rPr>
      </w:pPr>
    </w:p>
    <w:p w14:paraId="5FD939C1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eastAsia="Calibri" w:cs="Times New Roman"/>
          <w:b/>
          <w:color w:val="000000"/>
        </w:rPr>
      </w:pPr>
      <w:r>
        <w:rPr>
          <w:rFonts w:ascii="Times New Roman" w:hAnsi="Times New Roman" w:eastAsia="Calibri" w:cs="Times New Roman"/>
          <w:b/>
          <w:color w:val="000000"/>
        </w:rPr>
        <w:t xml:space="preserve">Signature of faculty: </w:t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ab/>
      </w:r>
      <w:r>
        <w:rPr>
          <w:rFonts w:ascii="Times New Roman" w:hAnsi="Times New Roman" w:eastAsia="Calibri" w:cs="Times New Roman"/>
          <w:b/>
          <w:color w:val="000000"/>
        </w:rPr>
        <w:t>HOD-CSE</w:t>
      </w:r>
    </w:p>
    <w:p w14:paraId="6704A919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</w:rPr>
      </w:pPr>
      <w:bookmarkStart w:id="0" w:name="_GoBack"/>
      <w:bookmarkEnd w:id="0"/>
    </w:p>
    <w:sectPr>
      <w:headerReference r:id="rId5" w:type="default"/>
      <w:pgSz w:w="12240" w:h="15840"/>
      <w:pgMar w:top="1440" w:right="1440" w:bottom="567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60447">
    <w:pPr>
      <w:pStyle w:val="6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5720080</wp:posOffset>
          </wp:positionH>
          <wp:positionV relativeFrom="paragraph">
            <wp:posOffset>-415290</wp:posOffset>
          </wp:positionV>
          <wp:extent cx="911860" cy="782320"/>
          <wp:effectExtent l="19050" t="0" r="2540" b="0"/>
          <wp:wrapTight wrapText="bothSides">
            <wp:wrapPolygon>
              <wp:start x="1805" y="0"/>
              <wp:lineTo x="-451" y="1578"/>
              <wp:lineTo x="-451" y="16831"/>
              <wp:lineTo x="451" y="21039"/>
              <wp:lineTo x="1354" y="21039"/>
              <wp:lineTo x="20306" y="21039"/>
              <wp:lineTo x="20758" y="21039"/>
              <wp:lineTo x="21660" y="18409"/>
              <wp:lineTo x="21660" y="2104"/>
              <wp:lineTo x="20306" y="0"/>
              <wp:lineTo x="1805" y="0"/>
            </wp:wrapPolygon>
          </wp:wrapTight>
          <wp:docPr id="3" name="Picture 1" descr="Accreditation - Global Institutes Top &amp; Best Engineering College in  Amritsar Punjab, In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Accreditation - Global Institutes Top &amp; Best Engineering College in  Amritsar Punjab, Ind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1860" cy="7823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561340</wp:posOffset>
              </wp:positionH>
              <wp:positionV relativeFrom="paragraph">
                <wp:posOffset>-338455</wp:posOffset>
              </wp:positionV>
              <wp:extent cx="4890135" cy="713105"/>
              <wp:effectExtent l="4445" t="4445" r="7620" b="63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0135" cy="7131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91B5BFD">
                          <w:pPr>
                            <w:rPr>
                              <w:rFonts w:ascii="Times New Roman" w:hAnsi="Times New Roman" w:cs="Times New Roman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40"/>
                            </w:rPr>
                            <w:t>CMR INSTITUTE OF TECHNOLOGY</w:t>
                          </w:r>
                        </w:p>
                        <w:p w14:paraId="38595ACB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Cs w:val="36"/>
                            </w:rPr>
                            <w:t>(UGC Autonomous)</w:t>
                          </w:r>
                        </w:p>
                        <w:p w14:paraId="53353BC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0"/>
                              <w:szCs w:val="20"/>
                            </w:rPr>
                            <w:t>Approved by AICTE, Permanently Affiliated to JNTUH, Hyderabad and NAAC Accredited</w:t>
                          </w: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.2pt;margin-top:-26.65pt;height:56.15pt;width:385.05pt;z-index:251660288;mso-width-relative:page;mso-height-relative:page;" fillcolor="#FFFFFF" filled="t" stroked="t" coordsize="21600,21600" o:gfxdata="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hrjpfYAAAACQEAAA8AAAAAAAAAAQAgAAAAIgAAAGRycy9kb3ducmV2LnhtbFBL&#10;AQIUABQAAAAIAIdO4kB8HWjI9gEAADUEAAAOAAAAAAAAAAEAIAAAACcBAABkcnMvZTJvRG9jLnht&#10;bFBLBQYAAAAABgAGAFkBAACPBQAAAAA=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591B5BFD">
                    <w:pPr>
                      <w:rPr>
                        <w:rFonts w:ascii="Times New Roman" w:hAnsi="Times New Roman" w:cs="Times New Roman"/>
                        <w:b/>
                        <w:sz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40"/>
                      </w:rPr>
                      <w:t>CMR INSTITUTE OF TECHNOLOGY</w:t>
                    </w:r>
                  </w:p>
                  <w:p w14:paraId="38595ACB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Cs w:val="36"/>
                      </w:rPr>
                      <w:t>(UGC Autonomous)</w:t>
                    </w:r>
                  </w:p>
                  <w:p w14:paraId="53353BCE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i/>
                        <w:sz w:val="20"/>
                        <w:szCs w:val="20"/>
                      </w:rPr>
                      <w:t>Approved by AICTE, Permanently Affiliated to JNTUH, Hyderabad and NAAC Accredited</w:t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-493395</wp:posOffset>
          </wp:positionH>
          <wp:positionV relativeFrom="paragraph">
            <wp:posOffset>-462915</wp:posOffset>
          </wp:positionV>
          <wp:extent cx="814705" cy="893445"/>
          <wp:effectExtent l="19050" t="0" r="444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4705" cy="89361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 xml:space="preserve">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95B"/>
    <w:rsid w:val="006F5AA5"/>
    <w:rsid w:val="007B6DA8"/>
    <w:rsid w:val="007D4BCA"/>
    <w:rsid w:val="00A2095B"/>
    <w:rsid w:val="00AC01F8"/>
    <w:rsid w:val="00B718AF"/>
    <w:rsid w:val="04415B42"/>
    <w:rsid w:val="0B94572A"/>
    <w:rsid w:val="0FEE6796"/>
    <w:rsid w:val="10A5455F"/>
    <w:rsid w:val="16294BEB"/>
    <w:rsid w:val="1A5B357B"/>
    <w:rsid w:val="1F531875"/>
    <w:rsid w:val="2AF77E8C"/>
    <w:rsid w:val="2E3B4349"/>
    <w:rsid w:val="2E8C0CED"/>
    <w:rsid w:val="39515718"/>
    <w:rsid w:val="3A705B70"/>
    <w:rsid w:val="3F4C6CE8"/>
    <w:rsid w:val="432224BD"/>
    <w:rsid w:val="50F4551B"/>
    <w:rsid w:val="6B157DBF"/>
    <w:rsid w:val="6BE54AFE"/>
    <w:rsid w:val="6D162D88"/>
    <w:rsid w:val="721A0845"/>
    <w:rsid w:val="77D31E72"/>
    <w:rsid w:val="7FD8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rPr>
      <w:sz w:val="20"/>
      <w:szCs w:val="20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semiHidden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ind w:left="360" w:hanging="360"/>
    </w:pPr>
    <w:rPr>
      <w:rFonts w:ascii="Times New Roman" w:hAnsi="Times New Roman" w:eastAsia="Times New Roman" w:cs="Times New Roman"/>
      <w:sz w:val="24"/>
      <w:szCs w:val="24"/>
    </w:rPr>
  </w:style>
  <w:style w:type="table" w:styleId="8">
    <w:name w:val="Table Grid"/>
    <w:basedOn w:val="3"/>
    <w:uiPriority w:val="59"/>
    <w:pPr>
      <w:widowControl w:val="0"/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er Char"/>
    <w:basedOn w:val="2"/>
    <w:link w:val="6"/>
    <w:semiHidden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ody Text Char"/>
    <w:basedOn w:val="2"/>
    <w:link w:val="4"/>
    <w:qFormat/>
    <w:uiPriority w:val="1"/>
    <w:rPr>
      <w:rFonts w:ascii="Arial" w:hAnsi="Arial" w:eastAsia="Arial" w:cs="Arial"/>
      <w:sz w:val="20"/>
      <w:szCs w:val="20"/>
    </w:rPr>
  </w:style>
  <w:style w:type="paragraph" w:styleId="12">
    <w:name w:val="List Paragraph"/>
    <w:basedOn w:val="1"/>
    <w:link w:val="13"/>
    <w:qFormat/>
    <w:uiPriority w:val="34"/>
    <w:pPr>
      <w:ind w:left="840" w:hanging="540"/>
    </w:pPr>
  </w:style>
  <w:style w:type="character" w:customStyle="1" w:styleId="13">
    <w:name w:val="List Paragraph Char"/>
    <w:link w:val="12"/>
    <w:qFormat/>
    <w:locked/>
    <w:uiPriority w:val="34"/>
    <w:rPr>
      <w:rFonts w:ascii="Arial" w:hAnsi="Arial" w:eastAsia="Arial" w:cs="Arial"/>
    </w:rPr>
  </w:style>
  <w:style w:type="paragraph" w:customStyle="1" w:styleId="14">
    <w:name w:val="Table Paragraph"/>
    <w:basedOn w:val="1"/>
    <w:qFormat/>
    <w:uiPriority w:val="1"/>
  </w:style>
  <w:style w:type="paragraph" w:styleId="15">
    <w:name w:val="No Spacing"/>
    <w:link w:val="16"/>
    <w:qFormat/>
    <w:uiPriority w:val="1"/>
    <w:pPr>
      <w:spacing w:after="0" w:line="240" w:lineRule="auto"/>
      <w:ind w:left="360" w:hanging="360"/>
    </w:pPr>
    <w:rPr>
      <w:rFonts w:ascii="Calibri" w:hAnsi="Calibri" w:eastAsia="Times New Roman" w:cs="Times New Roman"/>
      <w:sz w:val="22"/>
      <w:szCs w:val="22"/>
      <w:lang w:val="en-IN" w:eastAsia="en-US" w:bidi="ar-SA"/>
    </w:rPr>
  </w:style>
  <w:style w:type="character" w:customStyle="1" w:styleId="16">
    <w:name w:val="No Spacing Char"/>
    <w:basedOn w:val="2"/>
    <w:link w:val="15"/>
    <w:qFormat/>
    <w:uiPriority w:val="1"/>
    <w:rPr>
      <w:rFonts w:ascii="Calibri" w:hAnsi="Calibri" w:eastAsia="Times New Roman" w:cs="Times New Roman"/>
      <w:lang w:val="en-IN"/>
    </w:rPr>
  </w:style>
  <w:style w:type="paragraph" w:customStyle="1" w:styleId="17">
    <w:name w:val="my-2"/>
    <w:basedOn w:val="1"/>
    <w:uiPriority w:val="0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1875</Words>
  <Characters>10694</Characters>
  <Lines>89</Lines>
  <Paragraphs>25</Paragraphs>
  <TotalTime>5</TotalTime>
  <ScaleCrop>false</ScaleCrop>
  <LinksUpToDate>false</LinksUpToDate>
  <CharactersWithSpaces>12544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2025-11-15T07:40:00Z</dcterms:created>
  <dc:creator>HOD CSE</dc:creator>
  <cp:lastModifiedBy>Maheedhar varaprasad Repalle</cp:lastModifiedBy>
  <cp:lastPrinted>2025-11-15T08:06:00Z</cp:lastPrinted>
  <dcterms:modified xsi:type="dcterms:W3CDTF">2025-12-15T06:45:38Z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EBBE35E1F0A94C79B69628D364E99065_13</vt:lpwstr>
  </property>
</Properties>
</file>