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9082" w14:textId="6EABC986" w:rsidR="00EE36FF" w:rsidRDefault="00BA2D9A">
      <w:pPr>
        <w:jc w:val="center"/>
        <w:rPr>
          <w:rFonts w:hint="eastAsia"/>
        </w:rPr>
      </w:pPr>
      <w:r>
        <w:rPr>
          <w:b/>
          <w:noProof/>
          <w:color w:val="1677E8"/>
          <w:sz w:val="68"/>
        </w:rPr>
        <w:drawing>
          <wp:inline distT="0" distB="0" distL="0" distR="0" wp14:anchorId="2079B29F" wp14:editId="663E86BF">
            <wp:extent cx="2381250" cy="795613"/>
            <wp:effectExtent l="0" t="0" r="0" b="0"/>
            <wp:docPr id="28686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61663" name="Picture 2868616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3521" cy="7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1F5">
        <w:rPr>
          <w:b/>
          <w:color w:val="1677E8"/>
          <w:sz w:val="68"/>
        </w:rPr>
        <w:t xml:space="preserve">                                                                                         </w:t>
      </w:r>
    </w:p>
    <w:p w14:paraId="4B019BB3" w14:textId="264C6D69" w:rsidR="00EE36FF" w:rsidRDefault="004501C6">
      <w:pPr>
        <w:jc w:val="center"/>
        <w:rPr>
          <w:rFonts w:hint="eastAsia"/>
        </w:rPr>
      </w:pPr>
      <w:r>
        <w:rPr>
          <w:b/>
          <w:sz w:val="36"/>
        </w:rPr>
        <w:t xml:space="preserve">    </w:t>
      </w:r>
      <w:r w:rsidR="00000000">
        <w:rPr>
          <w:b/>
          <w:color w:val="0B2148"/>
          <w:sz w:val="36"/>
        </w:rPr>
        <w:t>PROJECT MASTER CHECKLIST</w:t>
      </w:r>
    </w:p>
    <w:p w14:paraId="17BEFF04" w14:textId="25AFDB04" w:rsidR="00EE36FF" w:rsidRDefault="004501C6">
      <w:pPr>
        <w:jc w:val="center"/>
        <w:rPr>
          <w:rFonts w:hint="eastAsia"/>
        </w:rPr>
      </w:pPr>
      <w:r>
        <w:rPr>
          <w:color w:val="64748B"/>
        </w:rPr>
        <w:t xml:space="preserve">        </w:t>
      </w:r>
      <w:r w:rsidR="00000000">
        <w:rPr>
          <w:color w:val="64748B"/>
        </w:rPr>
        <w:t>Build history • Completed work • Current state • Remaining roadmap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E36FF" w14:paraId="52EA9396" w14:textId="77777777">
        <w:trPr>
          <w:jc w:val="center"/>
        </w:trPr>
        <w:tc>
          <w:tcPr>
            <w:tcW w:w="10224" w:type="dxa"/>
            <w:shd w:val="clear" w:color="auto" w:fill="1677E8"/>
            <w:vAlign w:val="center"/>
          </w:tcPr>
          <w:p w14:paraId="1549FFE4" w14:textId="77777777" w:rsidR="00EE36FF" w:rsidRDefault="00000000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  <w:b/>
                <w:color w:val="FFFFFF"/>
                <w:sz w:val="22"/>
              </w:rPr>
              <w:t>✦</w:t>
            </w:r>
            <w:r>
              <w:rPr>
                <w:rFonts w:ascii="Aptos" w:hAnsi="Aptos"/>
                <w:b/>
                <w:color w:val="FFFFFF"/>
                <w:sz w:val="22"/>
              </w:rPr>
              <w:t xml:space="preserve">  BTECH SMM  •  SOCIAL MEDIA MARKETING PLATFORM</w:t>
            </w:r>
          </w:p>
        </w:tc>
      </w:tr>
    </w:tbl>
    <w:p w14:paraId="0C2CBF75" w14:textId="77777777" w:rsidR="00EE36FF" w:rsidRDefault="00000000">
      <w:pPr>
        <w:pStyle w:val="Heading1"/>
      </w:pPr>
      <w:r>
        <w:t>1. PROJECT FOUNDATION &amp; PRODUCT DIRECTION</w:t>
      </w:r>
    </w:p>
    <w:p w14:paraId="2BB9967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Project concept established — </w:t>
      </w:r>
      <w:r>
        <w:t xml:space="preserve">BTECH SMM / earlier BTECH SOCIAL defined as a Supabase-backed social media marketing reseller platform. </w:t>
      </w:r>
      <w:r>
        <w:rPr>
          <w:b/>
          <w:color w:val="16834B"/>
          <w:sz w:val="16"/>
        </w:rPr>
        <w:t>COMPLETED</w:t>
      </w:r>
    </w:p>
    <w:p w14:paraId="09CD239A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Target audience defined — </w:t>
      </w:r>
      <w:r>
        <w:t xml:space="preserve">Primarily college/university students, upcoming content creators and social-media users. </w:t>
      </w:r>
      <w:r>
        <w:rPr>
          <w:b/>
          <w:color w:val="16834B"/>
          <w:sz w:val="16"/>
        </w:rPr>
        <w:t>COMPLETED</w:t>
      </w:r>
    </w:p>
    <w:p w14:paraId="1DDB876A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Core reseller model defined — </w:t>
      </w:r>
      <w:r>
        <w:t xml:space="preserve">Customer </w:t>
      </w:r>
      <w:r>
        <w:rPr>
          <w:rFonts w:ascii="Arial" w:hAnsi="Arial" w:cs="Arial"/>
        </w:rPr>
        <w:t>→</w:t>
      </w:r>
      <w:r>
        <w:t xml:space="preserve"> BTECH SMM </w:t>
      </w:r>
      <w:r>
        <w:rPr>
          <w:rFonts w:ascii="Arial" w:hAnsi="Arial" w:cs="Arial"/>
        </w:rPr>
        <w:t>→</w:t>
      </w:r>
      <w:r>
        <w:t xml:space="preserve"> provider API </w:t>
      </w:r>
      <w:r>
        <w:rPr>
          <w:rFonts w:ascii="Arial" w:hAnsi="Arial" w:cs="Arial"/>
        </w:rPr>
        <w:t>→</w:t>
      </w:r>
      <w:r>
        <w:t xml:space="preserve"> provider fulfillment </w:t>
      </w:r>
      <w:r>
        <w:rPr>
          <w:rFonts w:ascii="Arial" w:hAnsi="Arial" w:cs="Arial"/>
        </w:rPr>
        <w:t>→</w:t>
      </w:r>
      <w:r>
        <w:t xml:space="preserve"> BTECH SMM </w:t>
      </w:r>
      <w:r>
        <w:rPr>
          <w:rFonts w:ascii="Arial" w:hAnsi="Arial" w:cs="Arial"/>
        </w:rPr>
        <w:t>→</w:t>
      </w:r>
      <w:r>
        <w:t xml:space="preserve"> customer. </w:t>
      </w:r>
      <w:r>
        <w:rPr>
          <w:b/>
          <w:color w:val="16834B"/>
          <w:sz w:val="16"/>
        </w:rPr>
        <w:t>COMPLETED</w:t>
      </w:r>
    </w:p>
    <w:p w14:paraId="09E6B764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Brand direction established — </w:t>
      </w:r>
      <w:r>
        <w:t xml:space="preserve">Professional, natural human-designed SaaS/PWA; blue/white/navy direction; no excessive glow, gradients or generic-looking UI. </w:t>
      </w:r>
      <w:r>
        <w:rPr>
          <w:b/>
          <w:color w:val="16834B"/>
          <w:sz w:val="16"/>
        </w:rPr>
        <w:t>COMPLETED</w:t>
      </w:r>
    </w:p>
    <w:p w14:paraId="73162E8C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Architecture direction established — </w:t>
      </w:r>
      <w:r>
        <w:t xml:space="preserve">Supabase database/auth + Edge Functions for sensitive backend operations + provider API integration. </w:t>
      </w:r>
      <w:r>
        <w:rPr>
          <w:b/>
          <w:color w:val="16834B"/>
          <w:sz w:val="16"/>
        </w:rPr>
        <w:t>COMPLETED</w:t>
      </w:r>
    </w:p>
    <w:p w14:paraId="3504AC0B" w14:textId="77777777" w:rsidR="00EE36FF" w:rsidRDefault="00000000">
      <w:pPr>
        <w:pStyle w:val="Heading1"/>
      </w:pPr>
      <w:r>
        <w:t>2. APPLICATION FOUNDATION &amp; AUTHENTICATION</w:t>
      </w:r>
    </w:p>
    <w:p w14:paraId="0F48ED27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Real Supabase application connected — </w:t>
      </w:r>
      <w:r>
        <w:t xml:space="preserve">Supabase is used as the live application data/auth foundation. </w:t>
      </w:r>
      <w:r>
        <w:rPr>
          <w:b/>
          <w:color w:val="16834B"/>
          <w:sz w:val="16"/>
        </w:rPr>
        <w:t>COMPLETED</w:t>
      </w:r>
    </w:p>
    <w:p w14:paraId="7BBEABC2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Authentication foundation — </w:t>
      </w:r>
      <w:r>
        <w:t xml:space="preserve">User authentication and profile-based access are part of the application. </w:t>
      </w:r>
      <w:r>
        <w:rPr>
          <w:b/>
          <w:color w:val="16834B"/>
          <w:sz w:val="16"/>
        </w:rPr>
        <w:t>COMPLETED</w:t>
      </w:r>
    </w:p>
    <w:p w14:paraId="5CD03353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Admin/customer separation — </w:t>
      </w:r>
      <w:r>
        <w:t xml:space="preserve">Admin/customer access and controls are part of the architecture. </w:t>
      </w:r>
      <w:r>
        <w:rPr>
          <w:b/>
          <w:color w:val="16834B"/>
          <w:sz w:val="16"/>
        </w:rPr>
        <w:t>COMPLETED</w:t>
      </w:r>
    </w:p>
    <w:p w14:paraId="3A4DEF1D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RLS/security architecture — </w:t>
      </w:r>
      <w:r>
        <w:t xml:space="preserve">Row Level Security and server-side financial/provider operations are part of the design. </w:t>
      </w:r>
      <w:r>
        <w:rPr>
          <w:b/>
          <w:color w:val="16834B"/>
          <w:sz w:val="16"/>
        </w:rPr>
        <w:t>COMPLETED</w:t>
      </w:r>
    </w:p>
    <w:p w14:paraId="5ADAFDF4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PWA foundation — </w:t>
      </w:r>
      <w:r>
        <w:t xml:space="preserve">Progressive Web App direction and app-like navigation established. </w:t>
      </w:r>
      <w:r>
        <w:rPr>
          <w:b/>
          <w:color w:val="16834B"/>
          <w:sz w:val="16"/>
        </w:rPr>
        <w:t>COMPLETED</w:t>
      </w:r>
    </w:p>
    <w:p w14:paraId="1E4D725A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Frontend architecture — </w:t>
      </w:r>
      <w:r>
        <w:t xml:space="preserve">Current working direction uses HTML/CSS/vanilla JavaScript ES6 modules with Supabase CDN. </w:t>
      </w:r>
      <w:r>
        <w:rPr>
          <w:b/>
          <w:color w:val="16834B"/>
          <w:sz w:val="16"/>
        </w:rPr>
        <w:t>COMPLETED</w:t>
      </w:r>
    </w:p>
    <w:p w14:paraId="1C28B213" w14:textId="77777777" w:rsidR="00EE36FF" w:rsidRDefault="00000000">
      <w:pPr>
        <w:pStyle w:val="Heading1"/>
      </w:pPr>
      <w:r>
        <w:t>3. CUSTOMER EXPERIENCE &amp; CORE UI</w:t>
      </w:r>
    </w:p>
    <w:p w14:paraId="60445266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Customer dashboard — </w:t>
      </w:r>
      <w:r>
        <w:t xml:space="preserve">Dashboard with wallet, order totals, active/completed information and recent orders. </w:t>
      </w:r>
      <w:r>
        <w:rPr>
          <w:b/>
          <w:color w:val="16834B"/>
          <w:sz w:val="16"/>
        </w:rPr>
        <w:t>COMPLETED</w:t>
      </w:r>
    </w:p>
    <w:p w14:paraId="381A088B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Service catalogue UI — </w:t>
      </w:r>
      <w:r>
        <w:t xml:space="preserve">Services page with platform cards, search and sorting. </w:t>
      </w:r>
      <w:r>
        <w:rPr>
          <w:b/>
          <w:color w:val="16834B"/>
          <w:sz w:val="16"/>
        </w:rPr>
        <w:t>COMPLETED</w:t>
      </w:r>
    </w:p>
    <w:p w14:paraId="59C68F24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lastRenderedPageBreak/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Platform/service hierarchy — </w:t>
      </w:r>
      <w:r>
        <w:t xml:space="preserve">Platform </w:t>
      </w:r>
      <w:r>
        <w:rPr>
          <w:rFonts w:ascii="Arial" w:hAnsi="Arial" w:cs="Arial"/>
        </w:rPr>
        <w:t>→</w:t>
      </w:r>
      <w:r>
        <w:t xml:space="preserve"> service type </w:t>
      </w:r>
      <w:r>
        <w:rPr>
          <w:rFonts w:ascii="Arial" w:hAnsi="Arial" w:cs="Arial"/>
        </w:rPr>
        <w:t>→</w:t>
      </w:r>
      <w:r>
        <w:t xml:space="preserve"> individual BTECH service model. </w:t>
      </w:r>
      <w:r>
        <w:rPr>
          <w:b/>
          <w:color w:val="16834B"/>
          <w:sz w:val="16"/>
        </w:rPr>
        <w:t>COMPLETED</w:t>
      </w:r>
    </w:p>
    <w:p w14:paraId="316E3F55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Service search/filter direction — </w:t>
      </w:r>
      <w:r>
        <w:t xml:space="preserve">Search covers platform, service type, service name and description. </w:t>
      </w:r>
      <w:r>
        <w:rPr>
          <w:b/>
          <w:color w:val="16834B"/>
          <w:sz w:val="16"/>
        </w:rPr>
        <w:t>COMPLETED</w:t>
      </w:r>
    </w:p>
    <w:p w14:paraId="6D805EE4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Orders area — </w:t>
      </w:r>
      <w:r>
        <w:t xml:space="preserve">Customer order viewing and order-related UI implemented. </w:t>
      </w:r>
      <w:r>
        <w:rPr>
          <w:b/>
          <w:color w:val="16834B"/>
          <w:sz w:val="16"/>
        </w:rPr>
        <w:t>COMPLETED</w:t>
      </w:r>
    </w:p>
    <w:p w14:paraId="70C547D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Profile/account areas — </w:t>
      </w:r>
      <w:r>
        <w:t xml:space="preserve">Customer-facing account/profile experience included. </w:t>
      </w:r>
      <w:r>
        <w:rPr>
          <w:b/>
          <w:color w:val="16834B"/>
          <w:sz w:val="16"/>
        </w:rPr>
        <w:t>COMPLETED</w:t>
      </w:r>
    </w:p>
    <w:p w14:paraId="5B60E17C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Bottom navigation concept — </w:t>
      </w:r>
      <w:r>
        <w:t xml:space="preserve">Home / Orders / central action / Wallet / Profile navigation established. </w:t>
      </w:r>
      <w:r>
        <w:rPr>
          <w:b/>
          <w:color w:val="16834B"/>
          <w:sz w:val="16"/>
        </w:rPr>
        <w:t>COMPLETED</w:t>
      </w:r>
    </w:p>
    <w:p w14:paraId="2EB733AE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WhatsApp contact action — </w:t>
      </w:r>
      <w:r>
        <w:t xml:space="preserve">Floating WhatsApp contact control included. </w:t>
      </w:r>
      <w:r>
        <w:rPr>
          <w:b/>
          <w:color w:val="16834B"/>
          <w:sz w:val="16"/>
        </w:rPr>
        <w:t>COMPLETED</w:t>
      </w:r>
    </w:p>
    <w:p w14:paraId="454667B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Form and interaction UX pass — </w:t>
      </w:r>
      <w:r>
        <w:t xml:space="preserve">Inputs, placeholders, buttons, loading/focus/success states, touch feedback and transitions addressed. </w:t>
      </w:r>
      <w:r>
        <w:rPr>
          <w:b/>
          <w:color w:val="16834B"/>
          <w:sz w:val="16"/>
        </w:rPr>
        <w:t>COMPLETED</w:t>
      </w:r>
    </w:p>
    <w:p w14:paraId="39049DBC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Mobile responsive refinement — </w:t>
      </w:r>
      <w:r>
        <w:t xml:space="preserve">Earlier mobile redesign had overlap/spacing issues and was deliberately paused. </w:t>
      </w:r>
      <w:r>
        <w:rPr>
          <w:b/>
          <w:color w:val="B7791F"/>
          <w:sz w:val="16"/>
        </w:rPr>
        <w:t>IN PROGRESS</w:t>
      </w:r>
    </w:p>
    <w:p w14:paraId="0124042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Desktop UI — </w:t>
      </w:r>
      <w:r>
        <w:t xml:space="preserve">Desktop experience is to be preserved while future changes are made. </w:t>
      </w:r>
      <w:r>
        <w:rPr>
          <w:b/>
          <w:color w:val="16834B"/>
          <w:sz w:val="16"/>
        </w:rPr>
        <w:t>COMPLETED</w:t>
      </w:r>
    </w:p>
    <w:p w14:paraId="5DBEF665" w14:textId="77777777" w:rsidR="00EE36FF" w:rsidRDefault="00000000">
      <w:pPr>
        <w:pStyle w:val="Heading1"/>
      </w:pPr>
      <w:r>
        <w:t>4. BTECH SERVICE CATALOGUE &amp; ADMIN CONTROL</w:t>
      </w:r>
    </w:p>
    <w:p w14:paraId="01FF786F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Provider catalogue separated from BTECH catalogue — </w:t>
      </w:r>
      <w:r>
        <w:t xml:space="preserve">Provider catalogue is not the customer-facing BTECH catalogue. </w:t>
      </w:r>
      <w:r>
        <w:rPr>
          <w:b/>
          <w:color w:val="16834B"/>
          <w:sz w:val="16"/>
        </w:rPr>
        <w:t>COMPLETED</w:t>
      </w:r>
    </w:p>
    <w:p w14:paraId="40BBDCF1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Provider catalogue imported — </w:t>
      </w:r>
      <w:r>
        <w:t xml:space="preserve">Delix catalogue synchronization imports the current known provider catalogue of 695 services. </w:t>
      </w:r>
      <w:r>
        <w:rPr>
          <w:b/>
          <w:color w:val="16834B"/>
          <w:sz w:val="16"/>
        </w:rPr>
        <w:t>COMPLETED</w:t>
      </w:r>
    </w:p>
    <w:p w14:paraId="0217E04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Selected-service mapping model — </w:t>
      </w:r>
      <w:r>
        <w:t xml:space="preserve">BTECH maps selected services to provider service IDs rather than exposing all provider services. </w:t>
      </w:r>
      <w:r>
        <w:rPr>
          <w:b/>
          <w:color w:val="16834B"/>
          <w:sz w:val="16"/>
        </w:rPr>
        <w:t>COMPLETED</w:t>
      </w:r>
    </w:p>
    <w:p w14:paraId="6902A16F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BTECH pricing authority — </w:t>
      </w:r>
      <w:r>
        <w:t xml:space="preserve">BTECH Admin controls customer-facing price separately from provider cost/rate. </w:t>
      </w:r>
      <w:r>
        <w:rPr>
          <w:b/>
          <w:color w:val="16834B"/>
          <w:sz w:val="16"/>
        </w:rPr>
        <w:t>COMPLETED</w:t>
      </w:r>
    </w:p>
    <w:p w14:paraId="24F80348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Provider cost vs BTECH price — </w:t>
      </w:r>
      <w:r>
        <w:t xml:space="preserve">Margin model separates customer price from provider cost. </w:t>
      </w:r>
      <w:r>
        <w:rPr>
          <w:b/>
          <w:color w:val="16834B"/>
          <w:sz w:val="16"/>
        </w:rPr>
        <w:t>COMPLETED</w:t>
      </w:r>
    </w:p>
    <w:p w14:paraId="59A2B779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Admin service management — </w:t>
      </w:r>
      <w:r>
        <w:t xml:space="preserve">Admin can add/edit/manage services and control activation/visibility. </w:t>
      </w:r>
      <w:r>
        <w:rPr>
          <w:b/>
          <w:color w:val="16834B"/>
          <w:sz w:val="16"/>
        </w:rPr>
        <w:t>COMPLETED</w:t>
      </w:r>
    </w:p>
    <w:p w14:paraId="52658063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BTECH service metadata — </w:t>
      </w:r>
      <w:r>
        <w:t xml:space="preserve">Name, description, category, order, min/max and refill/cancel information are BTECH-controlled. </w:t>
      </w:r>
      <w:r>
        <w:rPr>
          <w:b/>
          <w:color w:val="16834B"/>
          <w:sz w:val="16"/>
        </w:rPr>
        <w:t>COMPLETED</w:t>
      </w:r>
    </w:p>
    <w:p w14:paraId="1AFB313B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Provider sync protection — </w:t>
      </w:r>
      <w:r>
        <w:t xml:space="preserve">Provider sync must not overwrite BTECH business-controlled fields. </w:t>
      </w:r>
      <w:r>
        <w:rPr>
          <w:b/>
          <w:color w:val="16834B"/>
          <w:sz w:val="16"/>
        </w:rPr>
        <w:t>COMPLETED</w:t>
      </w:r>
    </w:p>
    <w:p w14:paraId="319C610D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Historical order pricing — </w:t>
      </w:r>
      <w:r>
        <w:t xml:space="preserve">Existing orders preserve historical amount when service prices change. </w:t>
      </w:r>
      <w:r>
        <w:rPr>
          <w:b/>
          <w:color w:val="16834B"/>
          <w:sz w:val="16"/>
        </w:rPr>
        <w:t>COMPLETED</w:t>
      </w:r>
    </w:p>
    <w:p w14:paraId="5744078A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Empty service bug fixed — </w:t>
      </w:r>
      <w:r>
        <w:t xml:space="preserve">Homepage popular-growth-services empty-state bug was fixed. </w:t>
      </w:r>
      <w:r>
        <w:rPr>
          <w:b/>
          <w:color w:val="16834B"/>
          <w:sz w:val="16"/>
        </w:rPr>
        <w:t>COMPLETED</w:t>
      </w:r>
    </w:p>
    <w:p w14:paraId="67E20E79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Catalogue presentation — </w:t>
      </w:r>
      <w:r>
        <w:t xml:space="preserve">Customer catalogue displays selected BTECH services by platform. </w:t>
      </w:r>
      <w:r>
        <w:rPr>
          <w:b/>
          <w:color w:val="16834B"/>
          <w:sz w:val="16"/>
        </w:rPr>
        <w:t>COMPLETED</w:t>
      </w:r>
    </w:p>
    <w:p w14:paraId="665233E3" w14:textId="77777777" w:rsidR="00EE36FF" w:rsidRDefault="00000000">
      <w:pPr>
        <w:pStyle w:val="Heading1"/>
      </w:pPr>
      <w:r>
        <w:t>5. DELIX PROVIDER INTEGRATION</w:t>
      </w:r>
    </w:p>
    <w:p w14:paraId="7A9D75EF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Delix provider integrated — </w:t>
      </w:r>
      <w:r>
        <w:t xml:space="preserve">Delix Gains is the current external provider. </w:t>
      </w:r>
      <w:r>
        <w:rPr>
          <w:b/>
          <w:color w:val="16834B"/>
          <w:sz w:val="16"/>
        </w:rPr>
        <w:t>COMPLETED</w:t>
      </w:r>
    </w:p>
    <w:p w14:paraId="05C2564D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lastRenderedPageBreak/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Secure provider Edge Function — </w:t>
      </w:r>
      <w:r>
        <w:t xml:space="preserve">Delix API key remains server-side. </w:t>
      </w:r>
      <w:r>
        <w:rPr>
          <w:b/>
          <w:color w:val="16834B"/>
          <w:sz w:val="16"/>
        </w:rPr>
        <w:t>COMPLETED</w:t>
      </w:r>
    </w:p>
    <w:p w14:paraId="0B7580D9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Provider actions — </w:t>
      </w:r>
      <w:r>
        <w:t xml:space="preserve">Services, create order, status, multiple status, refill, cancel and balance actions supported. </w:t>
      </w:r>
      <w:r>
        <w:rPr>
          <w:b/>
          <w:color w:val="16834B"/>
          <w:sz w:val="16"/>
        </w:rPr>
        <w:t>COMPLETED</w:t>
      </w:r>
    </w:p>
    <w:p w14:paraId="35DCB323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Catalogue sync — </w:t>
      </w:r>
      <w:r>
        <w:t xml:space="preserve">Provider catalogue sync and availability handling implemented. </w:t>
      </w:r>
      <w:r>
        <w:rPr>
          <w:b/>
          <w:color w:val="16834B"/>
          <w:sz w:val="16"/>
        </w:rPr>
        <w:t>COMPLETED</w:t>
      </w:r>
    </w:p>
    <w:p w14:paraId="6ED1294B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Service map/unmap — </w:t>
      </w:r>
      <w:r>
        <w:t xml:space="preserve">Admin/provider mapping operations implemented. </w:t>
      </w:r>
      <w:r>
        <w:rPr>
          <w:b/>
          <w:color w:val="16834B"/>
          <w:sz w:val="16"/>
        </w:rPr>
        <w:t>COMPLETED</w:t>
      </w:r>
    </w:p>
    <w:p w14:paraId="692A0B71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Paid-order gate — </w:t>
      </w:r>
      <w:r>
        <w:t xml:space="preserve">Provider order creation requires payment_status = paid. </w:t>
      </w:r>
      <w:r>
        <w:rPr>
          <w:b/>
          <w:color w:val="16834B"/>
          <w:sz w:val="16"/>
        </w:rPr>
        <w:t>COMPLETED</w:t>
      </w:r>
    </w:p>
    <w:p w14:paraId="0D05EF28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Duplicate provider-order protection — </w:t>
      </w:r>
      <w:r>
        <w:t xml:space="preserve">Existing provider_order_id is checked before submission. </w:t>
      </w:r>
      <w:r>
        <w:rPr>
          <w:b/>
          <w:color w:val="16834B"/>
          <w:sz w:val="16"/>
        </w:rPr>
        <w:t>COMPLETED</w:t>
      </w:r>
    </w:p>
    <w:p w14:paraId="37B483BC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Internal service-role invocation — </w:t>
      </w:r>
      <w:r>
        <w:t xml:space="preserve">M-Pesa backend can securely invoke Delix internally. </w:t>
      </w:r>
      <w:r>
        <w:rPr>
          <w:b/>
          <w:color w:val="16834B"/>
          <w:sz w:val="16"/>
        </w:rPr>
        <w:t>COMPLETED</w:t>
      </w:r>
    </w:p>
    <w:p w14:paraId="232E9199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Provider failure separation — </w:t>
      </w:r>
      <w:r>
        <w:t xml:space="preserve">Successful customer payment is not treated as failed merely because provider submission temporarily fails. </w:t>
      </w:r>
      <w:r>
        <w:rPr>
          <w:b/>
          <w:color w:val="16834B"/>
          <w:sz w:val="16"/>
        </w:rPr>
        <w:t>COMPLETED</w:t>
      </w:r>
    </w:p>
    <w:p w14:paraId="4C946D4D" w14:textId="77777777" w:rsidR="00EE36FF" w:rsidRDefault="00000000">
      <w:pPr>
        <w:pStyle w:val="Heading1"/>
      </w:pPr>
      <w:r>
        <w:t>6. DATABASE &amp; FINANCIAL MODEL</w:t>
      </w:r>
    </w:p>
    <w:p w14:paraId="7532113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Core tables — </w:t>
      </w:r>
      <w:r>
        <w:t xml:space="preserve">Profiles, services, orders, wallets, transactions and related records are part of the architecture. </w:t>
      </w:r>
      <w:r>
        <w:rPr>
          <w:b/>
          <w:color w:val="16834B"/>
          <w:sz w:val="16"/>
        </w:rPr>
        <w:t>COMPLETED</w:t>
      </w:r>
    </w:p>
    <w:p w14:paraId="1CCA660F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Wallet ledger — </w:t>
      </w:r>
      <w:r>
        <w:t xml:space="preserve">Wallet balance plus transaction history is used. </w:t>
      </w:r>
      <w:r>
        <w:rPr>
          <w:b/>
          <w:color w:val="16834B"/>
          <w:sz w:val="16"/>
        </w:rPr>
        <w:t>COMPLETED</w:t>
      </w:r>
    </w:p>
    <w:p w14:paraId="1BBA1E99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Payments table — </w:t>
      </w:r>
      <w:r>
        <w:t xml:space="preserve">Dedicated payments model tracks real M-Pesa payment lifecycle. </w:t>
      </w:r>
      <w:r>
        <w:rPr>
          <w:b/>
          <w:color w:val="16834B"/>
          <w:sz w:val="16"/>
        </w:rPr>
        <w:t>COMPLETED</w:t>
      </w:r>
    </w:p>
    <w:p w14:paraId="4E34A28E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Payment statuses — </w:t>
      </w:r>
      <w:r>
        <w:t xml:space="preserve">pending, processing, paid, failed, cancelled and expired. </w:t>
      </w:r>
      <w:r>
        <w:rPr>
          <w:b/>
          <w:color w:val="16834B"/>
          <w:sz w:val="16"/>
        </w:rPr>
        <w:t>COMPLETED</w:t>
      </w:r>
    </w:p>
    <w:p w14:paraId="544D0CA8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Payment/order separation — </w:t>
      </w:r>
      <w:r>
        <w:t xml:space="preserve">Payment status and order status are separate concepts. </w:t>
      </w:r>
      <w:r>
        <w:rPr>
          <w:b/>
          <w:color w:val="16834B"/>
          <w:sz w:val="16"/>
        </w:rPr>
        <w:t>COMPLETED</w:t>
      </w:r>
    </w:p>
    <w:p w14:paraId="2AEB7887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Wallet deposit RPC — </w:t>
      </w:r>
      <w:r>
        <w:t xml:space="preserve">Confirmed wallet deposits credit the wallet through backend/database logic. </w:t>
      </w:r>
      <w:r>
        <w:rPr>
          <w:b/>
          <w:color w:val="16834B"/>
          <w:sz w:val="16"/>
        </w:rPr>
        <w:t>COMPLETED</w:t>
      </w:r>
    </w:p>
    <w:p w14:paraId="267B914F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Order-paid RPC — </w:t>
      </w:r>
      <w:r>
        <w:t xml:space="preserve">Confirmed order payments mark orders paid through backend/database logic. </w:t>
      </w:r>
      <w:r>
        <w:rPr>
          <w:b/>
          <w:color w:val="16834B"/>
          <w:sz w:val="16"/>
        </w:rPr>
        <w:t>COMPLETED</w:t>
      </w:r>
    </w:p>
    <w:p w14:paraId="6D825B5D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Payment/transaction linkage — </w:t>
      </w:r>
      <w:r>
        <w:t xml:space="preserve">Wallet transactions can link to payment records for idempotency/auditability. </w:t>
      </w:r>
      <w:r>
        <w:rPr>
          <w:b/>
          <w:color w:val="16834B"/>
          <w:sz w:val="16"/>
        </w:rPr>
        <w:t>COMPLETED</w:t>
      </w:r>
    </w:p>
    <w:p w14:paraId="3CF7EC8E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Duplicate wallet-credit protection — </w:t>
      </w:r>
      <w:r>
        <w:t xml:space="preserve">Payment-linked transaction uniqueness protects against repeated crediting. </w:t>
      </w:r>
      <w:r>
        <w:rPr>
          <w:b/>
          <w:color w:val="16834B"/>
          <w:sz w:val="16"/>
        </w:rPr>
        <w:t>COMPLETED</w:t>
      </w:r>
    </w:p>
    <w:p w14:paraId="0E3AE179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Financial writes server-side — </w:t>
      </w:r>
      <w:r>
        <w:t xml:space="preserve">Clients do not receive unrestricted financial insert/update authority. </w:t>
      </w:r>
      <w:r>
        <w:rPr>
          <w:b/>
          <w:color w:val="16834B"/>
          <w:sz w:val="16"/>
        </w:rPr>
        <w:t>COMPLETED</w:t>
      </w:r>
    </w:p>
    <w:p w14:paraId="03E8A94A" w14:textId="77777777" w:rsidR="00EE36FF" w:rsidRDefault="00000000">
      <w:pPr>
        <w:pStyle w:val="Heading1"/>
      </w:pPr>
      <w:r>
        <w:t>7. M-PESA / DARAJA INTEGRATION</w:t>
      </w:r>
    </w:p>
    <w:p w14:paraId="0FB3368E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Daraja sandbox application — </w:t>
      </w:r>
      <w:r>
        <w:t xml:space="preserve">BTECH SMM Payments sandbox with M-PESA Express Sandbox. </w:t>
      </w:r>
      <w:r>
        <w:rPr>
          <w:b/>
          <w:color w:val="16834B"/>
          <w:sz w:val="16"/>
        </w:rPr>
        <w:t>COMPLETED</w:t>
      </w:r>
    </w:p>
    <w:p w14:paraId="6940A1AD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Daraja secrets — </w:t>
      </w:r>
      <w:r>
        <w:t xml:space="preserve">Consumer credentials, passkey and payment configuration are backend secrets. </w:t>
      </w:r>
      <w:r>
        <w:rPr>
          <w:b/>
          <w:color w:val="16834B"/>
          <w:sz w:val="16"/>
        </w:rPr>
        <w:t>COMPLETED</w:t>
      </w:r>
    </w:p>
    <w:p w14:paraId="6F875D9C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STK Push — </w:t>
      </w:r>
      <w:r>
        <w:t xml:space="preserve">M-Pesa Express STK Push integrated through mpesa-daraja Edge Function. </w:t>
      </w:r>
      <w:r>
        <w:rPr>
          <w:b/>
          <w:color w:val="16834B"/>
          <w:sz w:val="16"/>
        </w:rPr>
        <w:t>COMPLETED</w:t>
      </w:r>
    </w:p>
    <w:p w14:paraId="371F1BDD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Phone normalization — </w:t>
      </w:r>
      <w:r>
        <w:t xml:space="preserve">Kenyan phone formats are normalized. </w:t>
      </w:r>
      <w:r>
        <w:rPr>
          <w:b/>
          <w:color w:val="16834B"/>
          <w:sz w:val="16"/>
        </w:rPr>
        <w:t>COMPLETED</w:t>
      </w:r>
    </w:p>
    <w:p w14:paraId="3F7CC03B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lastRenderedPageBreak/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Payment initiation — </w:t>
      </w:r>
      <w:r>
        <w:t xml:space="preserve">Authenticated customers can initiate order payments or wallet deposits. </w:t>
      </w:r>
      <w:r>
        <w:rPr>
          <w:b/>
          <w:color w:val="16834B"/>
          <w:sz w:val="16"/>
        </w:rPr>
        <w:t>COMPLETED</w:t>
      </w:r>
    </w:p>
    <w:p w14:paraId="2FE77432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Payment record lifecycle — </w:t>
      </w:r>
      <w:r>
        <w:t xml:space="preserve">Payment records track STK lifecycle. </w:t>
      </w:r>
      <w:r>
        <w:rPr>
          <w:b/>
          <w:color w:val="16834B"/>
          <w:sz w:val="16"/>
        </w:rPr>
        <w:t>COMPLETED</w:t>
      </w:r>
    </w:p>
    <w:p w14:paraId="5D61770E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Safaricom callback — </w:t>
      </w:r>
      <w:r>
        <w:t xml:space="preserve">Safaricom STK callbacks are processed. </w:t>
      </w:r>
      <w:r>
        <w:rPr>
          <w:b/>
          <w:color w:val="16834B"/>
          <w:sz w:val="16"/>
        </w:rPr>
        <w:t>COMPLETED</w:t>
      </w:r>
    </w:p>
    <w:p w14:paraId="7F214C91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Confirmed-payment rule — </w:t>
      </w:r>
      <w:r>
        <w:t xml:space="preserve">Only confirmed callback result code 0 moves payment to paid. </w:t>
      </w:r>
      <w:r>
        <w:rPr>
          <w:b/>
          <w:color w:val="16834B"/>
          <w:sz w:val="16"/>
        </w:rPr>
        <w:t>COMPLETED</w:t>
      </w:r>
    </w:p>
    <w:p w14:paraId="3B8359E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Wallet callback credit — </w:t>
      </w:r>
      <w:r>
        <w:t xml:space="preserve">Confirmed wallet deposits credit the wallet. </w:t>
      </w:r>
      <w:r>
        <w:rPr>
          <w:b/>
          <w:color w:val="16834B"/>
          <w:sz w:val="16"/>
        </w:rPr>
        <w:t>COMPLETED</w:t>
      </w:r>
    </w:p>
    <w:p w14:paraId="391BC25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Order callback payment — </w:t>
      </w:r>
      <w:r>
        <w:t xml:space="preserve">Confirmed order payments mark orders paid and can trigger provider fulfillment. </w:t>
      </w:r>
      <w:r>
        <w:rPr>
          <w:b/>
          <w:color w:val="16834B"/>
          <w:sz w:val="16"/>
        </w:rPr>
        <w:t>COMPLETED</w:t>
      </w:r>
    </w:p>
    <w:p w14:paraId="78FA4C07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Payment polling — </w:t>
      </w:r>
      <w:r>
        <w:t xml:space="preserve">Customer-facing status checking/polling is part of the architecture. </w:t>
      </w:r>
      <w:r>
        <w:rPr>
          <w:b/>
          <w:color w:val="16834B"/>
          <w:sz w:val="16"/>
        </w:rPr>
        <w:t>COMPLETED</w:t>
      </w:r>
    </w:p>
    <w:p w14:paraId="3543A7FF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Sandbox test — </w:t>
      </w:r>
      <w:r>
        <w:t xml:space="preserve">STK Push successfully tested in Daraja sandbox. </w:t>
      </w:r>
      <w:r>
        <w:rPr>
          <w:b/>
          <w:color w:val="16834B"/>
          <w:sz w:val="16"/>
        </w:rPr>
        <w:t>COMPLETED</w:t>
      </w:r>
    </w:p>
    <w:p w14:paraId="7F90BA6C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Wallet deposit issue fixed — </w:t>
      </w:r>
      <w:r>
        <w:t xml:space="preserve">Earlier wallet-credit issue was fixed; deposited amount now records correctly. </w:t>
      </w:r>
      <w:r>
        <w:rPr>
          <w:b/>
          <w:color w:val="16834B"/>
          <w:sz w:val="16"/>
        </w:rPr>
        <w:t>COMPLETED</w:t>
      </w:r>
    </w:p>
    <w:p w14:paraId="6E4CCACD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Callback configuration — </w:t>
      </w:r>
      <w:r>
        <w:t xml:space="preserve">Safaricom callback is handled separately from authenticated customer actions. </w:t>
      </w:r>
      <w:r>
        <w:rPr>
          <w:b/>
          <w:color w:val="16834B"/>
          <w:sz w:val="16"/>
        </w:rPr>
        <w:t>COMPLETED</w:t>
      </w:r>
    </w:p>
    <w:p w14:paraId="130D0732" w14:textId="77777777" w:rsidR="00EE36FF" w:rsidRPr="00683247" w:rsidRDefault="00000000">
      <w:pPr>
        <w:pStyle w:val="Heading1"/>
        <w:rPr>
          <w:b/>
          <w:bCs/>
        </w:rPr>
      </w:pPr>
      <w:r>
        <w:t>8</w:t>
      </w:r>
      <w:r w:rsidRPr="00683247">
        <w:rPr>
          <w:b/>
          <w:bCs/>
        </w:rPr>
        <w:t>. CURRENT WALLET-FIRST ORDERING — NEXT IMPLEMENTATION</w:t>
      </w:r>
    </w:p>
    <w:p w14:paraId="75D9D237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Show wallet balance during order placement — </w:t>
      </w:r>
      <w:r>
        <w:t xml:space="preserve">Always show current wallet balance with/before/after order total. </w:t>
      </w:r>
      <w:r>
        <w:rPr>
          <w:b/>
          <w:color w:val="1677E8"/>
          <w:sz w:val="16"/>
        </w:rPr>
        <w:t>NEXT</w:t>
      </w:r>
    </w:p>
    <w:p w14:paraId="40628C01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Wallet-sufficient checkout — </w:t>
      </w:r>
      <w:r>
        <w:t xml:space="preserve">If wallet covers the order, pay directly from wallet without an M-Pesa prompt. </w:t>
      </w:r>
      <w:r>
        <w:rPr>
          <w:b/>
          <w:color w:val="1677E8"/>
          <w:sz w:val="16"/>
        </w:rPr>
        <w:t>NEXT</w:t>
      </w:r>
    </w:p>
    <w:p w14:paraId="1FA1DE4D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Insufficient-balance calculation — </w:t>
      </w:r>
      <w:r>
        <w:t xml:space="preserve">Display exact amount still needed. </w:t>
      </w:r>
      <w:r>
        <w:rPr>
          <w:b/>
          <w:color w:val="1677E8"/>
          <w:sz w:val="16"/>
        </w:rPr>
        <w:t>NEXT</w:t>
      </w:r>
    </w:p>
    <w:p w14:paraId="1FDA04F2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Top-up shortage — </w:t>
      </w:r>
      <w:r>
        <w:t xml:space="preserve">Use existing M-Pesa STK flow to top up only the shortage. </w:t>
      </w:r>
      <w:r>
        <w:rPr>
          <w:b/>
          <w:color w:val="1677E8"/>
          <w:sz w:val="16"/>
        </w:rPr>
        <w:t>NEXT</w:t>
      </w:r>
    </w:p>
    <w:p w14:paraId="09FC6AA5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Refresh wallet after confirmed top-up — </w:t>
      </w:r>
      <w:r>
        <w:t xml:space="preserve">Refresh only after backend-confirmed payment. </w:t>
      </w:r>
      <w:r>
        <w:rPr>
          <w:b/>
          <w:color w:val="1677E8"/>
          <w:sz w:val="16"/>
        </w:rPr>
        <w:t>NEXT</w:t>
      </w:r>
    </w:p>
    <w:p w14:paraId="3393EE4B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Atomic wallet order debit — </w:t>
      </w:r>
      <w:r>
        <w:t xml:space="preserve">Actual deduction must be server-side/atomic. </w:t>
      </w:r>
      <w:r>
        <w:rPr>
          <w:b/>
          <w:color w:val="C53030"/>
          <w:sz w:val="16"/>
        </w:rPr>
        <w:t>HARDENING</w:t>
      </w:r>
    </w:p>
    <w:p w14:paraId="4D298F7B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Prevent double-spend — </w:t>
      </w:r>
      <w:r>
        <w:t xml:space="preserve">Protect against double-clicks, stale balances and multi-tab spending. </w:t>
      </w:r>
      <w:r>
        <w:rPr>
          <w:b/>
          <w:color w:val="C53030"/>
          <w:sz w:val="16"/>
        </w:rPr>
        <w:t>HARDENING</w:t>
      </w:r>
    </w:p>
    <w:p w14:paraId="4E725286" w14:textId="77777777" w:rsidR="00EE36FF" w:rsidRDefault="00000000">
      <w:pPr>
        <w:pStyle w:val="Heading1"/>
      </w:pPr>
      <w:r>
        <w:t>9. M-PESA PAYMENT CARD UX — NEXT IMPLEMENTATION</w:t>
      </w:r>
    </w:p>
    <w:p w14:paraId="12D4CDA7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Reuse existing Deposit Now card — </w:t>
      </w:r>
      <w:r>
        <w:t xml:space="preserve">Use the existing M-Pesa card for payment status rather than creating a second payment card. </w:t>
      </w:r>
      <w:r>
        <w:rPr>
          <w:b/>
          <w:color w:val="1677E8"/>
          <w:sz w:val="16"/>
        </w:rPr>
        <w:t>NEXT</w:t>
      </w:r>
    </w:p>
    <w:p w14:paraId="08E23386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STK initiated state — </w:t>
      </w:r>
      <w:r>
        <w:t xml:space="preserve">Show that a prompt was sent and tell the customer to enter the PIN. </w:t>
      </w:r>
      <w:r>
        <w:rPr>
          <w:b/>
          <w:color w:val="1677E8"/>
          <w:sz w:val="16"/>
        </w:rPr>
        <w:t>NEXT</w:t>
      </w:r>
    </w:p>
    <w:p w14:paraId="68DF4377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Waiting state — </w:t>
      </w:r>
      <w:r>
        <w:t xml:space="preserve">Show waiting for backend confirmation. </w:t>
      </w:r>
      <w:r>
        <w:rPr>
          <w:b/>
          <w:color w:val="1677E8"/>
          <w:sz w:val="16"/>
        </w:rPr>
        <w:t>NEXT</w:t>
      </w:r>
    </w:p>
    <w:p w14:paraId="582C176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Backend-confirmed success — </w:t>
      </w:r>
      <w:r>
        <w:t xml:space="preserve">Show Payment Received Successfully only after payment is confirmed paid. </w:t>
      </w:r>
      <w:r>
        <w:rPr>
          <w:b/>
          <w:color w:val="1677E8"/>
          <w:sz w:val="16"/>
        </w:rPr>
        <w:t>NEXT</w:t>
      </w:r>
    </w:p>
    <w:p w14:paraId="2E89B457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Receipt and amount — </w:t>
      </w:r>
      <w:r>
        <w:t xml:space="preserve">Show amount and M-Pesa receipt/reference when available. </w:t>
      </w:r>
      <w:r>
        <w:rPr>
          <w:b/>
          <w:color w:val="1677E8"/>
          <w:sz w:val="16"/>
        </w:rPr>
        <w:t>NEXT</w:t>
      </w:r>
    </w:p>
    <w:p w14:paraId="73D827BF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Failed/cancelled/expired states — </w:t>
      </w:r>
      <w:r>
        <w:t xml:space="preserve">Use clear retry/cancel/timeout messages without false success. </w:t>
      </w:r>
      <w:r>
        <w:rPr>
          <w:b/>
          <w:color w:val="1677E8"/>
          <w:sz w:val="16"/>
        </w:rPr>
        <w:t>NEXT</w:t>
      </w:r>
    </w:p>
    <w:p w14:paraId="4679C8CA" w14:textId="77777777" w:rsidR="00EE36FF" w:rsidRDefault="00000000">
      <w:pPr>
        <w:pStyle w:val="Heading1"/>
      </w:pPr>
      <w:r>
        <w:lastRenderedPageBreak/>
        <w:t>10. SECURITY, IDEMPOTENCY &amp; PRODUCTION HARDENING</w:t>
      </w:r>
    </w:p>
    <w:p w14:paraId="4918D7B5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Provider credentials protected — </w:t>
      </w:r>
      <w:r>
        <w:t xml:space="preserve">Delix secret remains server-side. </w:t>
      </w:r>
      <w:r>
        <w:rPr>
          <w:b/>
          <w:color w:val="16834B"/>
          <w:sz w:val="16"/>
        </w:rPr>
        <w:t>COMPLETED</w:t>
      </w:r>
    </w:p>
    <w:p w14:paraId="59180AED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Daraja secrets protected — </w:t>
      </w:r>
      <w:r>
        <w:t xml:space="preserve">Daraja credentials remain backend secrets. </w:t>
      </w:r>
      <w:r>
        <w:rPr>
          <w:b/>
          <w:color w:val="16834B"/>
          <w:sz w:val="16"/>
        </w:rPr>
        <w:t>COMPLETED</w:t>
      </w:r>
    </w:p>
    <w:p w14:paraId="0A680D94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Server-authoritative pricing — </w:t>
      </w:r>
      <w:r>
        <w:t xml:space="preserve">Backend remains authoritative for amount/service/provider mapping. </w:t>
      </w:r>
      <w:r>
        <w:rPr>
          <w:b/>
          <w:color w:val="16834B"/>
          <w:sz w:val="16"/>
        </w:rPr>
        <w:t>COMPLETED</w:t>
      </w:r>
    </w:p>
    <w:p w14:paraId="54DD9452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834B"/>
        </w:rPr>
        <w:t>☑</w:t>
      </w:r>
      <w:r>
        <w:rPr>
          <w:b/>
          <w:color w:val="16834B"/>
        </w:rPr>
        <w:t xml:space="preserve"> </w:t>
      </w:r>
      <w:r>
        <w:rPr>
          <w:b/>
        </w:rPr>
        <w:t xml:space="preserve">Server-authoritative payment state — </w:t>
      </w:r>
      <w:r>
        <w:t xml:space="preserve">Frontend cannot declare payment success. </w:t>
      </w:r>
      <w:r>
        <w:rPr>
          <w:b/>
          <w:color w:val="16834B"/>
          <w:sz w:val="16"/>
        </w:rPr>
        <w:t>COMPLETED</w:t>
      </w:r>
    </w:p>
    <w:p w14:paraId="538FF869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Duplicate callback hardening — </w:t>
      </w:r>
      <w:r>
        <w:t xml:space="preserve">Financial idempotency exists, but callback concurrency should be hardened further before production. </w:t>
      </w:r>
      <w:r>
        <w:rPr>
          <w:b/>
          <w:color w:val="C53030"/>
          <w:sz w:val="16"/>
        </w:rPr>
        <w:t>HARDENING</w:t>
      </w:r>
    </w:p>
    <w:p w14:paraId="5539C031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Duplicate provider submission race — </w:t>
      </w:r>
      <w:r>
        <w:t xml:space="preserve">Concurrent provider submission should be made robust. </w:t>
      </w:r>
      <w:r>
        <w:rPr>
          <w:b/>
          <w:color w:val="C53030"/>
          <w:sz w:val="16"/>
        </w:rPr>
        <w:t>HARDENING</w:t>
      </w:r>
    </w:p>
    <w:p w14:paraId="238EEECB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Duplicate notification protection — </w:t>
      </w:r>
      <w:r>
        <w:t xml:space="preserve">Repeated payment handling should not create duplicate customer notifications. </w:t>
      </w:r>
      <w:r>
        <w:rPr>
          <w:b/>
          <w:color w:val="C53030"/>
          <w:sz w:val="16"/>
        </w:rPr>
        <w:t>HARDENING</w:t>
      </w:r>
    </w:p>
    <w:p w14:paraId="3D6BB72A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Production Daraja verification — </w:t>
      </w:r>
      <w:r>
        <w:t xml:space="preserve">Live credentials, callback requirements and end-to-end production lifecycle still need final verification. </w:t>
      </w:r>
      <w:r>
        <w:rPr>
          <w:b/>
          <w:color w:val="64748B"/>
          <w:sz w:val="16"/>
        </w:rPr>
        <w:t>PLANNED</w:t>
      </w:r>
    </w:p>
    <w:p w14:paraId="685EA2CB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Admin security center — </w:t>
      </w:r>
      <w:r>
        <w:t xml:space="preserve">Roles, MFA/2FA, sensitive-action confirmation, audit logs, session controls and monitoring remain future work. </w:t>
      </w:r>
      <w:r>
        <w:rPr>
          <w:b/>
          <w:color w:val="64748B"/>
          <w:sz w:val="16"/>
        </w:rPr>
        <w:t>PLANNED</w:t>
      </w:r>
    </w:p>
    <w:p w14:paraId="11982C1A" w14:textId="77777777" w:rsidR="00EE36FF" w:rsidRDefault="00000000">
      <w:pPr>
        <w:pStyle w:val="Heading1"/>
      </w:pPr>
      <w:r>
        <w:t>11. FUTURE BUSINESS FEATURES</w:t>
      </w:r>
    </w:p>
    <w:p w14:paraId="15E09992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Discounts — </w:t>
      </w:r>
      <w:r>
        <w:t xml:space="preserve">Admin-controlled discount rules remain future work. </w:t>
      </w:r>
      <w:r>
        <w:rPr>
          <w:b/>
          <w:color w:val="64748B"/>
          <w:sz w:val="16"/>
        </w:rPr>
        <w:t>PLANNED</w:t>
      </w:r>
    </w:p>
    <w:p w14:paraId="64702B63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Loyalty system — </w:t>
      </w:r>
      <w:r>
        <w:t xml:space="preserve">New </w:t>
      </w:r>
      <w:r>
        <w:rPr>
          <w:rFonts w:ascii="Arial" w:hAnsi="Arial" w:cs="Arial"/>
        </w:rPr>
        <w:t>→</w:t>
      </w:r>
      <w:r>
        <w:t xml:space="preserve"> Regular </w:t>
      </w:r>
      <w:r>
        <w:rPr>
          <w:rFonts w:ascii="Arial" w:hAnsi="Arial" w:cs="Arial"/>
        </w:rPr>
        <w:t>→</w:t>
      </w:r>
      <w:r>
        <w:t xml:space="preserve"> Loyal </w:t>
      </w:r>
      <w:r>
        <w:rPr>
          <w:rFonts w:ascii="Arial" w:hAnsi="Arial" w:cs="Arial"/>
        </w:rPr>
        <w:t>→</w:t>
      </w:r>
      <w:r>
        <w:t xml:space="preserve"> VIP progression and eligibility remain future work. </w:t>
      </w:r>
      <w:r>
        <w:rPr>
          <w:b/>
          <w:color w:val="64748B"/>
          <w:sz w:val="16"/>
        </w:rPr>
        <w:t>PLANNED</w:t>
      </w:r>
    </w:p>
    <w:p w14:paraId="3E3D5B64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Daily offer suggestions — </w:t>
      </w:r>
      <w:r>
        <w:t xml:space="preserve">System-generated offers requiring Admin approval remain future work. </w:t>
      </w:r>
      <w:r>
        <w:rPr>
          <w:b/>
          <w:color w:val="64748B"/>
          <w:sz w:val="16"/>
        </w:rPr>
        <w:t>PLANNED</w:t>
      </w:r>
    </w:p>
    <w:p w14:paraId="52E7F0C8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Referral system — </w:t>
      </w:r>
      <w:r>
        <w:t xml:space="preserve">Referral codes/links, tracking and rewards remain future work. </w:t>
      </w:r>
      <w:r>
        <w:rPr>
          <w:b/>
          <w:color w:val="64748B"/>
          <w:sz w:val="16"/>
        </w:rPr>
        <w:t>PLANNED</w:t>
      </w:r>
    </w:p>
    <w:p w14:paraId="270D004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Campus ambassador system — </w:t>
      </w:r>
      <w:r>
        <w:t xml:space="preserve">Codes, tracking, commissions and dashboards remain future work. </w:t>
      </w:r>
      <w:r>
        <w:rPr>
          <w:b/>
          <w:color w:val="64748B"/>
          <w:sz w:val="16"/>
        </w:rPr>
        <w:t>PLANNED</w:t>
      </w:r>
    </w:p>
    <w:p w14:paraId="38CF57B0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Ambassador commission rules — </w:t>
      </w:r>
      <w:r>
        <w:t xml:space="preserve">Eligible-order/spending commissions and fraud controls remain future work. </w:t>
      </w:r>
      <w:r>
        <w:rPr>
          <w:b/>
          <w:color w:val="64748B"/>
          <w:sz w:val="16"/>
        </w:rPr>
        <w:t>PLANNED</w:t>
      </w:r>
    </w:p>
    <w:p w14:paraId="0563DCDF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Ambassador withdrawals — </w:t>
      </w:r>
      <w:r>
        <w:t xml:space="preserve">Admin-approved withdrawals and future M-Pesa payout tracking remain future work. </w:t>
      </w:r>
      <w:r>
        <w:rPr>
          <w:b/>
          <w:color w:val="64748B"/>
          <w:sz w:val="16"/>
        </w:rPr>
        <w:t>PLANNED</w:t>
      </w:r>
    </w:p>
    <w:p w14:paraId="631D19FF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Reseller system — </w:t>
      </w:r>
      <w:r>
        <w:t xml:space="preserve">Reseller pricing and volume/reseller controls remain future work. </w:t>
      </w:r>
      <w:r>
        <w:rPr>
          <w:b/>
          <w:color w:val="64748B"/>
          <w:sz w:val="16"/>
        </w:rPr>
        <w:t>PLANNED</w:t>
      </w:r>
    </w:p>
    <w:p w14:paraId="6E7B344F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Multiple providers — </w:t>
      </w:r>
      <w:r>
        <w:t xml:space="preserve">Multi-provider routing/fallback remains future work. </w:t>
      </w:r>
      <w:r>
        <w:rPr>
          <w:b/>
          <w:color w:val="64748B"/>
          <w:sz w:val="16"/>
        </w:rPr>
        <w:t>PLANNED</w:t>
      </w:r>
    </w:p>
    <w:p w14:paraId="0792B164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Advanced analytics — </w:t>
      </w:r>
      <w:r>
        <w:t xml:space="preserve">Expanded business/provider/customer analytics remain future work. </w:t>
      </w:r>
      <w:r>
        <w:rPr>
          <w:b/>
          <w:color w:val="64748B"/>
          <w:sz w:val="16"/>
        </w:rPr>
        <w:t>PLANNED</w:t>
      </w:r>
    </w:p>
    <w:p w14:paraId="21ABF204" w14:textId="77777777" w:rsidR="00EE36FF" w:rsidRDefault="00000000">
      <w:pPr>
        <w:pStyle w:val="Heading1"/>
      </w:pPr>
      <w:r>
        <w:t>12. DEFERRED / NOT CURRENT PHASE</w:t>
      </w:r>
    </w:p>
    <w:p w14:paraId="5C704F21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Keep loyalty/discounts out of current payment phase — </w:t>
      </w:r>
      <w:r>
        <w:t xml:space="preserve">Do not mix later business features into the wallet/M-Pesa implementation. </w:t>
      </w:r>
      <w:r>
        <w:rPr>
          <w:b/>
          <w:color w:val="64748B"/>
          <w:sz w:val="16"/>
        </w:rPr>
        <w:t>PLANNED</w:t>
      </w:r>
    </w:p>
    <w:p w14:paraId="5B98905C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Keep referral/ambassador work out of current payment phase — </w:t>
      </w:r>
      <w:r>
        <w:t xml:space="preserve">Implement as a later dedicated phase. </w:t>
      </w:r>
      <w:r>
        <w:rPr>
          <w:b/>
          <w:color w:val="64748B"/>
          <w:sz w:val="16"/>
        </w:rPr>
        <w:t>PLANNED</w:t>
      </w:r>
    </w:p>
    <w:p w14:paraId="06E6FE6E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lastRenderedPageBreak/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Keep multi-provider work later — </w:t>
      </w:r>
      <w:r>
        <w:t xml:space="preserve">Current provider architecture remains focused on Delix. </w:t>
      </w:r>
      <w:r>
        <w:rPr>
          <w:b/>
          <w:color w:val="64748B"/>
          <w:sz w:val="16"/>
        </w:rPr>
        <w:t>PLANNED</w:t>
      </w:r>
    </w:p>
    <w:p w14:paraId="66BB6FBD" w14:textId="77777777" w:rsidR="00EE36FF" w:rsidRDefault="00000000">
      <w:pPr>
        <w:spacing w:after="40"/>
        <w:rPr>
          <w:rFonts w:hint="eastAsia"/>
        </w:rPr>
      </w:pPr>
      <w:r>
        <w:rPr>
          <w:rFonts w:ascii="Segoe UI Symbol" w:hAnsi="Segoe UI Symbol" w:cs="Segoe UI Symbol"/>
          <w:b/>
          <w:color w:val="1677E8"/>
        </w:rPr>
        <w:t>☐</w:t>
      </w:r>
      <w:r>
        <w:rPr>
          <w:b/>
          <w:color w:val="1677E8"/>
        </w:rPr>
        <w:t xml:space="preserve"> </w:t>
      </w:r>
      <w:r>
        <w:rPr>
          <w:b/>
        </w:rPr>
        <w:t xml:space="preserve">Mobile redesign remains paused — </w:t>
      </w:r>
      <w:r>
        <w:t xml:space="preserve">Do not restart unless intentionally reopened. </w:t>
      </w:r>
      <w:r>
        <w:rPr>
          <w:b/>
          <w:color w:val="64748B"/>
          <w:sz w:val="16"/>
        </w:rPr>
        <w:t>PLANNED</w:t>
      </w:r>
    </w:p>
    <w:p w14:paraId="3FBAA530" w14:textId="77777777" w:rsidR="00EE36FF" w:rsidRDefault="00000000">
      <w:pPr>
        <w:pStyle w:val="Heading1"/>
      </w:pPr>
      <w:r>
        <w:t>13. TARGET END-TO-END FLOW</w:t>
      </w:r>
    </w:p>
    <w:p w14:paraId="7660021E" w14:textId="77777777" w:rsidR="00EE36FF" w:rsidRDefault="00000000">
      <w:pPr>
        <w:rPr>
          <w:rFonts w:hint="eastAsia"/>
        </w:rPr>
      </w:pPr>
      <w:r>
        <w:rPr>
          <w:b/>
        </w:rPr>
        <w:t xml:space="preserve">Customer </w:t>
      </w:r>
      <w:r>
        <w:rPr>
          <w:rFonts w:ascii="Arial" w:hAnsi="Arial" w:cs="Arial"/>
          <w:b/>
        </w:rPr>
        <w:t>→</w:t>
      </w:r>
      <w:r>
        <w:rPr>
          <w:b/>
        </w:rPr>
        <w:t xml:space="preserve"> Service </w:t>
      </w:r>
      <w:r>
        <w:rPr>
          <w:rFonts w:ascii="Arial" w:hAnsi="Arial" w:cs="Arial"/>
          <w:b/>
        </w:rPr>
        <w:t>→</w:t>
      </w:r>
      <w:r>
        <w:rPr>
          <w:b/>
        </w:rPr>
        <w:t xml:space="preserve"> Quantity </w:t>
      </w:r>
      <w:r>
        <w:rPr>
          <w:rFonts w:ascii="Arial" w:hAnsi="Arial" w:cs="Arial"/>
          <w:b/>
        </w:rPr>
        <w:t>→</w:t>
      </w:r>
      <w:r>
        <w:rPr>
          <w:b/>
        </w:rPr>
        <w:t xml:space="preserve"> BTECH price </w:t>
      </w:r>
      <w:r>
        <w:rPr>
          <w:rFonts w:ascii="Arial" w:hAnsi="Arial" w:cs="Arial"/>
          <w:b/>
        </w:rPr>
        <w:t>→</w:t>
      </w:r>
      <w:r>
        <w:rPr>
          <w:b/>
        </w:rPr>
        <w:t xml:space="preserve"> Wallet balance check </w:t>
      </w:r>
      <w:r>
        <w:rPr>
          <w:rFonts w:ascii="Arial" w:hAnsi="Arial" w:cs="Arial"/>
          <w:b/>
        </w:rPr>
        <w:t>→</w:t>
      </w:r>
      <w:r>
        <w:rPr>
          <w:b/>
        </w:rPr>
        <w:t xml:space="preserve"> </w:t>
      </w:r>
      <w:r>
        <w:rPr>
          <w:b/>
          <w:color w:val="16834B"/>
        </w:rPr>
        <w:t xml:space="preserve">Wallet sufficient: debit wallet </w:t>
      </w:r>
      <w:r>
        <w:rPr>
          <w:rFonts w:ascii="Arial" w:hAnsi="Arial" w:cs="Arial"/>
          <w:b/>
          <w:color w:val="16834B"/>
        </w:rPr>
        <w:t>→</w:t>
      </w:r>
      <w:r>
        <w:rPr>
          <w:b/>
          <w:color w:val="16834B"/>
        </w:rPr>
        <w:t xml:space="preserve"> mark paid </w:t>
      </w:r>
      <w:r>
        <w:rPr>
          <w:rFonts w:ascii="Arial" w:hAnsi="Arial" w:cs="Arial"/>
          <w:b/>
          <w:color w:val="16834B"/>
        </w:rPr>
        <w:t>→</w:t>
      </w:r>
      <w:r>
        <w:rPr>
          <w:b/>
          <w:color w:val="16834B"/>
        </w:rPr>
        <w:t xml:space="preserve"> Delix</w:t>
      </w:r>
      <w:r>
        <w:t xml:space="preserve">  |  </w:t>
      </w:r>
      <w:r>
        <w:rPr>
          <w:b/>
          <w:color w:val="1677E8"/>
        </w:rPr>
        <w:t xml:space="preserve">Wallet insufficient: calculate shortage </w:t>
      </w:r>
      <w:r>
        <w:rPr>
          <w:rFonts w:ascii="Arial" w:hAnsi="Arial" w:cs="Arial"/>
          <w:b/>
          <w:color w:val="1677E8"/>
        </w:rPr>
        <w:t>→</w:t>
      </w:r>
      <w:r>
        <w:rPr>
          <w:b/>
          <w:color w:val="1677E8"/>
        </w:rPr>
        <w:t xml:space="preserve"> M-Pesa STK </w:t>
      </w:r>
      <w:r>
        <w:rPr>
          <w:rFonts w:ascii="Arial" w:hAnsi="Arial" w:cs="Arial"/>
          <w:b/>
          <w:color w:val="1677E8"/>
        </w:rPr>
        <w:t>→</w:t>
      </w:r>
      <w:r>
        <w:rPr>
          <w:b/>
          <w:color w:val="1677E8"/>
        </w:rPr>
        <w:t xml:space="preserve"> callback confirms </w:t>
      </w:r>
      <w:r>
        <w:rPr>
          <w:rFonts w:ascii="Arial" w:hAnsi="Arial" w:cs="Arial"/>
          <w:b/>
          <w:color w:val="1677E8"/>
        </w:rPr>
        <w:t>→</w:t>
      </w:r>
      <w:r>
        <w:rPr>
          <w:b/>
          <w:color w:val="1677E8"/>
        </w:rPr>
        <w:t xml:space="preserve"> credit wallet </w:t>
      </w:r>
      <w:r>
        <w:rPr>
          <w:rFonts w:ascii="Arial" w:hAnsi="Arial" w:cs="Arial"/>
          <w:b/>
          <w:color w:val="1677E8"/>
        </w:rPr>
        <w:t>→</w:t>
      </w:r>
      <w:r>
        <w:rPr>
          <w:b/>
          <w:color w:val="1677E8"/>
        </w:rPr>
        <w:t xml:space="preserve"> debit order </w:t>
      </w:r>
      <w:r>
        <w:rPr>
          <w:rFonts w:ascii="Arial" w:hAnsi="Arial" w:cs="Arial"/>
          <w:b/>
          <w:color w:val="1677E8"/>
        </w:rPr>
        <w:t>→</w:t>
      </w:r>
      <w:r>
        <w:rPr>
          <w:b/>
          <w:color w:val="1677E8"/>
        </w:rPr>
        <w:t xml:space="preserve"> mark paid </w:t>
      </w:r>
      <w:r>
        <w:rPr>
          <w:rFonts w:ascii="Arial" w:hAnsi="Arial" w:cs="Arial"/>
          <w:b/>
          <w:color w:val="1677E8"/>
        </w:rPr>
        <w:t>→</w:t>
      </w:r>
      <w:r>
        <w:rPr>
          <w:b/>
          <w:color w:val="1677E8"/>
        </w:rPr>
        <w:t xml:space="preserve"> Delix</w:t>
      </w:r>
    </w:p>
    <w:p w14:paraId="5C3E3760" w14:textId="77777777" w:rsidR="00EE36FF" w:rsidRDefault="00000000">
      <w:pPr>
        <w:pStyle w:val="Heading1"/>
      </w:pPr>
      <w:r>
        <w:t>14. STATUS LEGEND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E36FF" w14:paraId="3C937472" w14:textId="77777777">
        <w:trPr>
          <w:jc w:val="center"/>
        </w:trPr>
        <w:tc>
          <w:tcPr>
            <w:tcW w:w="5112" w:type="dxa"/>
            <w:shd w:val="clear" w:color="auto" w:fill="0B2148"/>
            <w:vAlign w:val="center"/>
          </w:tcPr>
          <w:p w14:paraId="59DF4F17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w="5112" w:type="dxa"/>
            <w:shd w:val="clear" w:color="auto" w:fill="0B2148"/>
            <w:vAlign w:val="center"/>
          </w:tcPr>
          <w:p w14:paraId="66EA10CD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 w:rsidR="00EE36FF" w14:paraId="0FF0784F" w14:textId="77777777">
        <w:trPr>
          <w:jc w:val="center"/>
        </w:trPr>
        <w:tc>
          <w:tcPr>
            <w:tcW w:w="5112" w:type="dxa"/>
            <w:vAlign w:val="center"/>
          </w:tcPr>
          <w:p w14:paraId="7FE7096F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16834B"/>
                <w:sz w:val="17"/>
              </w:rPr>
              <w:t>COMPLETED</w:t>
            </w:r>
          </w:p>
        </w:tc>
        <w:tc>
          <w:tcPr>
            <w:tcW w:w="5112" w:type="dxa"/>
            <w:shd w:val="clear" w:color="auto" w:fill="F4F7FB"/>
            <w:vAlign w:val="center"/>
          </w:tcPr>
          <w:p w14:paraId="5D61E73A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color w:val="0B2148"/>
                <w:sz w:val="17"/>
              </w:rPr>
              <w:t>Implemented, tested, fixed or established.</w:t>
            </w:r>
          </w:p>
        </w:tc>
      </w:tr>
      <w:tr w:rsidR="00EE36FF" w14:paraId="069297A5" w14:textId="77777777">
        <w:trPr>
          <w:jc w:val="center"/>
        </w:trPr>
        <w:tc>
          <w:tcPr>
            <w:tcW w:w="5112" w:type="dxa"/>
            <w:vAlign w:val="center"/>
          </w:tcPr>
          <w:p w14:paraId="1744392E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1677E8"/>
                <w:sz w:val="17"/>
              </w:rPr>
              <w:t>NEXT</w:t>
            </w:r>
          </w:p>
        </w:tc>
        <w:tc>
          <w:tcPr>
            <w:tcW w:w="5112" w:type="dxa"/>
            <w:shd w:val="clear" w:color="auto" w:fill="F4F7FB"/>
            <w:vAlign w:val="center"/>
          </w:tcPr>
          <w:p w14:paraId="2F526251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color w:val="0B2148"/>
                <w:sz w:val="17"/>
              </w:rPr>
              <w:t>Immediate next feature phase.</w:t>
            </w:r>
          </w:p>
        </w:tc>
      </w:tr>
      <w:tr w:rsidR="00EE36FF" w14:paraId="6AC0E0F1" w14:textId="77777777">
        <w:trPr>
          <w:jc w:val="center"/>
        </w:trPr>
        <w:tc>
          <w:tcPr>
            <w:tcW w:w="5112" w:type="dxa"/>
            <w:vAlign w:val="center"/>
          </w:tcPr>
          <w:p w14:paraId="40D03CBB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C53030"/>
                <w:sz w:val="17"/>
              </w:rPr>
              <w:t>HARDENING</w:t>
            </w:r>
          </w:p>
        </w:tc>
        <w:tc>
          <w:tcPr>
            <w:tcW w:w="5112" w:type="dxa"/>
            <w:shd w:val="clear" w:color="auto" w:fill="F4F7FB"/>
            <w:vAlign w:val="center"/>
          </w:tcPr>
          <w:p w14:paraId="0FB696B9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color w:val="0B2148"/>
                <w:sz w:val="17"/>
              </w:rPr>
              <w:t>Works architecturally but needs stronger production protection.</w:t>
            </w:r>
          </w:p>
        </w:tc>
      </w:tr>
      <w:tr w:rsidR="00EE36FF" w14:paraId="18C6CEA9" w14:textId="77777777">
        <w:trPr>
          <w:jc w:val="center"/>
        </w:trPr>
        <w:tc>
          <w:tcPr>
            <w:tcW w:w="5112" w:type="dxa"/>
            <w:vAlign w:val="center"/>
          </w:tcPr>
          <w:p w14:paraId="04825E10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64748B"/>
                <w:sz w:val="17"/>
              </w:rPr>
              <w:t>PLANNED</w:t>
            </w:r>
          </w:p>
        </w:tc>
        <w:tc>
          <w:tcPr>
            <w:tcW w:w="5112" w:type="dxa"/>
            <w:shd w:val="clear" w:color="auto" w:fill="F4F7FB"/>
            <w:vAlign w:val="center"/>
          </w:tcPr>
          <w:p w14:paraId="185F3D7E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color w:val="0B2148"/>
                <w:sz w:val="17"/>
              </w:rPr>
              <w:t>Future roadmap work.</w:t>
            </w:r>
          </w:p>
        </w:tc>
      </w:tr>
      <w:tr w:rsidR="00EE36FF" w14:paraId="37B98F42" w14:textId="77777777">
        <w:trPr>
          <w:jc w:val="center"/>
        </w:trPr>
        <w:tc>
          <w:tcPr>
            <w:tcW w:w="5112" w:type="dxa"/>
            <w:vAlign w:val="center"/>
          </w:tcPr>
          <w:p w14:paraId="1DF2F29A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B7791F"/>
                <w:sz w:val="17"/>
              </w:rPr>
              <w:t>IN PROGRESS</w:t>
            </w:r>
          </w:p>
        </w:tc>
        <w:tc>
          <w:tcPr>
            <w:tcW w:w="5112" w:type="dxa"/>
            <w:shd w:val="clear" w:color="auto" w:fill="F4F7FB"/>
            <w:vAlign w:val="center"/>
          </w:tcPr>
          <w:p w14:paraId="0C51C32F" w14:textId="77777777" w:rsidR="00EE36FF" w:rsidRDefault="00000000">
            <w:pPr>
              <w:rPr>
                <w:rFonts w:hint="eastAsia"/>
              </w:rPr>
            </w:pPr>
            <w:r>
              <w:rPr>
                <w:rFonts w:ascii="Aptos" w:hAnsi="Aptos"/>
                <w:color w:val="0B2148"/>
                <w:sz w:val="17"/>
              </w:rPr>
              <w:t>Partially complete or deliberately paused.</w:t>
            </w:r>
          </w:p>
        </w:tc>
      </w:tr>
    </w:tbl>
    <w:p w14:paraId="64B99EC2" w14:textId="77777777" w:rsidR="00EE36FF" w:rsidRDefault="00000000">
      <w:pPr>
        <w:jc w:val="center"/>
        <w:rPr>
          <w:rFonts w:hint="eastAsia"/>
        </w:rPr>
      </w:pPr>
      <w:r>
        <w:rPr>
          <w:b/>
          <w:color w:val="1677E8"/>
        </w:rPr>
        <w:t>BTECH SMM • MASTER PROJECT CHECKLIST</w:t>
      </w:r>
      <w:r>
        <w:rPr>
          <w:color w:val="64748B"/>
          <w:sz w:val="16"/>
        </w:rPr>
        <w:br/>
        <w:t>Compiled from the BTECH SMM project history and decisions available in this conversation.</w:t>
      </w:r>
    </w:p>
    <w:sectPr w:rsidR="00EE36FF" w:rsidSect="00034616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92CCB" w14:textId="77777777" w:rsidR="004E681D" w:rsidRDefault="004E681D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59446F" w14:textId="77777777" w:rsidR="004E681D" w:rsidRDefault="004E681D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GMaruGothicMPRO">
    <w:charset w:val="80"/>
    <w:family w:val="swiss"/>
    <w:pitch w:val="variable"/>
    <w:sig w:usb0="E00002FF" w:usb1="2AC7EDFE" w:usb2="00000012" w:usb3="00000000" w:csb0="0002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12523" w14:textId="77777777" w:rsidR="00EE36FF" w:rsidRDefault="00000000">
    <w:pPr>
      <w:pStyle w:val="Footer"/>
      <w:jc w:val="center"/>
      <w:rPr>
        <w:rFonts w:hint="eastAsia"/>
      </w:rPr>
    </w:pPr>
    <w:r>
      <w:rPr>
        <w:color w:val="64748B"/>
        <w:sz w:val="15"/>
      </w:rPr>
      <w:t>BTECH SMM • Project working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18CE" w14:textId="77777777" w:rsidR="004E681D" w:rsidRDefault="004E681D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41CFD4" w14:textId="77777777" w:rsidR="004E681D" w:rsidRDefault="004E681D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6131" w14:textId="609DF8C5" w:rsidR="000D4DCC" w:rsidRDefault="000D4DCC">
    <w:pPr>
      <w:pStyle w:val="Header"/>
    </w:pPr>
    <w:r>
      <w:rPr>
        <w:noProof/>
      </w:rPr>
      <w:pict w14:anchorId="275D7A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348032" o:spid="_x0000_s1026" type="#_x0000_t75" style="position:absolute;margin-left:0;margin-top:0;width:511.2pt;height:511.2pt;z-index:-251657216;mso-position-horizontal:center;mso-position-horizontal-relative:margin;mso-position-vertical:center;mso-position-vertical-relative:margin" o:allowincell="f">
          <v:imagedata r:id="rId1" o:title="icon-19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4249" w14:textId="267520AF" w:rsidR="00EE36FF" w:rsidRDefault="000D4DCC">
    <w:pPr>
      <w:pStyle w:val="Header"/>
      <w:jc w:val="right"/>
      <w:rPr>
        <w:rFonts w:hint="eastAsia"/>
      </w:rPr>
    </w:pPr>
    <w:r>
      <w:rPr>
        <w:b/>
        <w:noProof/>
        <w:color w:val="1677E8"/>
        <w:sz w:val="16"/>
      </w:rPr>
      <w:pict w14:anchorId="63CADE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348033" o:spid="_x0000_s1027" type="#_x0000_t75" style="position:absolute;left:0;text-align:left;margin-left:0;margin-top:0;width:511.2pt;height:511.2pt;z-index:-251656192;mso-position-horizontal:center;mso-position-horizontal-relative:margin;mso-position-vertical:center;mso-position-vertical-relative:margin" o:allowincell="f">
          <v:imagedata r:id="rId1" o:title="icon-192" gain="19661f" blacklevel="22938f"/>
        </v:shape>
      </w:pict>
    </w:r>
    <w:r w:rsidR="00000000">
      <w:rPr>
        <w:b/>
        <w:color w:val="1677E8"/>
        <w:sz w:val="16"/>
      </w:rPr>
      <w:t xml:space="preserve">BTECH </w:t>
    </w:r>
    <w:r w:rsidR="00915CEB">
      <w:rPr>
        <w:b/>
        <w:color w:val="1677E8"/>
        <w:sz w:val="16"/>
      </w:rPr>
      <w:t>SMM | PROJECT</w:t>
    </w:r>
    <w:r w:rsidR="00000000">
      <w:rPr>
        <w:b/>
        <w:color w:val="1677E8"/>
        <w:sz w:val="16"/>
      </w:rPr>
      <w:t xml:space="preserve"> MASTER CHECKLIST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AE6BE" w14:textId="1DEC84B0" w:rsidR="000D4DCC" w:rsidRDefault="000D4DCC">
    <w:pPr>
      <w:pStyle w:val="Header"/>
    </w:pPr>
    <w:r>
      <w:rPr>
        <w:noProof/>
      </w:rPr>
      <w:pict w14:anchorId="15AB1D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348031" o:spid="_x0000_s1025" type="#_x0000_t75" style="position:absolute;margin-left:0;margin-top:0;width:511.2pt;height:511.2pt;z-index:-251658240;mso-position-horizontal:center;mso-position-horizontal-relative:margin;mso-position-vertical:center;mso-position-vertical-relative:margin" o:allowincell="f">
          <v:imagedata r:id="rId1" o:title="icon-19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122802627">
    <w:abstractNumId w:val="8"/>
  </w:num>
  <w:num w:numId="2" w16cid:durableId="1303778429">
    <w:abstractNumId w:val="6"/>
  </w:num>
  <w:num w:numId="3" w16cid:durableId="1190534049">
    <w:abstractNumId w:val="5"/>
  </w:num>
  <w:num w:numId="4" w16cid:durableId="2046709603">
    <w:abstractNumId w:val="4"/>
  </w:num>
  <w:num w:numId="5" w16cid:durableId="1267883333">
    <w:abstractNumId w:val="7"/>
  </w:num>
  <w:num w:numId="6" w16cid:durableId="2022245526">
    <w:abstractNumId w:val="3"/>
  </w:num>
  <w:num w:numId="7" w16cid:durableId="770131362">
    <w:abstractNumId w:val="2"/>
  </w:num>
  <w:num w:numId="8" w16cid:durableId="1732313180">
    <w:abstractNumId w:val="1"/>
  </w:num>
  <w:num w:numId="9" w16cid:durableId="2141726234">
    <w:abstractNumId w:val="0"/>
  </w:num>
  <w:num w:numId="10" w16cid:durableId="1804544899">
    <w:abstractNumId w:val="9"/>
  </w:num>
  <w:num w:numId="11" w16cid:durableId="162479284">
    <w:abstractNumId w:val="9"/>
  </w:num>
  <w:num w:numId="12" w16cid:durableId="99836986">
    <w:abstractNumId w:val="9"/>
  </w:num>
  <w:num w:numId="13" w16cid:durableId="1169834858">
    <w:abstractNumId w:val="9"/>
  </w:num>
  <w:num w:numId="14" w16cid:durableId="327291995">
    <w:abstractNumId w:val="9"/>
  </w:num>
  <w:num w:numId="15" w16cid:durableId="2110929247">
    <w:abstractNumId w:val="9"/>
  </w:num>
  <w:num w:numId="16" w16cid:durableId="1418601217">
    <w:abstractNumId w:val="9"/>
  </w:num>
  <w:num w:numId="17" w16cid:durableId="1244418425">
    <w:abstractNumId w:val="9"/>
  </w:num>
  <w:num w:numId="18" w16cid:durableId="1888057630">
    <w:abstractNumId w:val="9"/>
  </w:num>
  <w:num w:numId="19" w16cid:durableId="3127556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DCC"/>
    <w:rsid w:val="0015074B"/>
    <w:rsid w:val="00157D40"/>
    <w:rsid w:val="0029639D"/>
    <w:rsid w:val="00326F90"/>
    <w:rsid w:val="003D30BD"/>
    <w:rsid w:val="004501C6"/>
    <w:rsid w:val="004E681D"/>
    <w:rsid w:val="006225C4"/>
    <w:rsid w:val="00683247"/>
    <w:rsid w:val="008120A9"/>
    <w:rsid w:val="008751F5"/>
    <w:rsid w:val="00915CEB"/>
    <w:rsid w:val="009B648A"/>
    <w:rsid w:val="009F0EE9"/>
    <w:rsid w:val="00AA1D8D"/>
    <w:rsid w:val="00B052AD"/>
    <w:rsid w:val="00B47730"/>
    <w:rsid w:val="00BA2D9A"/>
    <w:rsid w:val="00CB0664"/>
    <w:rsid w:val="00EE36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5722196-41FC-4FEA-9424-6F9D1B02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0A9"/>
  </w:style>
  <w:style w:type="paragraph" w:styleId="Heading1">
    <w:name w:val="heading 1"/>
    <w:basedOn w:val="Normal"/>
    <w:next w:val="Normal"/>
    <w:link w:val="Heading1Char"/>
    <w:uiPriority w:val="9"/>
    <w:qFormat/>
    <w:rsid w:val="008120A9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0A9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0A9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A9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A9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A9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A9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A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A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120A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120A9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120A9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120A9"/>
    <w:rPr>
      <w:caps/>
      <w:color w:val="073662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8120A9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20A9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A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120A9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120A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120A9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A9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A9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A9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A9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A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A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20A9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8120A9"/>
    <w:rPr>
      <w:b/>
      <w:bCs/>
    </w:rPr>
  </w:style>
  <w:style w:type="character" w:styleId="Emphasis">
    <w:name w:val="Emphasis"/>
    <w:uiPriority w:val="20"/>
    <w:qFormat/>
    <w:rsid w:val="008120A9"/>
    <w:rPr>
      <w:caps/>
      <w:color w:val="073662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A9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A9"/>
    <w:rPr>
      <w:color w:val="0F6FC6" w:themeColor="accent1"/>
      <w:sz w:val="24"/>
      <w:szCs w:val="24"/>
    </w:rPr>
  </w:style>
  <w:style w:type="character" w:styleId="SubtleEmphasis">
    <w:name w:val="Subtle Emphasis"/>
    <w:uiPriority w:val="19"/>
    <w:qFormat/>
    <w:rsid w:val="008120A9"/>
    <w:rPr>
      <w:i/>
      <w:iCs/>
      <w:color w:val="073662" w:themeColor="accent1" w:themeShade="7F"/>
    </w:rPr>
  </w:style>
  <w:style w:type="character" w:styleId="IntenseEmphasis">
    <w:name w:val="Intense Emphasis"/>
    <w:uiPriority w:val="21"/>
    <w:qFormat/>
    <w:rsid w:val="008120A9"/>
    <w:rPr>
      <w:b/>
      <w:bCs/>
      <w:caps/>
      <w:color w:val="073662" w:themeColor="accent1" w:themeShade="7F"/>
      <w:spacing w:val="10"/>
    </w:rPr>
  </w:style>
  <w:style w:type="character" w:styleId="SubtleReference">
    <w:name w:val="Subtle Reference"/>
    <w:uiPriority w:val="31"/>
    <w:qFormat/>
    <w:rsid w:val="008120A9"/>
    <w:rPr>
      <w:b/>
      <w:bCs/>
      <w:color w:val="0F6FC6" w:themeColor="accent1"/>
    </w:rPr>
  </w:style>
  <w:style w:type="character" w:styleId="IntenseReference">
    <w:name w:val="Intense Reference"/>
    <w:uiPriority w:val="32"/>
    <w:qFormat/>
    <w:rsid w:val="008120A9"/>
    <w:rPr>
      <w:b/>
      <w:bCs/>
      <w:i/>
      <w:iCs/>
      <w:caps/>
      <w:color w:val="0F6FC6" w:themeColor="accent1"/>
    </w:rPr>
  </w:style>
  <w:style w:type="character" w:styleId="BookTitle">
    <w:name w:val="Book Title"/>
    <w:uiPriority w:val="33"/>
    <w:qFormat/>
    <w:rsid w:val="008120A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20A9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B5294" w:themeColor="accent1" w:themeShade="BF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75A2" w:themeColor="accent2" w:themeShade="BF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89BA2" w:themeColor="accent3" w:themeShade="BF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4A738" w:themeColor="accent5" w:themeShade="BF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D9532" w:themeColor="accent6" w:themeShade="BF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  <w:shd w:val="clear" w:color="auto" w:fill="B6EAFF" w:themeFill="accent2" w:themeFillTint="3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  <w:shd w:val="clear" w:color="auto" w:fill="BCF8FB" w:themeFill="accent3" w:themeFillTint="3F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  <w:shd w:val="clear" w:color="auto" w:fill="BDFAE9" w:themeFill="accent4" w:themeFillTint="3F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1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  <w:shd w:val="clear" w:color="auto" w:fill="DEF2D8" w:themeFill="accent5" w:themeFillTint="3F"/>
      </w:tcPr>
    </w:tblStylePr>
    <w:tblStylePr w:type="band2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  <w:shd w:val="clear" w:color="auto" w:fill="E8F0D1" w:themeFill="accent6" w:themeFillTint="3F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shd w:val="clear" w:color="auto" w:fill="BADBF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shd w:val="clear" w:color="auto" w:fill="B6EAF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shd w:val="clear" w:color="auto" w:fill="BCF8FB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shd w:val="clear" w:color="auto" w:fill="BDFAE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shd w:val="clear" w:color="auto" w:fill="DEF2D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shd w:val="clear" w:color="auto" w:fill="E8F0D1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DD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F0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 w:themeFill="accent1" w:themeFillTint="33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tcBorders>
          <w:insideH w:val="single" w:sz="6" w:space="0" w:color="0F6FC6" w:themeColor="accent1"/>
          <w:insideV w:val="single" w:sz="6" w:space="0" w:color="0F6FC6" w:themeColor="accent1"/>
        </w:tcBorders>
        <w:shd w:val="clear" w:color="auto" w:fill="75B7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2F6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 w:themeFill="accent2" w:themeFillTint="33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tcBorders>
          <w:insideH w:val="single" w:sz="6" w:space="0" w:color="009DD9" w:themeColor="accent2"/>
          <w:insideV w:val="single" w:sz="6" w:space="0" w:color="009DD9" w:themeColor="accent2"/>
        </w:tcBorders>
        <w:shd w:val="clear" w:color="auto" w:fill="6DD6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4FCF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 w:themeFill="accent3" w:themeFillTint="33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tcBorders>
          <w:insideH w:val="single" w:sz="6" w:space="0" w:color="0BD0D9" w:themeColor="accent3"/>
          <w:insideV w:val="single" w:sz="6" w:space="0" w:color="0BD0D9" w:themeColor="accent3"/>
        </w:tcBorders>
        <w:shd w:val="clear" w:color="auto" w:fill="79F2F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D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 w:themeFill="accent4" w:themeFillTint="33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tcBorders>
          <w:insideH w:val="single" w:sz="6" w:space="0" w:color="10CF9B" w:themeColor="accent4"/>
          <w:insideV w:val="single" w:sz="6" w:space="0" w:color="10CF9B" w:themeColor="accent4"/>
        </w:tcBorders>
        <w:shd w:val="clear" w:color="auto" w:fill="7AF4D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9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 w:themeFill="accent5" w:themeFillTint="33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tcBorders>
          <w:insideH w:val="single" w:sz="6" w:space="0" w:color="7CCA62" w:themeColor="accent5"/>
          <w:insideV w:val="single" w:sz="6" w:space="0" w:color="7CCA62" w:themeColor="accent5"/>
        </w:tcBorders>
        <w:shd w:val="clear" w:color="auto" w:fill="BDE4B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 w:themeFill="accent6" w:themeFillTint="33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tcBorders>
          <w:insideH w:val="single" w:sz="6" w:space="0" w:color="A5C249" w:themeColor="accent6"/>
          <w:insideV w:val="single" w:sz="6" w:space="0" w:color="A5C249" w:themeColor="accent6"/>
        </w:tcBorders>
        <w:shd w:val="clear" w:color="auto" w:fill="D1E0A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5B7F4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D6F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9F2F8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F4D3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E4B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0A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6FC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4276" w:themeColor="accent1" w:themeShade="99"/>
          <w:insideV w:val="nil"/>
        </w:tcBorders>
        <w:shd w:val="clear" w:color="auto" w:fill="09427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 w:themeFill="accent1" w:themeFillShade="99"/>
      </w:tcPr>
    </w:tblStylePr>
    <w:tblStylePr w:type="band1Vert">
      <w:tblPr/>
      <w:tcPr>
        <w:shd w:val="clear" w:color="auto" w:fill="90C5F6" w:themeFill="accent1" w:themeFillTint="66"/>
      </w:tcPr>
    </w:tblStylePr>
    <w:tblStylePr w:type="band1Horz">
      <w:tblPr/>
      <w:tcPr>
        <w:shd w:val="clear" w:color="auto" w:fill="75B7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82" w:themeColor="accent2" w:themeShade="99"/>
          <w:insideV w:val="nil"/>
        </w:tcBorders>
        <w:shd w:val="clear" w:color="auto" w:fill="005D8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 w:themeFill="accent2" w:themeFillShade="99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6DD6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7C82" w:themeColor="accent3" w:themeShade="99"/>
          <w:insideV w:val="nil"/>
        </w:tcBorders>
        <w:shd w:val="clear" w:color="auto" w:fill="067C8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 w:themeFill="accent3" w:themeFillShade="99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C5C" w:themeColor="accent4" w:themeShade="99"/>
          <w:insideV w:val="nil"/>
        </w:tcBorders>
        <w:shd w:val="clear" w:color="auto" w:fill="097C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 w:themeFill="accent4" w:themeFillShade="99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7AF4D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862D" w:themeColor="accent5" w:themeShade="99"/>
          <w:insideV w:val="nil"/>
        </w:tcBorders>
        <w:shd w:val="clear" w:color="auto" w:fill="4386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 w:themeFill="accent5" w:themeFillShade="99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BDE4B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728" w:themeColor="accent6" w:themeShade="99"/>
          <w:insideV w:val="nil"/>
        </w:tcBorders>
        <w:shd w:val="clear" w:color="auto" w:fill="6477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 w:themeFill="accent6" w:themeFillShade="99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1E0A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0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F6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C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 w:themeFill="accent4" w:themeFillShade="CC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D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 w:themeFill="accent3" w:themeFillShade="CC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9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 w:themeFill="accent6" w:themeFillShade="CC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9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 w:themeFill="accent5" w:themeFillShade="C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E2FA" w:themeFill="accent1" w:themeFillTint="33"/>
    </w:tcPr>
    <w:tblStylePr w:type="firstRow">
      <w:rPr>
        <w:b/>
        <w:bCs/>
      </w:rPr>
      <w:tblPr/>
      <w:tcPr>
        <w:shd w:val="clear" w:color="auto" w:fill="90C5F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</w:rPr>
      <w:tblPr/>
      <w:tcPr>
        <w:shd w:val="clear" w:color="auto" w:fill="89DE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</w:rPr>
      <w:tblPr/>
      <w:tcPr>
        <w:shd w:val="clear" w:color="auto" w:fill="93F4F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</w:rPr>
      <w:tblPr/>
      <w:tcPr>
        <w:shd w:val="clear" w:color="auto" w:fill="94F6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</w:rPr>
      <w:tblPr/>
      <w:tcPr>
        <w:shd w:val="clear" w:color="auto" w:fill="CAE9C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</w:rPr>
      <w:tblPr/>
      <w:tcPr>
        <w:shd w:val="clear" w:color="auto" w:fill="DAE6B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Rible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/>
          </a:solidFill>
          <a:prstDash val="solid"/>
        </a:ln>
        <a:ln w="58420" cap="flat" cmpd="thickThin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27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31750" h="63500" prst="riblet"/>
          </a:sp3d>
        </a:effectStyle>
        <a:effectStyle>
          <a:effectLst>
            <a:outerShdw blurRad="50800" dist="38100" dir="27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57150" h="1143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6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Becam Wilunda</cp:lastModifiedBy>
  <cp:revision>12</cp:revision>
  <dcterms:created xsi:type="dcterms:W3CDTF">2013-12-23T23:15:00Z</dcterms:created>
  <dcterms:modified xsi:type="dcterms:W3CDTF">2026-09-20T17:17:00Z</dcterms:modified>
  <cp:category/>
</cp:coreProperties>
</file>