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3.1 Data Preparation and Cohort Characteristics</w:t>
      </w:r>
    </w:p>
    <w:p>
      <w:r>
        <w:t>The exploratory medical radiography dataset comprises exactly 300 medical chest acquisitions, representing adult patient biometric records. To guarantee robust parameter mapping, raw variables were standardized, and BMI categories mapped directly according to WHO standards. The modeling phase strictly filters out sub-optimal exposures, restricting the training target space to optimal radiographic configurations (N = 258 Adequate exposures). Data splitting was executed with a stratified 80/20 train/test design (206 training, 52 testing records) balanced by patient BMI classes.</w:t>
      </w:r>
    </w:p>
    <w:p>
      <w:pPr>
        <w:pStyle w:val="Heading2"/>
      </w:pPr>
      <w:r>
        <w:t>3.2 Preprocessing and Modeling Pipeline</w:t>
      </w:r>
    </w:p>
    <w:p>
      <w:r>
        <w:t>A standard scaler was fitted strictly on the training partition to prevent any data leakage. Biological sex binary values bypass scaling to maintain logical encoding. Estimators were optimized using a repeated 5-fold cross-validation scheme with 3 repetitions (15 fits per configuration) nested directly with training grids. Evaluations compared six candidate models (Mean Baseline, OLS Linear Regression, Ridge, Random Forest, Gradient Boosting, and MLP Neural Networks) using MAE, RMSE, and R2 metrics.</w:t>
      </w:r>
    </w:p>
    <w:p>
      <w:pPr>
        <w:pStyle w:val="Heading2"/>
      </w:pPr>
      <w:r>
        <w:t>3.3 Software and Packages Versioning</w:t>
      </w:r>
    </w:p>
    <w:p>
      <w:r>
        <w:t>All analysis calculations were compiled in a Python 3.13 runtime environment using the following package dependencies: Pandas 2.2.3, NumPy 2.1.3, SciPy 1.16.3, Statsmodels 0.15.0, Scikit-learn 1.6.1, Matplotlib 3.10.0, Seaborn 0.13.2, and Joblib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