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00" w:after="80"/>
        <w:jc w:val="center"/>
      </w:pPr>
      <w:r>
        <w:rPr>
          <w:rFonts w:ascii="微软雅黑" w:hAnsi="微软雅黑" w:eastAsia="微软雅黑"/>
          <w:b/>
          <w:i w:val="0"/>
          <w:color w:val="1450B4"/>
          <w:sz w:val="52"/>
        </w:rPr>
        <w:t>企业数字化转型规划系统</w:t>
      </w:r>
    </w:p>
    <w:p>
      <w:pPr>
        <w:spacing w:before="80" w:after="80"/>
        <w:jc w:val="center"/>
      </w:pPr>
      <w:r>
        <w:rPr>
          <w:rFonts w:ascii="微软雅黑" w:hAnsi="微软雅黑" w:eastAsia="微软雅黑"/>
          <w:b w:val="0"/>
          <w:i/>
          <w:color w:val="646478"/>
          <w:sz w:val="26"/>
        </w:rPr>
        <w:t>——从诊断到落地，全流程规划一站搞定</w:t>
      </w:r>
    </w:p>
    <w:p>
      <w:pPr>
        <w:spacing w:before="80" w:after="400"/>
        <w:jc w:val="center"/>
      </w:pPr>
      <w:r>
        <w:rPr>
          <w:rFonts w:ascii="微软雅黑" w:hAnsi="微软雅黑" w:eastAsia="微软雅黑"/>
          <w:b w:val="0"/>
          <w:i w:val="0"/>
          <w:color w:val="9696B4"/>
          <w:sz w:val="20"/>
        </w:rPr>
        <w:t># 数字化转型  # 企业规划  # SaaS工具  # 管理咨询</w:t>
      </w:r>
    </w:p>
    <w:p>
      <w:pPr>
        <w:spacing w:before="60" w:after="60"/>
        <w:jc w:val="left"/>
        <w:rPr>
          <w:rFonts w:ascii="微软雅黑" w:hAnsi="微软雅黑" w:eastAsia="微软雅黑"/>
          <w:b w:val="0"/>
          <w:i w:val="0"/>
          <w:color w:val="323232"/>
          <w:sz w:val="22"/>
        </w:rPr>
      </w:pPr>
    </w:p>
    <w:p>
      <w:pPr>
        <w:spacing w:before="60" w:after="60"/>
        <w:jc w:val="left"/>
        <w:rPr>
          <w:rFonts w:ascii="微软雅黑" w:hAnsi="微软雅黑" w:eastAsia="微软雅黑"/>
          <w:b w:val="0"/>
          <w:i w:val="0"/>
          <w:color w:val="323232"/>
          <w:sz w:val="22"/>
        </w:rPr>
      </w:pPr>
    </w:p>
    <w:p>
      <w:pPr>
        <w:spacing w:before="60" w:after="60"/>
        <w:jc w:val="left"/>
      </w:pPr>
      <w:bookmarkStart w:id="0" w:name="_GoBack"/>
      <w:bookmarkEnd w:id="0"/>
      <w:r>
        <w:rPr>
          <w:rFonts w:ascii="微软雅黑" w:hAnsi="微软雅黑" w:eastAsia="微软雅黑"/>
          <w:b w:val="0"/>
          <w:i w:val="0"/>
          <w:color w:val="323232"/>
          <w:sz w:val="22"/>
        </w:rPr>
        <w:t>企业数字化转型，这个词大家已经喊了十</w:t>
      </w:r>
      <w:r>
        <w:rPr>
          <w:rFonts w:hint="eastAsia" w:ascii="微软雅黑" w:hAnsi="微软雅黑" w:eastAsia="微软雅黑"/>
          <w:b w:val="0"/>
          <w:i w:val="0"/>
          <w:color w:val="323232"/>
          <w:sz w:val="22"/>
          <w:lang w:val="en-US" w:eastAsia="zh-CN"/>
        </w:rPr>
        <w:t>几</w:t>
      </w:r>
      <w:r>
        <w:rPr>
          <w:rFonts w:ascii="微软雅黑" w:hAnsi="微软雅黑" w:eastAsia="微软雅黑"/>
          <w:b w:val="0"/>
          <w:i w:val="0"/>
          <w:color w:val="323232"/>
          <w:sz w:val="22"/>
        </w:rPr>
        <w:t>年，但真正系统性落地的企业屈指可数。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为什么？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不是不想转，是不知道怎么转——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现状在哪里？转型差距有多大？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愿景是什么？目标怎么设？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从哪里切入？先干什么后干什么？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投多少钱？怎么排期？风险怎么管？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每一个问题都是一座山。大多数企业在这些问题里打转，最终转型沦为"口号工程"。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为此，我们开发了这套「企业数字化转型规划系统」，把咨询方法论嵌入工具，让企业管理者和数字化团队能够系统、高效地完成从诊断到落地的全流程规划。</w:t>
      </w:r>
    </w:p>
    <w:p>
      <w:pPr>
        <w:spacing w:before="160" w:after="160"/>
        <w:jc w:val="left"/>
      </w:pPr>
      <w:r>
        <w:rPr>
          <w:rFonts w:ascii="微软雅黑" w:hAnsi="微软雅黑" w:eastAsia="微软雅黑"/>
          <w:b w:val="0"/>
          <w:i w:val="0"/>
          <w:color w:val="C8C8C8"/>
          <w:sz w:val="18"/>
        </w:rPr>
        <w:t>────────────────────────────────────────────</w:t>
      </w:r>
    </w:p>
    <w:p>
      <w:pPr>
        <w:spacing w:before="360" w:after="160"/>
        <w:jc w:val="left"/>
      </w:pPr>
      <w:r>
        <w:rPr>
          <w:rFonts w:ascii="微软雅黑" w:hAnsi="微软雅黑" w:eastAsia="微软雅黑"/>
          <w:b/>
          <w:i w:val="0"/>
          <w:color w:val="1E64C8"/>
          <w:sz w:val="36"/>
        </w:rPr>
        <w:t>系统是什么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这是一套面向企业数字化转型的在线规划平台，支持多人协作、在线使用，覆盖三大核心阶段、二十余个功能模块，帮助企业从零系统性输出一套完整的数字化转型规划方案。</w:t>
      </w:r>
    </w:p>
    <w:p>
      <w:pPr>
        <w:spacing w:before="200" w:after="80"/>
        <w:jc w:val="left"/>
      </w:pPr>
      <w:r>
        <w:rPr>
          <w:rFonts w:ascii="微软雅黑" w:hAnsi="微软雅黑" w:eastAsia="微软雅黑"/>
          <w:b/>
          <w:i w:val="0"/>
          <w:color w:val="1E64C8"/>
          <w:sz w:val="24"/>
        </w:rPr>
        <w:t>三大阶段，环环相扣：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第一阶段：调研诊断 → 搞清楚现状，找准问题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第二阶段：总体规划 → 设计目标，搭建蓝图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第三阶段：实施路径 → 制定计划，排出行动步骤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三个阶段的输出相互衔接，最终形成一份完整的数字化转型规划报告，可直接用于董事会汇报或对外交流。</w:t>
      </w:r>
    </w:p>
    <w:p>
      <w:pPr>
        <w:spacing w:before="160" w:after="160"/>
        <w:jc w:val="left"/>
      </w:pPr>
      <w:r>
        <w:rPr>
          <w:rFonts w:ascii="微软雅黑" w:hAnsi="微软雅黑" w:eastAsia="微软雅黑"/>
          <w:b w:val="0"/>
          <w:i w:val="0"/>
          <w:color w:val="C8C8C8"/>
          <w:sz w:val="18"/>
        </w:rPr>
        <w:t>────────────────────────────────────────────</w:t>
      </w:r>
    </w:p>
    <w:p>
      <w:pPr>
        <w:spacing w:before="360" w:after="160"/>
        <w:jc w:val="left"/>
      </w:pPr>
      <w:r>
        <w:rPr>
          <w:rFonts w:ascii="微软雅黑" w:hAnsi="微软雅黑" w:eastAsia="微软雅黑"/>
          <w:b/>
          <w:i w:val="0"/>
          <w:color w:val="1E64C8"/>
          <w:sz w:val="36"/>
        </w:rPr>
        <w:t>第一阶段：调研诊断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数字化转型不能"拍脑袋"，要从摸清家底开始。调研诊断阶段提供了五套专业评估工具：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① 数字化转型成熟度评测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基于行业通用成熟度模型，从五个维度对企业现状打分：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战略与领导力：高层是否有明确的数字化战略意图？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组织与文化：是否具备推动变革的组织能力？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业务流程：核心业务流程数字化程度如何？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数据与技术：数据资产积累与IT基础设施是否到位？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生态协同：供应链、客户端的数字化协同能力？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系统自动汇总评分，生成雷达图与成熟度等级（初始级/发展级/成熟级/领先级），直观呈现企业所处位置。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② 数据管理成熟度评估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专项评估企业的数据治理能力，涵盖数据架构、数据质量、数据安全、数据应用等维度，输出数据能力短板清单，为后续数据架构设计提供依据。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③ 智能制造评估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针对制造业企业，评估生产、质控、设备、供应链等环节的智能化水平，帮助识别智能制造切入点。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④ 访谈挖掘机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内置结构化访谈框架，支持记录和整理各部门访谈内容，系统自动提炼痛点、需求和改进建议，避免信息遗漏。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⑤ ADTO评分工具（对标分析）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导入行业标杆企业数据，系统自动与企业自评数据进行对比，输出差距分析报告，找准努力方向。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阶段输出：诊断分析报告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完成以上评估后，系统自动生成《数字化转型诊断分析报告》，包括：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企业现状总结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成熟度评级与各维度得分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关键问题清单与根因分析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转型机会与优先领域建议</w:t>
      </w:r>
    </w:p>
    <w:p>
      <w:pPr>
        <w:spacing w:before="160" w:after="160"/>
        <w:jc w:val="left"/>
      </w:pPr>
      <w:r>
        <w:rPr>
          <w:rFonts w:ascii="微软雅黑" w:hAnsi="微软雅黑" w:eastAsia="微软雅黑"/>
          <w:b w:val="0"/>
          <w:i w:val="0"/>
          <w:color w:val="C8C8C8"/>
          <w:sz w:val="18"/>
        </w:rPr>
        <w:t>────────────────────────────────────────────</w:t>
      </w:r>
    </w:p>
    <w:p>
      <w:pPr>
        <w:spacing w:before="360" w:after="160"/>
        <w:jc w:val="left"/>
      </w:pPr>
      <w:r>
        <w:rPr>
          <w:rFonts w:ascii="微软雅黑" w:hAnsi="微软雅黑" w:eastAsia="微软雅黑"/>
          <w:b/>
          <w:i w:val="0"/>
          <w:color w:val="1E64C8"/>
          <w:sz w:val="36"/>
        </w:rPr>
        <w:t>第二阶段：总体规划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在清晰的现状诊断基础上，总体规划阶段帮助企业构建系统性的转型蓝图，覆盖战略到架构的全层次设计。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① 转型愿景设计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引导管理层提炼数字化转型愿景，明确2～5年内的转型定位与核心价值主张。工具提供愿景框架模板，支持团队共创和在线讨论。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② 战略目标制定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基于愿景，分解具体战略目标，支持OKR/BSC等多种目标管理框架，输出量化的转型指标体系，确保目标可衡量、可追踪。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 xml:space="preserve">▌ ③ </w:t>
      </w:r>
      <w:r>
        <w:rPr>
          <w:rFonts w:hint="eastAsia" w:ascii="微软雅黑" w:hAnsi="微软雅黑" w:eastAsia="微软雅黑"/>
          <w:b/>
          <w:i w:val="0"/>
          <w:color w:val="1E64C8"/>
          <w:sz w:val="28"/>
          <w:lang w:val="en-US" w:eastAsia="zh-CN"/>
        </w:rPr>
        <w:t>六</w:t>
      </w:r>
      <w:r>
        <w:rPr>
          <w:rFonts w:ascii="微软雅黑" w:hAnsi="微软雅黑" w:eastAsia="微软雅黑"/>
          <w:b/>
          <w:i w:val="0"/>
          <w:color w:val="1E64C8"/>
          <w:sz w:val="28"/>
        </w:rPr>
        <w:t>大架构设计（企业架构全视图）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系统采用TOGAF企业架构方法论，从</w:t>
      </w:r>
      <w:r>
        <w:rPr>
          <w:rFonts w:hint="eastAsia" w:ascii="微软雅黑" w:hAnsi="微软雅黑" w:eastAsia="微软雅黑"/>
          <w:b w:val="0"/>
          <w:i w:val="0"/>
          <w:color w:val="323232"/>
          <w:sz w:val="22"/>
          <w:lang w:val="en-US" w:eastAsia="zh-CN"/>
        </w:rPr>
        <w:t>六</w:t>
      </w:r>
      <w:r>
        <w:rPr>
          <w:rFonts w:ascii="微软雅黑" w:hAnsi="微软雅黑" w:eastAsia="微软雅黑"/>
          <w:b w:val="0"/>
          <w:i w:val="0"/>
          <w:color w:val="323232"/>
          <w:sz w:val="22"/>
        </w:rPr>
        <w:t>个层面设计转型蓝图：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业务架构设计：梳理核心业务流程，设计目标业务模型，识别业务能力差距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数据架构设计：规划数据资产体系，设计主数据、数据中台、数据湖方案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应用架构设计：绘制应用全景地图，规划核心系统建设与整合路径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技术架构设计：选择技术路线，设计云原生、微服务、中台等技术平台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安全架构设计：构建数字安全防护体系，覆盖网络、数据、应用安全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治理架构设计：建立数字化治理机制，包括组织架构、职责分工、流程规范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每个架构模块均提供专业设计工具和模板，支持图形化编辑，输出符合业务要求的架构设计文档。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阶段输出：总体规划报告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汇总以上内容，自动生成《数字化转型总体规划报告》，包含愿景、目标、架构全图、建设重点，可直接用于高层汇报。</w:t>
      </w:r>
    </w:p>
    <w:p>
      <w:pPr>
        <w:spacing w:before="160" w:after="160"/>
        <w:jc w:val="left"/>
      </w:pPr>
      <w:r>
        <w:rPr>
          <w:rFonts w:ascii="微软雅黑" w:hAnsi="微软雅黑" w:eastAsia="微软雅黑"/>
          <w:b w:val="0"/>
          <w:i w:val="0"/>
          <w:color w:val="C8C8C8"/>
          <w:sz w:val="18"/>
        </w:rPr>
        <w:t>────────────────────────────────────────────</w:t>
      </w:r>
    </w:p>
    <w:p>
      <w:pPr>
        <w:spacing w:before="360" w:after="160"/>
        <w:jc w:val="left"/>
      </w:pPr>
      <w:r>
        <w:rPr>
          <w:rFonts w:ascii="微软雅黑" w:hAnsi="微软雅黑" w:eastAsia="微软雅黑"/>
          <w:b/>
          <w:i w:val="0"/>
          <w:color w:val="1E64C8"/>
          <w:sz w:val="36"/>
        </w:rPr>
        <w:t>第三阶段：实施路径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有了规划蓝图，还需要一张清晰的行动地图。实施路径阶段将战略意图转化为可执行的项目计划。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① 项目优先级矩阵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对所有待建项目进行价值 × 可行性二维评估，自动生成优先级矩阵，帮助决策层快速判断"先做什么、后做什么"，避免资源浪费。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② 实施进度安排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支持按年度、季度制定分阶段实施计划，提供甘特图视图，清晰展现项目时间线、里程碑节点和依赖关系。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③ 系统功能模块规划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对各核心系统进行功能模块拆解，明确每个系统的建设范围、功能清单和交付标准，为招标或内部立项提供依据。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④ 系统集成关系图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梳理各系统之间的数据流和集成关系，输出系统集成架构图，避免"烟囱式"建设，确保数据互通。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⑤ 投资费用估算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按项目维度估算建设投入，涵盖软件、硬件、实施服务、培训等费用类别，自动汇总三年总投资，支持分阶段预算规划。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阶段输出：实施路径报告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输出《数字化转型实施路径报告》，包含：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分阶段实施计划（一年、三年、五年）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项目优先级排序与理由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里程碑与关键交付物清单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三年投资计划与ROI预测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风险清单与管控措施</w:t>
      </w:r>
    </w:p>
    <w:p>
      <w:pPr>
        <w:spacing w:before="160" w:after="160"/>
        <w:jc w:val="left"/>
      </w:pPr>
      <w:r>
        <w:rPr>
          <w:rFonts w:ascii="微软雅黑" w:hAnsi="微软雅黑" w:eastAsia="微软雅黑"/>
          <w:b w:val="0"/>
          <w:i w:val="0"/>
          <w:color w:val="C8C8C8"/>
          <w:sz w:val="18"/>
        </w:rPr>
        <w:t>────────────────────────────────────────────</w:t>
      </w:r>
    </w:p>
    <w:p>
      <w:pPr>
        <w:spacing w:before="360" w:after="160"/>
        <w:jc w:val="left"/>
      </w:pPr>
      <w:r>
        <w:rPr>
          <w:rFonts w:ascii="微软雅黑" w:hAnsi="微软雅黑" w:eastAsia="微软雅黑"/>
          <w:b/>
          <w:i w:val="0"/>
          <w:color w:val="1E64C8"/>
          <w:sz w:val="36"/>
        </w:rPr>
        <w:t>系统亮点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方法论内嵌，不需要咨询顾问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系统将TOGAF、数字化成熟度模型、ADTO等业界主流方法论内置为工具，使用者无需具备深厚咨询背景，按步骤操作即可输出专业成果。</w:t>
      </w:r>
    </w:p>
    <w:p>
      <w:pPr>
        <w:spacing w:before="280" w:after="120"/>
        <w:jc w:val="left"/>
      </w:pPr>
      <w:r>
        <w:rPr>
          <w:rFonts w:ascii="微软雅黑" w:hAnsi="微软雅黑" w:eastAsia="微软雅黑"/>
          <w:b/>
          <w:i w:val="0"/>
          <w:color w:val="1E64C8"/>
          <w:sz w:val="28"/>
        </w:rPr>
        <w:t>▌ 三阶段闭环，输出即成果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从诊断到规划到实施，三个阶段数据互通，上一阶段的输出自动作为下一阶段的输入，全程无需手动整理，最终一键生成完整报告包。</w:t>
      </w:r>
    </w:p>
    <w:p>
      <w:pPr>
        <w:spacing w:before="160" w:after="160"/>
        <w:jc w:val="left"/>
      </w:pPr>
      <w:r>
        <w:rPr>
          <w:rFonts w:ascii="微软雅黑" w:hAnsi="微软雅黑" w:eastAsia="微软雅黑"/>
          <w:b w:val="0"/>
          <w:i w:val="0"/>
          <w:color w:val="C8C8C8"/>
          <w:sz w:val="18"/>
        </w:rPr>
        <w:t>────────────────────────────────────────────</w:t>
      </w:r>
    </w:p>
    <w:p>
      <w:pPr>
        <w:spacing w:before="360" w:after="160"/>
        <w:jc w:val="left"/>
      </w:pPr>
      <w:r>
        <w:rPr>
          <w:rFonts w:ascii="微软雅黑" w:hAnsi="微软雅黑" w:eastAsia="微软雅黑"/>
          <w:b/>
          <w:i w:val="0"/>
          <w:color w:val="1E64C8"/>
          <w:sz w:val="36"/>
        </w:rPr>
        <w:t>怎么用？五步走</w:t>
      </w:r>
    </w:p>
    <w:p>
      <w:pPr>
        <w:spacing w:before="120" w:after="60"/>
        <w:jc w:val="left"/>
      </w:pPr>
      <w:r>
        <w:rPr>
          <w:rFonts w:ascii="微软雅黑" w:hAnsi="微软雅黑" w:eastAsia="微软雅黑"/>
          <w:b/>
          <w:i w:val="0"/>
          <w:color w:val="FFFFFF"/>
          <w:sz w:val="24"/>
        </w:rPr>
        <w:t xml:space="preserve">STEP 01  </w:t>
      </w:r>
      <w:r>
        <w:rPr>
          <w:rFonts w:ascii="微软雅黑" w:hAnsi="微软雅黑" w:eastAsia="微软雅黑"/>
          <w:b/>
          <w:i w:val="0"/>
          <w:color w:val="1E64C8"/>
          <w:sz w:val="24"/>
        </w:rPr>
        <w:t>注册并登录系统</w:t>
      </w:r>
    </w:p>
    <w:p>
      <w:pPr>
        <w:spacing w:before="40" w:after="120"/>
        <w:ind w:left="454"/>
        <w:jc w:val="left"/>
      </w:pPr>
      <w:r>
        <w:rPr>
          <w:rFonts w:ascii="微软雅黑" w:hAnsi="微软雅黑" w:eastAsia="微软雅黑"/>
          <w:b w:val="0"/>
          <w:i w:val="0"/>
          <w:color w:val="505050"/>
          <w:sz w:val="22"/>
        </w:rPr>
        <w:t>企业管理员注册账号，提交审批后由超级管理员激活；也可直接申请开通演示账号体验功能。</w:t>
      </w:r>
    </w:p>
    <w:p>
      <w:pPr>
        <w:spacing w:before="120" w:after="60"/>
        <w:jc w:val="left"/>
      </w:pPr>
      <w:r>
        <w:rPr>
          <w:rFonts w:ascii="微软雅黑" w:hAnsi="微软雅黑" w:eastAsia="微软雅黑"/>
          <w:b/>
          <w:i w:val="0"/>
          <w:color w:val="FFFFFF"/>
          <w:sz w:val="24"/>
        </w:rPr>
        <w:t xml:space="preserve">STEP 02  </w:t>
      </w:r>
      <w:r>
        <w:rPr>
          <w:rFonts w:ascii="微软雅黑" w:hAnsi="微软雅黑" w:eastAsia="微软雅黑"/>
          <w:b/>
          <w:i w:val="0"/>
          <w:color w:val="1E64C8"/>
          <w:sz w:val="24"/>
        </w:rPr>
        <w:t>启动调研诊断</w:t>
      </w:r>
    </w:p>
    <w:p>
      <w:pPr>
        <w:spacing w:before="40" w:after="120"/>
        <w:ind w:left="454"/>
        <w:jc w:val="left"/>
      </w:pPr>
      <w:r>
        <w:rPr>
          <w:rFonts w:ascii="微软雅黑" w:hAnsi="微软雅黑" w:eastAsia="微软雅黑"/>
          <w:b w:val="0"/>
          <w:i w:val="0"/>
          <w:color w:val="505050"/>
          <w:sz w:val="22"/>
        </w:rPr>
        <w:t>进入「调研诊断」模块，填写成熟度评估问卷，上传企业资料，完成访谈记录，生成诊断报告。</w:t>
      </w:r>
    </w:p>
    <w:p>
      <w:pPr>
        <w:spacing w:before="120" w:after="60"/>
        <w:jc w:val="left"/>
      </w:pPr>
      <w:r>
        <w:rPr>
          <w:rFonts w:ascii="微软雅黑" w:hAnsi="微软雅黑" w:eastAsia="微软雅黑"/>
          <w:b/>
          <w:i w:val="0"/>
          <w:color w:val="FFFFFF"/>
          <w:sz w:val="24"/>
        </w:rPr>
        <w:t xml:space="preserve">STEP 03  </w:t>
      </w:r>
      <w:r>
        <w:rPr>
          <w:rFonts w:ascii="微软雅黑" w:hAnsi="微软雅黑" w:eastAsia="微软雅黑"/>
          <w:b/>
          <w:i w:val="0"/>
          <w:color w:val="1E64C8"/>
          <w:sz w:val="24"/>
        </w:rPr>
        <w:t>开展总体规划</w:t>
      </w:r>
    </w:p>
    <w:p>
      <w:pPr>
        <w:spacing w:before="40" w:after="120"/>
        <w:ind w:left="454"/>
        <w:jc w:val="left"/>
      </w:pPr>
      <w:r>
        <w:rPr>
          <w:rFonts w:ascii="微软雅黑" w:hAnsi="微软雅黑" w:eastAsia="微软雅黑"/>
          <w:b w:val="0"/>
          <w:i w:val="0"/>
          <w:color w:val="505050"/>
          <w:sz w:val="22"/>
        </w:rPr>
        <w:t>基于诊断结论，进入「总体规划」模块，依次完成愿景、战略目标、七大架构设计，生成规划报告。</w:t>
      </w:r>
    </w:p>
    <w:p>
      <w:pPr>
        <w:spacing w:before="120" w:after="60"/>
        <w:jc w:val="left"/>
      </w:pPr>
      <w:r>
        <w:rPr>
          <w:rFonts w:ascii="微软雅黑" w:hAnsi="微软雅黑" w:eastAsia="微软雅黑"/>
          <w:b/>
          <w:i w:val="0"/>
          <w:color w:val="FFFFFF"/>
          <w:sz w:val="24"/>
        </w:rPr>
        <w:t xml:space="preserve">STEP 04  </w:t>
      </w:r>
      <w:r>
        <w:rPr>
          <w:rFonts w:ascii="微软雅黑" w:hAnsi="微软雅黑" w:eastAsia="微软雅黑"/>
          <w:b/>
          <w:i w:val="0"/>
          <w:color w:val="1E64C8"/>
          <w:sz w:val="24"/>
        </w:rPr>
        <w:t>制定实施路径</w:t>
      </w:r>
    </w:p>
    <w:p>
      <w:pPr>
        <w:spacing w:before="40" w:after="120"/>
        <w:ind w:left="454"/>
        <w:jc w:val="left"/>
      </w:pPr>
      <w:r>
        <w:rPr>
          <w:rFonts w:ascii="微软雅黑" w:hAnsi="微软雅黑" w:eastAsia="微软雅黑"/>
          <w:b w:val="0"/>
          <w:i w:val="0"/>
          <w:color w:val="505050"/>
          <w:sz w:val="22"/>
        </w:rPr>
        <w:t>进入「实施路径」模块，对规划项目进行优先级排序，制定分阶段计划，估算投资，生成实施报告。</w:t>
      </w:r>
    </w:p>
    <w:p>
      <w:pPr>
        <w:spacing w:before="120" w:after="60"/>
        <w:jc w:val="left"/>
      </w:pPr>
      <w:r>
        <w:rPr>
          <w:rFonts w:ascii="微软雅黑" w:hAnsi="微软雅黑" w:eastAsia="微软雅黑"/>
          <w:b/>
          <w:i w:val="0"/>
          <w:color w:val="FFFFFF"/>
          <w:sz w:val="24"/>
        </w:rPr>
        <w:t xml:space="preserve">STEP 05  </w:t>
      </w:r>
      <w:r>
        <w:rPr>
          <w:rFonts w:ascii="微软雅黑" w:hAnsi="微软雅黑" w:eastAsia="微软雅黑"/>
          <w:b/>
          <w:i w:val="0"/>
          <w:color w:val="1E64C8"/>
          <w:sz w:val="24"/>
        </w:rPr>
        <w:t>导出完整方案</w:t>
      </w:r>
    </w:p>
    <w:p>
      <w:pPr>
        <w:spacing w:before="40" w:after="120"/>
        <w:ind w:left="454"/>
        <w:jc w:val="left"/>
      </w:pPr>
      <w:r>
        <w:rPr>
          <w:rFonts w:ascii="微软雅黑" w:hAnsi="微软雅黑" w:eastAsia="微软雅黑"/>
          <w:b w:val="0"/>
          <w:i w:val="0"/>
          <w:color w:val="505050"/>
          <w:sz w:val="22"/>
        </w:rPr>
        <w:t>系统整合三阶段成果，一键导出完整版数字化转型规划方案，支持Word/PPT/Excel多种格式。</w:t>
      </w:r>
    </w:p>
    <w:p>
      <w:pPr>
        <w:spacing w:before="160" w:after="160"/>
        <w:jc w:val="left"/>
      </w:pPr>
      <w:r>
        <w:rPr>
          <w:rFonts w:ascii="微软雅黑" w:hAnsi="微软雅黑" w:eastAsia="微软雅黑"/>
          <w:b w:val="0"/>
          <w:i w:val="0"/>
          <w:color w:val="C8C8C8"/>
          <w:sz w:val="18"/>
        </w:rPr>
        <w:t>────────────────────────────────────────────</w:t>
      </w:r>
    </w:p>
    <w:p>
      <w:pPr>
        <w:spacing w:before="360" w:after="160"/>
        <w:jc w:val="left"/>
      </w:pPr>
      <w:r>
        <w:rPr>
          <w:rFonts w:ascii="微软雅黑" w:hAnsi="微软雅黑" w:eastAsia="微软雅黑"/>
          <w:b/>
          <w:i w:val="0"/>
          <w:color w:val="1E64C8"/>
          <w:sz w:val="36"/>
        </w:rPr>
        <w:t>适合谁用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制造业、零售业、金融业等传统企业的数字化部门负责人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企业CIO/CDO/信息化总监，需要向董事会呈报数字化规划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管理咨询顾问，需要高效交付数字化转型咨询报告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政府和国有企业，推进数字化转型顶层设计</w:t>
      </w:r>
    </w:p>
    <w:p>
      <w:pPr>
        <w:spacing w:before="60" w:after="60"/>
        <w:ind w:left="283"/>
        <w:jc w:val="left"/>
      </w:pPr>
      <w:r>
        <w:rPr>
          <w:rFonts w:ascii="微软雅黑" w:hAnsi="微软雅黑" w:eastAsia="微软雅黑"/>
          <w:b w:val="0"/>
          <w:i w:val="0"/>
          <w:color w:val="3C3C3C"/>
          <w:sz w:val="22"/>
        </w:rPr>
        <w:t xml:space="preserve">  · 高校、研究机构，开展数字化转型课题研究</w:t>
      </w:r>
    </w:p>
    <w:p>
      <w:pPr>
        <w:spacing w:before="160" w:after="160"/>
        <w:jc w:val="left"/>
      </w:pPr>
      <w:r>
        <w:rPr>
          <w:rFonts w:ascii="微软雅黑" w:hAnsi="微软雅黑" w:eastAsia="微软雅黑"/>
          <w:b w:val="0"/>
          <w:i w:val="0"/>
          <w:color w:val="C8C8C8"/>
          <w:sz w:val="18"/>
        </w:rPr>
        <w:t>────────────────────────────────────────────</w:t>
      </w:r>
    </w:p>
    <w:p>
      <w:pPr>
        <w:spacing w:before="360" w:after="160"/>
        <w:jc w:val="left"/>
      </w:pPr>
      <w:r>
        <w:rPr>
          <w:rFonts w:ascii="微软雅黑" w:hAnsi="微软雅黑" w:eastAsia="微软雅黑"/>
          <w:b/>
          <w:i w:val="0"/>
          <w:color w:val="1E64C8"/>
          <w:sz w:val="36"/>
        </w:rPr>
        <w:t>写在最后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数字化转型不是一次性项目，而是一场持续演进的旅程。这套系统的价值，不仅在于帮你输出一份规划报告，更在于帮助团队建立共同的语言体系和方法论框架，让每一个参与者都能在同一张地图上前行。</w:t>
      </w:r>
    </w:p>
    <w:p>
      <w:pPr>
        <w:spacing w:before="60" w:after="60"/>
        <w:jc w:val="left"/>
      </w:pPr>
      <w:r>
        <w:rPr>
          <w:rFonts w:ascii="微软雅黑" w:hAnsi="微软雅黑" w:eastAsia="微软雅黑"/>
          <w:b w:val="0"/>
          <w:i w:val="0"/>
          <w:color w:val="323232"/>
          <w:sz w:val="22"/>
        </w:rPr>
        <w:t>企业数字化转型，需要的不是更多的会议和PPT，而是一套真正能落地的方法和工具。</w:t>
      </w:r>
    </w:p>
    <w:p>
      <w:pPr>
        <w:spacing w:before="320" w:after="160"/>
        <w:jc w:val="center"/>
      </w:pPr>
      <w:r>
        <w:rPr>
          <w:rFonts w:ascii="微软雅黑" w:hAnsi="微软雅黑" w:eastAsia="微软雅黑"/>
          <w:b w:val="0"/>
          <w:i/>
          <w:color w:val="6482C8"/>
          <w:sz w:val="24"/>
        </w:rPr>
        <w:t>—— 欢迎</w:t>
      </w:r>
      <w:r>
        <w:rPr>
          <w:rFonts w:hint="eastAsia" w:ascii="微软雅黑" w:hAnsi="微软雅黑" w:eastAsia="微软雅黑"/>
          <w:b w:val="0"/>
          <w:i/>
          <w:color w:val="6482C8"/>
          <w:sz w:val="24"/>
          <w:lang w:val="en-US" w:eastAsia="zh-CN"/>
        </w:rPr>
        <w:t>注册</w:t>
      </w:r>
      <w:r>
        <w:rPr>
          <w:rFonts w:ascii="微软雅黑" w:hAnsi="微软雅黑" w:eastAsia="微软雅黑"/>
          <w:b w:val="0"/>
          <w:i/>
          <w:color w:val="6482C8"/>
          <w:sz w:val="24"/>
        </w:rPr>
        <w:t>申请</w:t>
      </w:r>
      <w:r>
        <w:rPr>
          <w:rFonts w:hint="eastAsia" w:ascii="微软雅黑" w:hAnsi="微软雅黑" w:eastAsia="微软雅黑"/>
          <w:b w:val="0"/>
          <w:i/>
          <w:color w:val="6482C8"/>
          <w:sz w:val="24"/>
          <w:lang w:val="en-US" w:eastAsia="zh-CN"/>
        </w:rPr>
        <w:t>使用</w:t>
      </w:r>
      <w:r>
        <w:rPr>
          <w:rFonts w:ascii="微软雅黑" w:hAnsi="微软雅黑" w:eastAsia="微软雅黑"/>
          <w:b w:val="0"/>
          <w:i/>
          <w:color w:val="6482C8"/>
          <w:sz w:val="24"/>
        </w:rPr>
        <w:t>账号，开启你的数字化规划之旅 ——</w:t>
      </w:r>
    </w:p>
    <w:p>
      <w:pPr>
        <w:spacing w:before="160" w:after="160"/>
        <w:jc w:val="left"/>
      </w:pPr>
      <w:r>
        <w:rPr>
          <w:rFonts w:ascii="微软雅黑" w:hAnsi="微软雅黑" w:eastAsia="微软雅黑"/>
          <w:b w:val="0"/>
          <w:i w:val="0"/>
          <w:color w:val="C8C8C8"/>
          <w:sz w:val="18"/>
        </w:rPr>
        <w:t>────────────────────────────────────────────</w:t>
      </w:r>
    </w:p>
    <w:p>
      <w:pPr>
        <w:spacing w:before="80" w:after="80"/>
        <w:jc w:val="both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备注：目前系统尚处于初版发布阶段V0.1，可能存在一些使用问题。欢迎各位朋友注册使用，并给出反馈意见，帮助系统做更好的升级迭代，也能给企业提供切实的帮助。首批试用者开放20个免费账号，以后系统完善后会开启收费模式。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uzanBrushFontSousyo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uzanBrushFontSousyo">
    <w:panose1 w:val="02000600000000000000"/>
    <w:charset w:val="80"/>
    <w:family w:val="auto"/>
    <w:pitch w:val="default"/>
    <w:sig w:usb0="A00002BF" w:usb1="68C7FCFB" w:usb2="00000010" w:usb3="00000000" w:csb0="4002009F" w:csb1="DFD7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Exodar-Outlin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xodar-Outline">
    <w:panose1 w:val="02000500000000000000"/>
    <w:charset w:val="00"/>
    <w:family w:val="auto"/>
    <w:pitch w:val="default"/>
    <w:sig w:usb0="00000003" w:usb1="10000000" w:usb2="00000000" w:usb3="00000000" w:csb0="2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6370542"/>
    <w:rsid w:val="08551008"/>
    <w:rsid w:val="155F5282"/>
    <w:rsid w:val="19423C4E"/>
    <w:rsid w:val="244B62F6"/>
    <w:rsid w:val="2CE41C36"/>
    <w:rsid w:val="35EA4E44"/>
    <w:rsid w:val="4AC27CB3"/>
    <w:rsid w:val="5B833730"/>
    <w:rsid w:val="6844471E"/>
    <w:rsid w:val="6EE96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Office_11.8.2.11813_F1E327BC-269C-435d-A152-05C5408002CA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aaronlee</cp:lastModifiedBy>
  <dcterms:modified xsi:type="dcterms:W3CDTF">2026-04-07T03:34:31Z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2052-11.8.2.11813</vt:lpwstr>
  </property>
  <property fmtid="{D5CDD505-2E9C-101B-9397-08002B2CF9AE}" pid="3" name="ICV">
    <vt:lpwstr>4F183E234B584DFAA134E2277E2E1410</vt:lpwstr>
  </property>
</Properties>
</file>