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hanging="0" w:left="284"/>
        <w:jc w:val="center"/>
        <w:outlineLvl w:val="0"/>
        <w:rPr>
          <w:rFonts w:ascii="Gill Sans" w:hAnsi="Gill Sans" w:cs="Arial"/>
          <w:sz w:val="32"/>
          <w:szCs w:val="32"/>
          <w:lang w:val="en-US"/>
        </w:rPr>
      </w:pPr>
      <w:r>
        <w:rPr>
          <w:rFonts w:cs="Arial" w:ascii="Gill Sans" w:hAnsi="Gill Sans"/>
          <w:sz w:val="32"/>
          <w:szCs w:val="32"/>
          <w:lang w:val="en-US"/>
        </w:rPr>
        <w:t xml:space="preserve">KURSPLANSUNDERLAG COURSE SYLLABUS </w:t>
      </w:r>
    </w:p>
    <w:p>
      <w:pPr>
        <w:pStyle w:val="Normal"/>
        <w:numPr>
          <w:ilvl w:val="0"/>
          <w:numId w:val="0"/>
        </w:numPr>
        <w:spacing w:lineRule="auto" w:line="276"/>
        <w:ind w:hanging="0" w:left="284"/>
        <w:jc w:val="center"/>
        <w:outlineLvl w:val="0"/>
        <w:rPr>
          <w:rFonts w:ascii="Gill Sans" w:hAnsi="Gill Sans" w:cs="Arial"/>
          <w:sz w:val="28"/>
          <w:szCs w:val="28"/>
          <w:lang w:val="en-US"/>
        </w:rPr>
      </w:pPr>
      <w:r>
        <w:rPr>
          <w:rFonts w:cs="Arial" w:ascii="Gill Sans" w:hAnsi="Gill Sans"/>
          <w:sz w:val="28"/>
          <w:szCs w:val="28"/>
          <w:lang w:val="en-US"/>
        </w:rPr>
        <w:t>Grundläggande Mjukvaruutveckling</w:t>
      </w:r>
    </w:p>
    <w:p>
      <w:pPr>
        <w:pStyle w:val="Normal"/>
        <w:numPr>
          <w:ilvl w:val="0"/>
          <w:numId w:val="0"/>
        </w:numPr>
        <w:spacing w:lineRule="auto" w:line="276"/>
        <w:ind w:hanging="0" w:left="284"/>
        <w:jc w:val="center"/>
        <w:outlineLvl w:val="0"/>
        <w:rPr>
          <w:rFonts w:ascii="Gill Sans" w:hAnsi="Gill Sans" w:cs="Arial"/>
          <w:lang w:val="en-US"/>
        </w:rPr>
      </w:pPr>
      <w:r>
        <w:rPr>
          <w:rFonts w:cs="Arial" w:ascii="Gill Sans" w:hAnsi="Gill Sans"/>
          <w:lang w:val="en-US"/>
        </w:rPr>
        <w:t>Basic Software Engineering</w:t>
      </w:r>
    </w:p>
    <w:p>
      <w:pPr>
        <w:pStyle w:val="Normal"/>
        <w:numPr>
          <w:ilvl w:val="0"/>
          <w:numId w:val="0"/>
        </w:numPr>
        <w:pBdr>
          <w:bottom w:val="single" w:sz="4" w:space="1" w:color="000000"/>
        </w:pBdr>
        <w:spacing w:lineRule="auto" w:line="276"/>
        <w:ind w:hanging="0" w:left="284"/>
        <w:jc w:val="center"/>
        <w:outlineLvl w:val="0"/>
        <w:rPr>
          <w:rFonts w:ascii="Gill Sans" w:hAnsi="Gill Sans" w:cs="Arial"/>
          <w:lang w:val="en-US"/>
        </w:rPr>
      </w:pPr>
      <w:r>
        <w:rPr>
          <w:rFonts w:cs="Arial" w:ascii="Gill Sans" w:hAnsi="Gill Sans"/>
          <w:lang w:val="en-US"/>
        </w:rPr>
        <w:t>7.5 credits (7.5 högskolepoäng)</w:t>
      </w:r>
    </w:p>
    <w:p>
      <w:pPr>
        <w:pStyle w:val="Normal"/>
        <w:ind w:hanging="0" w:left="284"/>
        <w:rPr>
          <w:rFonts w:ascii="Arial" w:hAnsi="Arial" w:cs="Arial"/>
          <w:sz w:val="16"/>
          <w:szCs w:val="16"/>
          <w:lang w:val="en-US"/>
        </w:rPr>
      </w:pPr>
      <w:r>
        <w:rPr>
          <w:rFonts w:cs="Arial" w:ascii="Arial" w:hAnsi="Arial"/>
          <w:sz w:val="16"/>
          <w:szCs w:val="16"/>
          <w:lang w:val="en-U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Course code:</w:t>
      </w:r>
      <w:r>
        <w:rPr>
          <w:rFonts w:ascii="Gill Sans MT" w:hAnsi="Gill Sans MT"/>
          <w:sz w:val="18"/>
          <w:szCs w:val="18"/>
          <w:lang w:val="en-US"/>
        </w:rPr>
        <w:t xml:space="preserve"> </w:t>
      </w:r>
      <w:r>
        <w:rPr>
          <w:rFonts w:ascii="Gill Sans MT" w:hAnsi="Gill Sans MT"/>
          <w:b/>
          <w:color w:val="0070C0"/>
          <w:sz w:val="18"/>
          <w:szCs w:val="18"/>
          <w:lang w:val="en-US"/>
        </w:rPr>
        <w:t>PA1489</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Main field of study:</w:t>
        <w:br/>
        <w:t>Disciplinary domain:</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Education level:</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Specialization:</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 xml:space="preserve">Language of instruction: </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Applies from:</w:t>
      </w:r>
      <w:r>
        <w:rPr>
          <w:rFonts w:ascii="Gill Sans MT" w:hAnsi="Gill Sans MT"/>
          <w:sz w:val="18"/>
          <w:szCs w:val="18"/>
          <w:lang w:val="en-US"/>
        </w:rPr>
        <w:t xml:space="preserve"> </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Approved:</w:t>
      </w:r>
      <w:r>
        <w:rPr>
          <w:rFonts w:ascii="Gill Sans MT" w:hAnsi="Gill Sans MT"/>
          <w:sz w:val="18"/>
          <w:szCs w:val="18"/>
          <w:lang w:val="en-US"/>
        </w:rPr>
        <w:t xml:space="preserve"> </w:t>
      </w:r>
    </w:p>
    <w:p>
      <w:pPr>
        <w:pStyle w:val="Normal"/>
        <w:numPr>
          <w:ilvl w:val="0"/>
          <w:numId w:val="0"/>
        </w:numPr>
        <w:ind w:hanging="0" w:left="284"/>
        <w:outlineLvl w:val="0"/>
        <w:rPr>
          <w:rFonts w:ascii="Gill Sans MT" w:hAnsi="Gill Sans MT"/>
          <w:b/>
          <w:sz w:val="18"/>
          <w:szCs w:val="18"/>
          <w:lang w:val="en-US"/>
        </w:rPr>
      </w:pPr>
      <w:r>
        <w:rPr>
          <w:rFonts w:ascii="Gill Sans MT" w:hAnsi="Gill Sans MT"/>
          <w:b/>
          <w:sz w:val="18"/>
          <w:szCs w:val="18"/>
          <w:lang w:val="en-US"/>
        </w:rPr>
        <w:t>Discontinued:</w:t>
      </w:r>
    </w:p>
    <w:p>
      <w:pPr>
        <w:pStyle w:val="Normal"/>
        <w:numPr>
          <w:ilvl w:val="0"/>
          <w:numId w:val="0"/>
        </w:numPr>
        <w:ind w:hanging="0" w:left="284"/>
        <w:outlineLvl w:val="0"/>
        <w:rPr>
          <w:rFonts w:ascii="Gill Sans MT" w:hAnsi="Gill Sans MT"/>
          <w:sz w:val="18"/>
          <w:szCs w:val="18"/>
          <w:lang w:val="en-US"/>
        </w:rPr>
      </w:pPr>
      <w:r>
        <w:rPr>
          <w:rFonts w:ascii="Gill Sans MT" w:hAnsi="Gill Sans MT"/>
          <w:sz w:val="18"/>
          <w:szCs w:val="18"/>
          <w:lang w:val="en-US"/>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hanging="0" w:left="284"/>
        <w:outlineLvl w:val="0"/>
        <w:rPr>
          <w:sz w:val="20"/>
          <w:szCs w:val="20"/>
          <w:lang w:val="en-US"/>
        </w:rPr>
      </w:pPr>
      <w:r>
        <w:rPr>
          <w:sz w:val="20"/>
          <w:szCs w:val="20"/>
          <w:lang w:val="en-US"/>
        </w:rPr>
      </w:r>
    </w:p>
    <w:p>
      <w:pPr>
        <w:pStyle w:val="Normal"/>
        <w:numPr>
          <w:ilvl w:val="0"/>
          <w:numId w:val="0"/>
        </w:numPr>
        <w:pBdr>
          <w:top w:val="single" w:sz="4" w:space="1" w:color="000000"/>
        </w:pBdr>
        <w:ind w:hanging="0" w:left="284"/>
        <w:outlineLvl w:val="0"/>
        <w:rPr>
          <w:rFonts w:ascii="Gill Sans MT" w:hAnsi="Gill Sans MT"/>
          <w:sz w:val="20"/>
          <w:szCs w:val="20"/>
          <w:lang w:val="en-US"/>
        </w:rPr>
      </w:pPr>
      <w:r>
        <w:rPr>
          <w:rFonts w:ascii="Gill Sans MT" w:hAnsi="Gill Sans MT"/>
          <w:sz w:val="20"/>
          <w:szCs w:val="20"/>
          <w:highlight w:val="yellow"/>
          <w:lang w:val="en-US"/>
        </w:rPr>
        <w:t xml:space="preserve">Only </w:t>
      </w:r>
      <w:r>
        <w:rPr>
          <w:rFonts w:ascii="Gill Sans MT" w:hAnsi="Gill Sans MT"/>
          <w:color w:val="0070C0"/>
          <w:sz w:val="20"/>
          <w:szCs w:val="20"/>
          <w:highlight w:val="yellow"/>
          <w:lang w:val="en-US"/>
        </w:rPr>
        <w:t xml:space="preserve">xx </w:t>
      </w:r>
      <w:r>
        <w:rPr>
          <w:rFonts w:ascii="Gill Sans MT" w:hAnsi="Gill Sans MT"/>
          <w:sz w:val="20"/>
          <w:szCs w:val="20"/>
          <w:highlight w:val="yellow"/>
          <w:lang w:val="en-US"/>
        </w:rPr>
        <w:t>should be replaced with other text.</w:t>
      </w:r>
    </w:p>
    <w:p>
      <w:pPr>
        <w:pStyle w:val="Normal"/>
        <w:numPr>
          <w:ilvl w:val="0"/>
          <w:numId w:val="0"/>
        </w:numPr>
        <w:pBdr>
          <w:top w:val="single" w:sz="4" w:space="1" w:color="000000"/>
        </w:pBdr>
        <w:ind w:hanging="0" w:left="284"/>
        <w:outlineLvl w:val="0"/>
        <w:rPr>
          <w:sz w:val="20"/>
          <w:szCs w:val="20"/>
          <w:lang w:val="en-US"/>
        </w:rPr>
      </w:pPr>
      <w:r>
        <w:rPr>
          <w:sz w:val="20"/>
          <w:szCs w:val="20"/>
          <w:lang w:val="en-US"/>
        </w:rPr>
      </w:r>
    </w:p>
    <w:p>
      <w:pPr>
        <w:pStyle w:val="Heading1"/>
        <w:numPr>
          <w:ilvl w:val="0"/>
          <w:numId w:val="1"/>
        </w:numPr>
        <w:spacing w:before="0" w:after="120"/>
        <w:ind w:hanging="360" w:left="851"/>
        <w:rPr>
          <w:b/>
          <w:sz w:val="20"/>
          <w:szCs w:val="20"/>
        </w:rPr>
      </w:pPr>
      <w:r>
        <w:rPr>
          <w:b/>
          <w:sz w:val="20"/>
          <w:szCs w:val="20"/>
        </w:rPr>
        <w:t>Decision</w:t>
      </w:r>
    </w:p>
    <w:p>
      <w:pPr>
        <w:pStyle w:val="Heading1"/>
        <w:numPr>
          <w:ilvl w:val="0"/>
          <w:numId w:val="1"/>
        </w:numPr>
        <w:ind w:hanging="360" w:left="851"/>
        <w:rPr>
          <w:b/>
          <w:sz w:val="20"/>
          <w:szCs w:val="20"/>
          <w:lang w:val="en-US"/>
        </w:rPr>
      </w:pPr>
      <w:r>
        <w:rPr>
          <w:b/>
          <w:sz w:val="20"/>
          <w:szCs w:val="20"/>
          <w:lang w:val="en-US"/>
        </w:rPr>
        <w:t>Entry requirements</w:t>
      </w:r>
    </w:p>
    <w:p>
      <w:pPr>
        <w:pStyle w:val="Normal"/>
        <w:ind w:hanging="360" w:left="851"/>
        <w:rPr>
          <w:b w:val="false"/>
          <w:bCs w:val="false"/>
          <w:color w:val="3465A4"/>
        </w:rPr>
      </w:pPr>
      <w:r>
        <w:rPr>
          <w:b w:val="false"/>
          <w:bCs w:val="false"/>
          <w:color w:val="3465A4"/>
          <w:sz w:val="20"/>
          <w:szCs w:val="20"/>
          <w:lang w:val="en-US"/>
        </w:rPr>
        <w:t>Basic eligibility</w:t>
      </w:r>
    </w:p>
    <w:p>
      <w:pPr>
        <w:pStyle w:val="Heading1"/>
        <w:numPr>
          <w:ilvl w:val="0"/>
          <w:numId w:val="1"/>
        </w:numPr>
        <w:ind w:hanging="360" w:left="851"/>
        <w:rPr>
          <w:b/>
          <w:sz w:val="20"/>
          <w:szCs w:val="20"/>
          <w:lang w:val="en-US"/>
        </w:rPr>
      </w:pPr>
      <w:r>
        <w:rPr>
          <w:b/>
          <w:sz w:val="20"/>
          <w:szCs w:val="20"/>
          <w:lang w:val="en-US"/>
        </w:rPr>
        <w:t>Objective and content</w:t>
        <w:br/>
        <w:br/>
        <w:t xml:space="preserve">3.1. </w:t>
        <w:tab/>
        <w:t>Objective</w:t>
      </w:r>
      <w:r>
        <w:rPr>
          <w:b/>
          <w:color w:val="0070C0"/>
          <w:sz w:val="20"/>
          <w:szCs w:val="20"/>
          <w:lang w:val="en-US"/>
        </w:rPr>
        <w:t xml:space="preserve"> xxx</w:t>
      </w:r>
    </w:p>
    <w:p>
      <w:pPr>
        <w:pStyle w:val="Normal"/>
        <w:ind w:hanging="360" w:left="851"/>
        <w:rPr>
          <w:b/>
          <w:sz w:val="20"/>
          <w:szCs w:val="20"/>
          <w:lang w:val="en-US"/>
        </w:rPr>
      </w:pPr>
      <w:r>
        <w:rPr>
          <w:b/>
          <w:color w:val="0070C0"/>
          <w:sz w:val="20"/>
          <w:szCs w:val="20"/>
          <w:lang w:val="en-US"/>
        </w:rPr>
        <w:t xml:space="preserve">Modern software development makes use of several techniques and tools. Software engineers are expected to be able to use different types of development environmetns, test environments, and production environments in order to develop, debug, and deploy a software application. </w:t>
      </w:r>
      <w:r>
        <w:rPr>
          <w:b/>
          <w:color w:val="0070C0"/>
          <w:sz w:val="20"/>
          <w:szCs w:val="20"/>
          <w:lang w:val="en-US"/>
        </w:rPr>
        <w:t>Development in teams introduce additional requiremetns and expectations to be able to share the software as well as deployments within the team, and to be able to create different configurations of the software and deployment for different development situations.</w:t>
      </w:r>
    </w:p>
    <w:p>
      <w:pPr>
        <w:pStyle w:val="Normal"/>
        <w:ind w:hanging="360" w:left="851"/>
        <w:rPr>
          <w:b/>
          <w:sz w:val="20"/>
          <w:szCs w:val="20"/>
          <w:lang w:val="en-US"/>
        </w:rPr>
      </w:pPr>
      <w:r>
        <w:rPr/>
      </w:r>
    </w:p>
    <w:p>
      <w:pPr>
        <w:pStyle w:val="Normal"/>
        <w:ind w:hanging="360" w:left="851"/>
        <w:rPr>
          <w:b/>
          <w:sz w:val="20"/>
          <w:szCs w:val="20"/>
          <w:lang w:val="en-US"/>
        </w:rPr>
      </w:pPr>
      <w:r>
        <w:rPr>
          <w:b/>
          <w:color w:val="0070C0"/>
          <w:sz w:val="20"/>
          <w:szCs w:val="20"/>
          <w:lang w:val="en-US"/>
        </w:rPr>
        <w:t>The intention with this course is to provide a basic understanding of a selection tools and techniques that are used in a modern software development enviroment in order to develop, debug, and deploy a software application. The course also offers a basic introduction to configuration management in order to enable collaboration in development teams.</w:t>
      </w:r>
    </w:p>
    <w:p>
      <w:pPr>
        <w:pStyle w:val="Heading1"/>
        <w:numPr>
          <w:ilvl w:val="0"/>
          <w:numId w:val="0"/>
        </w:numPr>
        <w:ind w:hanging="0" w:left="851"/>
        <w:rPr>
          <w:b/>
          <w:sz w:val="20"/>
          <w:szCs w:val="20"/>
        </w:rPr>
      </w:pPr>
      <w:r>
        <w:rPr>
          <w:b/>
          <w:sz w:val="20"/>
          <w:szCs w:val="20"/>
        </w:rPr>
        <w:t xml:space="preserve">3.2. </w:t>
        <w:tab/>
        <w:t xml:space="preserve">Content </w:t>
      </w:r>
      <w:r>
        <w:rPr>
          <w:b/>
          <w:color w:val="0070C0"/>
          <w:sz w:val="20"/>
          <w:szCs w:val="20"/>
        </w:rPr>
        <w:t>xxx</w:t>
      </w:r>
    </w:p>
    <w:p>
      <w:pPr>
        <w:pStyle w:val="Normal"/>
        <w:numPr>
          <w:ilvl w:val="0"/>
          <w:numId w:val="0"/>
        </w:numPr>
        <w:ind w:hanging="0" w:left="851"/>
        <w:rPr>
          <w:b/>
          <w:sz w:val="20"/>
          <w:szCs w:val="20"/>
        </w:rPr>
      </w:pPr>
      <w:r>
        <w:rPr>
          <w:b/>
          <w:color w:val="0070C0"/>
          <w:sz w:val="20"/>
          <w:szCs w:val="20"/>
        </w:rPr>
        <w:t>The course consist of the following</w:t>
      </w:r>
    </w:p>
    <w:p>
      <w:pPr>
        <w:pStyle w:val="Normal"/>
        <w:numPr>
          <w:ilvl w:val="0"/>
          <w:numId w:val="0"/>
        </w:numPr>
        <w:ind w:hanging="0" w:left="851"/>
        <w:rPr>
          <w:b/>
          <w:sz w:val="20"/>
          <w:szCs w:val="20"/>
        </w:rPr>
      </w:pPr>
      <w:r>
        <w:rPr>
          <w:b/>
          <w:color w:val="0070C0"/>
          <w:sz w:val="20"/>
          <w:szCs w:val="20"/>
        </w:rPr>
        <w:t>* Basic confifuration management</w:t>
      </w:r>
    </w:p>
    <w:p>
      <w:pPr>
        <w:pStyle w:val="Normal"/>
        <w:numPr>
          <w:ilvl w:val="0"/>
          <w:numId w:val="0"/>
        </w:numPr>
        <w:ind w:hanging="0" w:left="851"/>
        <w:rPr>
          <w:b/>
          <w:sz w:val="20"/>
          <w:szCs w:val="20"/>
        </w:rPr>
      </w:pPr>
      <w:r>
        <w:rPr>
          <w:b/>
          <w:color w:val="0070C0"/>
          <w:sz w:val="20"/>
          <w:szCs w:val="20"/>
        </w:rPr>
        <w:t>* Key components in a successful development environment</w:t>
      </w:r>
    </w:p>
    <w:p>
      <w:pPr>
        <w:pStyle w:val="Normal"/>
        <w:numPr>
          <w:ilvl w:val="0"/>
          <w:numId w:val="0"/>
        </w:numPr>
        <w:ind w:hanging="0" w:left="851"/>
        <w:rPr>
          <w:b/>
          <w:sz w:val="20"/>
          <w:szCs w:val="20"/>
        </w:rPr>
      </w:pPr>
      <w:r>
        <w:rPr>
          <w:b/>
          <w:color w:val="0070C0"/>
          <w:sz w:val="20"/>
          <w:szCs w:val="20"/>
        </w:rPr>
        <w:t>* Introduction to interpreted and compiled programming languages and their influence on the development process</w:t>
      </w:r>
    </w:p>
    <w:p>
      <w:pPr>
        <w:pStyle w:val="Normal"/>
        <w:numPr>
          <w:ilvl w:val="0"/>
          <w:numId w:val="0"/>
        </w:numPr>
        <w:ind w:hanging="0" w:left="851"/>
        <w:rPr>
          <w:b/>
          <w:sz w:val="20"/>
          <w:szCs w:val="20"/>
        </w:rPr>
      </w:pPr>
      <w:r>
        <w:rPr>
          <w:b/>
          <w:color w:val="0070C0"/>
          <w:sz w:val="20"/>
          <w:szCs w:val="20"/>
        </w:rPr>
        <w:t>* Program execution, and troubleshooting with a debugger</w:t>
      </w:r>
    </w:p>
    <w:p>
      <w:pPr>
        <w:pStyle w:val="Normal"/>
        <w:numPr>
          <w:ilvl w:val="0"/>
          <w:numId w:val="0"/>
        </w:numPr>
        <w:ind w:hanging="0" w:left="851"/>
        <w:rPr>
          <w:b/>
          <w:sz w:val="20"/>
          <w:szCs w:val="20"/>
        </w:rPr>
      </w:pPr>
      <w:r>
        <w:rPr>
          <w:b/>
          <w:color w:val="0070C0"/>
          <w:sz w:val="20"/>
          <w:szCs w:val="20"/>
        </w:rPr>
        <w:t>* Introduction to testing as a support for software development</w:t>
      </w:r>
    </w:p>
    <w:p>
      <w:pPr>
        <w:pStyle w:val="Normal"/>
        <w:numPr>
          <w:ilvl w:val="0"/>
          <w:numId w:val="0"/>
        </w:numPr>
        <w:ind w:hanging="0" w:left="851"/>
        <w:rPr>
          <w:b/>
          <w:sz w:val="20"/>
          <w:szCs w:val="20"/>
        </w:rPr>
      </w:pPr>
      <w:r>
        <w:rPr>
          <w:b/>
          <w:color w:val="0070C0"/>
          <w:sz w:val="20"/>
          <w:szCs w:val="20"/>
        </w:rPr>
        <w:t>* Intoduction to modular container-based software development</w:t>
      </w:r>
    </w:p>
    <w:p>
      <w:pPr>
        <w:pStyle w:val="Normal"/>
        <w:numPr>
          <w:ilvl w:val="0"/>
          <w:numId w:val="0"/>
        </w:numPr>
        <w:ind w:hanging="0" w:left="851"/>
        <w:rPr>
          <w:b/>
          <w:sz w:val="20"/>
          <w:szCs w:val="20"/>
        </w:rPr>
      </w:pPr>
      <w:r>
        <w:rPr>
          <w:b/>
          <w:color w:val="0070C0"/>
          <w:sz w:val="20"/>
          <w:szCs w:val="20"/>
        </w:rPr>
        <w:t>* Source code documentation</w:t>
      </w:r>
    </w:p>
    <w:p>
      <w:pPr>
        <w:pStyle w:val="Heading1"/>
        <w:numPr>
          <w:ilvl w:val="0"/>
          <w:numId w:val="1"/>
        </w:numPr>
        <w:ind w:hanging="360" w:left="851"/>
        <w:rPr>
          <w:b/>
          <w:sz w:val="20"/>
          <w:szCs w:val="20"/>
          <w:lang w:val="en-US"/>
        </w:rPr>
      </w:pPr>
      <w:r>
        <w:rPr>
          <w:b/>
          <w:sz w:val="20"/>
          <w:szCs w:val="20"/>
          <w:lang w:val="en-US"/>
        </w:rPr>
        <w:t>Learning outcomes</w:t>
        <w:br/>
      </w:r>
      <w:r>
        <w:rPr>
          <w:sz w:val="20"/>
          <w:szCs w:val="20"/>
          <w:lang w:val="en-US"/>
        </w:rPr>
        <w:t>The following learning outcomes are examined in the course:</w:t>
      </w:r>
    </w:p>
    <w:p>
      <w:pPr>
        <w:pStyle w:val="Heading1"/>
        <w:numPr>
          <w:ilvl w:val="0"/>
          <w:numId w:val="0"/>
        </w:numPr>
        <w:tabs>
          <w:tab w:val="clear" w:pos="1304"/>
          <w:tab w:val="left" w:pos="1276" w:leader="none"/>
        </w:tabs>
        <w:spacing w:before="240" w:after="0"/>
        <w:ind w:hanging="0" w:left="851"/>
        <w:rPr>
          <w:b/>
          <w:sz w:val="20"/>
          <w:szCs w:val="20"/>
          <w:lang w:val="en-US"/>
        </w:rPr>
      </w:pPr>
      <w:r>
        <w:rPr>
          <w:b/>
          <w:sz w:val="20"/>
          <w:szCs w:val="20"/>
          <w:lang w:val="en-US"/>
        </w:rPr>
        <w:t xml:space="preserve">4.1. </w:t>
        <w:tab/>
        <w:t>Knowledge and understanding</w:t>
      </w:r>
    </w:p>
    <w:p>
      <w:pPr>
        <w:pStyle w:val="Heading1"/>
        <w:numPr>
          <w:ilvl w:val="0"/>
          <w:numId w:val="0"/>
        </w:numPr>
        <w:tabs>
          <w:tab w:val="clear" w:pos="1304"/>
          <w:tab w:val="left" w:pos="1276" w:leader="none"/>
        </w:tabs>
        <w:spacing w:before="0" w:after="0"/>
        <w:ind w:hanging="0" w:left="993"/>
        <w:rPr>
          <w:sz w:val="20"/>
          <w:szCs w:val="20"/>
          <w:lang w:val="en-US"/>
        </w:rPr>
      </w:pPr>
      <w:r>
        <w:rPr>
          <w:sz w:val="20"/>
          <w:szCs w:val="20"/>
          <w:lang w:val="en-US"/>
        </w:rPr>
        <w:tab/>
      </w:r>
      <w:bookmarkStart w:id="0" w:name="_Hlk524602868"/>
      <w:r>
        <w:rPr>
          <w:sz w:val="20"/>
          <w:szCs w:val="20"/>
          <w:lang w:val="en-US"/>
        </w:rPr>
        <w:t>On completion of the course, the student will be able to:</w:t>
      </w:r>
      <w:bookmarkEnd w:id="0"/>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In writing exhibit basic knowledge in modern software development and container-based software development through documentation of experiences and observations from exercises and projects.</w:t>
      </w:r>
    </w:p>
    <w:p>
      <w:pPr>
        <w:pStyle w:val="Heading1"/>
        <w:numPr>
          <w:ilvl w:val="0"/>
          <w:numId w:val="0"/>
        </w:numPr>
        <w:tabs>
          <w:tab w:val="clear" w:pos="1304"/>
          <w:tab w:val="left" w:pos="1276" w:leader="none"/>
        </w:tabs>
        <w:spacing w:before="240" w:after="0"/>
        <w:ind w:hanging="0" w:left="851"/>
        <w:rPr>
          <w:b/>
          <w:sz w:val="20"/>
          <w:szCs w:val="20"/>
          <w:lang w:val="en-US"/>
        </w:rPr>
      </w:pPr>
      <w:r>
        <w:rPr>
          <w:b/>
          <w:sz w:val="20"/>
          <w:szCs w:val="20"/>
        </w:rPr>
        <w:t xml:space="preserve">4.2. </w:t>
        <w:tab/>
      </w:r>
      <w:r>
        <w:rPr>
          <w:b/>
          <w:sz w:val="20"/>
          <w:szCs w:val="20"/>
          <w:lang w:val="en-US"/>
        </w:rPr>
        <w:t>Competence and skills</w:t>
      </w:r>
    </w:p>
    <w:p>
      <w:pPr>
        <w:pStyle w:val="Heading1"/>
        <w:numPr>
          <w:ilvl w:val="0"/>
          <w:numId w:val="0"/>
        </w:numPr>
        <w:tabs>
          <w:tab w:val="clear" w:pos="1304"/>
          <w:tab w:val="left" w:pos="1276" w:leader="none"/>
        </w:tabs>
        <w:spacing w:before="0" w:after="0"/>
        <w:ind w:hanging="0" w:left="993"/>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Based on a specification develop, document, and present a software project that executes on a small number of communicating containers.</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Debug a software program with the help of test code and a debugger.</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Collaborate around a shared development project with the help of configuration management tools.</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Work with the tools and development environments used in the development and troubleshooting of container-based software</w:t>
      </w:r>
    </w:p>
    <w:p>
      <w:pPr>
        <w:pStyle w:val="Heading1"/>
        <w:numPr>
          <w:ilvl w:val="0"/>
          <w:numId w:val="0"/>
        </w:numPr>
        <w:tabs>
          <w:tab w:val="clear" w:pos="1304"/>
          <w:tab w:val="left" w:pos="1276" w:leader="none"/>
        </w:tabs>
        <w:spacing w:before="240" w:after="0"/>
        <w:ind w:hanging="0" w:left="851"/>
        <w:rPr>
          <w:b/>
          <w:sz w:val="20"/>
          <w:szCs w:val="20"/>
          <w:lang w:val="en-US"/>
        </w:rPr>
      </w:pPr>
      <w:r>
        <w:rPr>
          <w:b/>
          <w:sz w:val="20"/>
          <w:szCs w:val="20"/>
          <w:lang w:val="en-US"/>
        </w:rPr>
        <w:t xml:space="preserve">4.3. </w:t>
        <w:tab/>
        <w:t>Judgement and approach</w:t>
      </w:r>
    </w:p>
    <w:p>
      <w:pPr>
        <w:pStyle w:val="Heading1"/>
        <w:numPr>
          <w:ilvl w:val="0"/>
          <w:numId w:val="0"/>
        </w:numPr>
        <w:tabs>
          <w:tab w:val="clear" w:pos="1304"/>
          <w:tab w:val="left" w:pos="1276" w:leader="none"/>
        </w:tabs>
        <w:spacing w:before="0" w:after="0"/>
        <w:ind w:hanging="0" w:left="993"/>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In writing reflect on their solutions and usage of development tools.</w:t>
      </w:r>
    </w:p>
    <w:p>
      <w:pPr>
        <w:pStyle w:val="Heading1"/>
        <w:numPr>
          <w:ilvl w:val="0"/>
          <w:numId w:val="0"/>
        </w:numPr>
        <w:tabs>
          <w:tab w:val="clear" w:pos="1304"/>
          <w:tab w:val="left" w:pos="1418" w:leader="none"/>
        </w:tabs>
        <w:spacing w:before="0" w:after="0"/>
        <w:ind w:hanging="0" w:left="1843"/>
        <w:rPr>
          <w:b/>
          <w:color w:val="0070C0"/>
          <w:sz w:val="20"/>
          <w:szCs w:val="20"/>
          <w:lang w:val="en-US"/>
        </w:rPr>
      </w:pPr>
      <w:r>
        <w:rPr>
          <w:b/>
          <w:color w:val="0070C0"/>
          <w:sz w:val="20"/>
          <w:szCs w:val="20"/>
          <w:lang w:val="en-US"/>
        </w:rPr>
      </w:r>
    </w:p>
    <w:p>
      <w:pPr>
        <w:pStyle w:val="Heading1"/>
        <w:numPr>
          <w:ilvl w:val="0"/>
          <w:numId w:val="1"/>
        </w:numPr>
        <w:ind w:hanging="360" w:left="993"/>
        <w:rPr>
          <w:b/>
          <w:sz w:val="20"/>
          <w:szCs w:val="20"/>
          <w:lang w:val="en-US"/>
        </w:rPr>
      </w:pPr>
      <w:r>
        <w:rPr>
          <w:b/>
          <w:sz w:val="20"/>
          <w:szCs w:val="20"/>
          <w:lang w:val="en-US"/>
        </w:rPr>
        <w:t>Learning activities</w:t>
      </w:r>
    </w:p>
    <w:p>
      <w:pPr>
        <w:pStyle w:val="Normal"/>
        <w:ind w:hanging="0" w:left="993"/>
        <w:rPr>
          <w:rFonts w:ascii="Gill Sans MT" w:hAnsi="Gill Sans MT"/>
          <w:b/>
          <w:color w:val="0070C0"/>
          <w:sz w:val="20"/>
          <w:szCs w:val="20"/>
        </w:rPr>
      </w:pPr>
      <w:r>
        <w:rPr>
          <w:rFonts w:ascii="Gill Sans MT" w:hAnsi="Gill Sans MT"/>
          <w:b/>
          <w:color w:val="0070C0"/>
          <w:sz w:val="20"/>
          <w:szCs w:val="20"/>
        </w:rPr>
        <w:t>Teaching consists of lectures and lab sessions. The lectures cover central concepts, techniques, and methods within object oriented design and programming. The lab sessions intend to offer understanding of how concepts, techniques, and methods can be applied in practice.</w:t>
      </w:r>
    </w:p>
    <w:p>
      <w:pPr>
        <w:pStyle w:val="Heading1"/>
        <w:numPr>
          <w:ilvl w:val="0"/>
          <w:numId w:val="1"/>
        </w:numPr>
        <w:spacing w:before="240" w:after="120"/>
        <w:ind w:hanging="357" w:left="992"/>
        <w:contextualSpacing/>
        <w:rPr>
          <w:sz w:val="20"/>
          <w:szCs w:val="20"/>
          <w:lang w:val="en-US"/>
        </w:rPr>
      </w:pPr>
      <w:r>
        <w:rPr>
          <w:b/>
          <w:sz w:val="20"/>
          <w:szCs w:val="20"/>
          <w:lang w:val="en-US"/>
        </w:rPr>
        <w:t>Assessment and grading</w:t>
        <w:br/>
      </w:r>
      <w:r>
        <w:rPr>
          <w:sz w:val="20"/>
          <w:szCs w:val="20"/>
          <w:lang w:val="en-US"/>
        </w:rPr>
        <w:t>Modes of examinations for the course</w:t>
      </w:r>
    </w:p>
    <w:p>
      <w:pPr>
        <w:pStyle w:val="Heading1"/>
        <w:numPr>
          <w:ilvl w:val="0"/>
          <w:numId w:val="0"/>
        </w:numPr>
        <w:spacing w:before="240" w:after="120"/>
        <w:ind w:hanging="0" w:left="992"/>
        <w:contextualSpacing/>
        <w:rPr>
          <w:i/>
          <w:i/>
          <w:sz w:val="20"/>
          <w:szCs w:val="20"/>
        </w:rPr>
      </w:pPr>
      <w:r>
        <w:rPr>
          <w:sz w:val="20"/>
          <w:szCs w:val="20"/>
          <w:lang w:val="en-US"/>
        </w:rPr>
        <w:t xml:space="preserve">The names of the examination components are to comply with BTH’s approved document (located at the bottom of the page). If the examination step needs to be clarified, this can be done under the heading “5. </w:t>
      </w:r>
      <w:r>
        <w:rPr>
          <w:sz w:val="20"/>
          <w:szCs w:val="20"/>
        </w:rPr>
        <w:t xml:space="preserve">Learning activities ". </w:t>
      </w:r>
    </w:p>
    <w:p>
      <w:pPr>
        <w:pStyle w:val="Heading1"/>
        <w:numPr>
          <w:ilvl w:val="0"/>
          <w:numId w:val="0"/>
        </w:numPr>
        <w:spacing w:before="240" w:after="120"/>
        <w:ind w:hanging="0" w:left="992"/>
        <w:contextualSpacing/>
        <w:rPr>
          <w:color w:val="FF0000"/>
          <w:sz w:val="20"/>
          <w:szCs w:val="20"/>
        </w:rPr>
      </w:pPr>
      <w:r>
        <w:rPr>
          <w:color w:val="FF0000"/>
          <w:sz w:val="20"/>
          <w:szCs w:val="20"/>
        </w:rPr>
      </w:r>
    </w:p>
    <w:p>
      <w:pPr>
        <w:pStyle w:val="Normal"/>
        <w:rPr/>
      </w:pPr>
      <w:r>
        <w:rPr/>
        <w:tab/>
      </w:r>
    </w:p>
    <w:p>
      <w:pPr>
        <w:pStyle w:val="Normal"/>
        <w:rPr>
          <w:rFonts w:ascii="Gill Sans MT" w:hAnsi="Gill Sans MT"/>
          <w:b/>
          <w:color w:val="0070C0"/>
          <w:sz w:val="18"/>
          <w:szCs w:val="18"/>
        </w:rPr>
      </w:pPr>
      <w:r>
        <w:rPr>
          <w:rFonts w:ascii="Gill Sans MT" w:hAnsi="Gill Sans MT"/>
          <w:b/>
          <w:color w:val="0070C0"/>
          <w:sz w:val="18"/>
          <w:szCs w:val="18"/>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6"/>
        <w:gridCol w:w="1238"/>
      </w:tblGrid>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Code</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Module</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Credit</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Grade</w:t>
            </w:r>
          </w:p>
        </w:tc>
      </w:tr>
      <w:tr>
        <w:trPr/>
        <w:tc>
          <w:tcPr>
            <w:tcW w:w="821" w:type="dxa"/>
            <w:tcBorders/>
          </w:tcPr>
          <w:p>
            <w:pPr>
              <w:pStyle w:val="Normal"/>
              <w:widowControl/>
              <w:suppressAutoHyphens w:val="true"/>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Written Assignment 1</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credits</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Written Assignment 2</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credits</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Written Assignment 3</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credits</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hanging="0" w:left="993"/>
        <w:rPr>
          <w:rFonts w:ascii="Gill Sans MT" w:hAnsi="Gill Sans MT"/>
          <w:sz w:val="20"/>
          <w:szCs w:val="20"/>
          <w:lang w:val="en-US"/>
        </w:rPr>
      </w:pPr>
      <w:r>
        <w:rPr>
          <w:rFonts w:ascii="Gill Sans MT" w:hAnsi="Gill Sans MT"/>
          <w:sz w:val="20"/>
          <w:szCs w:val="20"/>
          <w:lang w:val="en-US"/>
        </w:rPr>
        <w:t xml:space="preserve">Information about modules and grading can be specified here </w:t>
      </w: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hanging="0" w:left="993"/>
        <w:rPr>
          <w:color w:val="3465A4"/>
        </w:rPr>
      </w:pPr>
      <w:r>
        <w:rPr>
          <w:rFonts w:ascii="Gill Sans MT" w:hAnsi="Gill Sans MT"/>
          <w:color w:val="3465A4"/>
          <w:sz w:val="20"/>
          <w:szCs w:val="20"/>
          <w:lang w:val="en-US"/>
        </w:rPr>
        <w:t xml:space="preserve">The course will be graded A Excellent, B Very good, C Good, D Satisfactory, E Sufficient, FX Insufficient, supplementation required, F Fail. </w:t>
      </w:r>
    </w:p>
    <w:p>
      <w:pPr>
        <w:pStyle w:val="Normal"/>
        <w:ind w:hanging="0" w:left="993"/>
        <w:rPr>
          <w:color w:val="3465A4"/>
        </w:rPr>
      </w:pPr>
      <w:r>
        <w:rPr>
          <w:color w:val="3465A4"/>
        </w:rPr>
      </w:r>
    </w:p>
    <w:p>
      <w:pPr>
        <w:pStyle w:val="Normal"/>
        <w:ind w:hanging="0" w:left="993"/>
        <w:rPr>
          <w:color w:val="3465A4"/>
        </w:rPr>
      </w:pPr>
      <w:r>
        <w:rPr>
          <w:color w:val="3465A4"/>
        </w:rPr>
        <w:t>To get a passing grade for the course, all modules must be approved. The final grade for the course is calculated as the weighted average of the grades for all the modes of examination.</w:t>
      </w:r>
    </w:p>
    <w:p>
      <w:pPr>
        <w:pStyle w:val="Normal"/>
        <w:ind w:hanging="0" w:left="993"/>
        <w:rPr>
          <w:rFonts w:ascii="Gill Sans MT" w:hAnsi="Gill Sans MT"/>
          <w:sz w:val="20"/>
          <w:szCs w:val="20"/>
          <w:lang w:val="en-US"/>
        </w:rPr>
      </w:pPr>
      <w:r>
        <w:rPr>
          <w:rFonts w:ascii="Gill Sans MT" w:hAnsi="Gill Sans MT"/>
          <w:sz w:val="20"/>
          <w:szCs w:val="20"/>
          <w:lang w:val="en-US"/>
        </w:rPr>
      </w:r>
    </w:p>
    <w:p>
      <w:pPr>
        <w:pStyle w:val="Normal"/>
        <w:ind w:hanging="0" w:left="993"/>
        <w:rPr>
          <w:rFonts w:ascii="Gill Sans MT" w:hAnsi="Gill Sans MT"/>
          <w:sz w:val="20"/>
          <w:szCs w:val="20"/>
          <w:lang w:val="en-US"/>
        </w:rPr>
      </w:pPr>
      <w:r>
        <w:rPr>
          <w:rFonts w:ascii="Gill Sans MT" w:hAnsi="Gill Sans MT"/>
          <w:sz w:val="20"/>
          <w:szCs w:val="20"/>
          <w:lang w:val="en-US"/>
        </w:rPr>
        <w:t>The information before a course occasion states the assessment criteria and make explicit in which modes of examination that the learning outcomes are assessed.</w:t>
      </w:r>
    </w:p>
    <w:p>
      <w:pPr>
        <w:pStyle w:val="Normal"/>
        <w:ind w:hanging="0" w:left="993"/>
        <w:rPr>
          <w:rFonts w:ascii="Gill Sans MT" w:hAnsi="Gill Sans MT"/>
          <w:sz w:val="20"/>
          <w:szCs w:val="20"/>
          <w:lang w:val="en-US"/>
        </w:rPr>
      </w:pPr>
      <w:r>
        <w:rPr>
          <w:rFonts w:ascii="Gill Sans MT" w:hAnsi="Gill Sans MT"/>
          <w:sz w:val="20"/>
          <w:szCs w:val="20"/>
          <w:lang w:val="en-US"/>
        </w:rPr>
      </w:r>
    </w:p>
    <w:p>
      <w:pPr>
        <w:pStyle w:val="Normal"/>
        <w:ind w:hanging="0" w:left="993"/>
        <w:rPr>
          <w:rFonts w:ascii="Gill Sans MT" w:hAnsi="Gill Sans MT"/>
          <w:sz w:val="20"/>
          <w:szCs w:val="20"/>
          <w:lang w:val="en-US"/>
        </w:rPr>
      </w:pPr>
      <w:r>
        <w:rPr>
          <w:rFonts w:ascii="Gill Sans MT" w:hAnsi="Gill Sans MT"/>
          <w:sz w:val="20"/>
          <w:szCs w:val="20"/>
          <w:lang w:val="en-US"/>
        </w:rPr>
        <w:t>An examiner can, after consulting the Disability Advisor at BTH, decide on a customized examination form for a student with a long-term disability to be provided with an examination equivalent to one given to a student who is not disabled.</w:t>
      </w:r>
    </w:p>
    <w:p>
      <w:pPr>
        <w:pStyle w:val="Heading1"/>
        <w:numPr>
          <w:ilvl w:val="0"/>
          <w:numId w:val="1"/>
        </w:numPr>
        <w:ind w:hanging="360" w:left="993"/>
        <w:rPr>
          <w:b/>
          <w:sz w:val="20"/>
          <w:szCs w:val="20"/>
          <w:lang w:val="en-US"/>
        </w:rPr>
      </w:pPr>
      <w:r>
        <w:rPr>
          <w:b/>
          <w:color w:themeColor="text1" w:val="000000"/>
          <w:sz w:val="20"/>
          <w:szCs w:val="20"/>
          <w:lang w:val="en-US"/>
        </w:rPr>
        <w:t>Course evaluation</w:t>
      </w:r>
      <w:r>
        <w:rPr>
          <w:b/>
          <w:sz w:val="20"/>
          <w:szCs w:val="20"/>
          <w:lang w:val="en-US"/>
        </w:rPr>
        <w:br/>
      </w:r>
      <w:r>
        <w:rPr>
          <w:color w:themeColor="text1" w:val="000000"/>
          <w:sz w:val="20"/>
          <w:szCs w:val="20"/>
          <w:lang w:val="en-US"/>
        </w:rPr>
        <w:t>The course evaluation should be carried out in line with BTH:s course evaluation template and process.</w:t>
      </w:r>
    </w:p>
    <w:p>
      <w:pPr>
        <w:pStyle w:val="Heading1"/>
        <w:numPr>
          <w:ilvl w:val="0"/>
          <w:numId w:val="1"/>
        </w:numPr>
        <w:ind w:hanging="360" w:left="993"/>
        <w:rPr>
          <w:b/>
          <w:sz w:val="20"/>
          <w:szCs w:val="20"/>
          <w:lang w:val="en-US"/>
        </w:rPr>
      </w:pPr>
      <w:r>
        <w:rPr>
          <w:b/>
          <w:sz w:val="20"/>
          <w:szCs w:val="20"/>
          <w:lang w:val="en-US"/>
        </w:rPr>
        <w:t>Restrictions regarding degree</w:t>
        <w:br/>
      </w:r>
      <w:r>
        <w:rPr>
          <w:sz w:val="20"/>
          <w:szCs w:val="20"/>
          <w:lang w:val="en-US"/>
        </w:rPr>
        <w:t xml:space="preserve">The course can form part of a degree but not together with another course the content of which completely or partly corresponds with the contents of this course. </w:t>
      </w:r>
      <w:r>
        <w:rPr>
          <w:i/>
          <w:iCs/>
          <w:sz w:val="20"/>
          <w:szCs w:val="20"/>
          <w:lang w:val="en-US"/>
        </w:rPr>
        <w:t xml:space="preserve">Or </w:t>
      </w:r>
      <w:r>
        <w:rPr>
          <w:sz w:val="20"/>
          <w:szCs w:val="20"/>
          <w:lang w:val="en-US"/>
        </w:rPr>
        <w:t xml:space="preserve">The course cannot be included in the degree. </w:t>
      </w:r>
    </w:p>
    <w:p>
      <w:pPr>
        <w:pStyle w:val="Heading1"/>
        <w:numPr>
          <w:ilvl w:val="0"/>
          <w:numId w:val="1"/>
        </w:numPr>
        <w:ind w:hanging="360" w:left="993"/>
        <w:rPr>
          <w:b/>
          <w:sz w:val="20"/>
          <w:szCs w:val="20"/>
          <w:lang w:val="en-US"/>
        </w:rPr>
      </w:pPr>
      <w:r>
        <w:rPr>
          <w:b/>
          <w:sz w:val="20"/>
          <w:szCs w:val="20"/>
          <w:lang w:val="en-US"/>
        </w:rPr>
        <w:t>Course literature and other materials of instruction</w:t>
      </w:r>
    </w:p>
    <w:p>
      <w:pPr>
        <w:pStyle w:val="Normal"/>
        <w:ind w:hanging="0" w:left="993"/>
        <w:rPr>
          <w:rFonts w:ascii="Gill Sans MT" w:hAnsi="Gill Sans MT"/>
          <w:b/>
          <w:color w:val="0070C0"/>
          <w:sz w:val="20"/>
          <w:szCs w:val="20"/>
          <w:lang w:val="en-US"/>
        </w:rPr>
      </w:pPr>
      <w:r>
        <w:rPr>
          <w:rFonts w:ascii="Gill Sans MT" w:hAnsi="Gill Sans MT"/>
          <w:b/>
          <w:color w:val="0070C0"/>
          <w:sz w:val="20"/>
          <w:szCs w:val="20"/>
          <w:lang w:val="en-US"/>
        </w:rPr>
        <w:t xml:space="preserve">D. Thomas, A. Hunt, The Pragmatic Programmer, 20th Anniversary Edition, 2020. ISBN-10: 0-13-595705-2 </w:t>
      </w:r>
    </w:p>
    <w:p>
      <w:pPr>
        <w:pStyle w:val="Normal"/>
        <w:ind w:hanging="0" w:left="993"/>
        <w:rPr>
          <w:rFonts w:ascii="Gill Sans MT" w:hAnsi="Gill Sans MT"/>
          <w:b/>
          <w:color w:val="0070C0"/>
          <w:sz w:val="20"/>
          <w:szCs w:val="20"/>
          <w:lang w:val="en-US"/>
        </w:rPr>
      </w:pPr>
      <w:r>
        <w:rPr>
          <w:rFonts w:ascii="Gill Sans MT" w:hAnsi="Gill Sans MT"/>
          <w:b/>
          <w:color w:val="0070C0"/>
          <w:sz w:val="20"/>
          <w:szCs w:val="20"/>
          <w:lang w:val="en-US"/>
        </w:rPr>
      </w:r>
    </w:p>
    <w:p>
      <w:pPr>
        <w:pStyle w:val="Normal"/>
        <w:ind w:hanging="0" w:left="993"/>
        <w:rPr>
          <w:rFonts w:ascii="Gill Sans MT" w:hAnsi="Gill Sans MT"/>
          <w:b/>
          <w:sz w:val="20"/>
          <w:szCs w:val="20"/>
          <w:lang w:val="en-US"/>
        </w:rPr>
      </w:pPr>
      <w:r>
        <w:rPr>
          <w:rFonts w:ascii="Gill Sans MT" w:hAnsi="Gill Sans MT"/>
          <w:b/>
          <w:sz w:val="20"/>
          <w:szCs w:val="20"/>
          <w:lang w:val="en-US"/>
        </w:rPr>
        <w:t>Language of instruction</w:t>
      </w:r>
      <w:r>
        <w:rPr>
          <w:rFonts w:ascii="Gill Sans MT" w:hAnsi="Gill Sans MT"/>
          <w:bCs/>
          <w:sz w:val="20"/>
          <w:szCs w:val="20"/>
          <w:lang w:val="en-US"/>
        </w:rPr>
        <w:t xml:space="preserve">* </w:t>
      </w:r>
    </w:p>
    <w:p>
      <w:pPr>
        <w:pStyle w:val="Normal"/>
        <w:ind w:hanging="0" w:left="993"/>
        <w:rPr>
          <w:rFonts w:ascii="Gill Sans MT" w:hAnsi="Gill Sans MT"/>
          <w:sz w:val="20"/>
          <w:szCs w:val="20"/>
          <w:lang w:val="en-US"/>
        </w:rPr>
      </w:pPr>
      <w:r>
        <w:rPr>
          <w:rFonts w:ascii="Gill Sans MT" w:hAnsi="Gill Sans MT"/>
          <w:sz w:val="20"/>
          <w:szCs w:val="20"/>
          <w:lang w:val="en-US"/>
        </w:rPr>
        <w:t xml:space="preserve">Select one of the options below and delete the other option. </w:t>
      </w:r>
    </w:p>
    <w:p>
      <w:pPr>
        <w:pStyle w:val="Normal"/>
        <w:ind w:hanging="0" w:left="993"/>
        <w:rPr>
          <w:rFonts w:ascii="Gill Sans MT" w:hAnsi="Gill Sans MT"/>
          <w:color w:val="0070C0"/>
          <w:sz w:val="20"/>
          <w:szCs w:val="20"/>
          <w:lang w:val="en-US"/>
        </w:rPr>
      </w:pPr>
      <w:r>
        <w:rPr>
          <w:rFonts w:ascii="Gill Sans MT" w:hAnsi="Gill Sans MT"/>
          <w:color w:val="0070C0"/>
          <w:sz w:val="20"/>
          <w:szCs w:val="20"/>
          <w:lang w:val="en-US"/>
        </w:rPr>
        <w:t xml:space="preserve"> </w:t>
      </w:r>
    </w:p>
    <w:p>
      <w:pPr>
        <w:pStyle w:val="Normal"/>
        <w:ind w:hanging="0" w:left="993"/>
        <w:rPr>
          <w:rFonts w:ascii="Gill Sans MT" w:hAnsi="Gill Sans MT"/>
          <w:color w:val="0070C0"/>
          <w:sz w:val="20"/>
          <w:szCs w:val="20"/>
          <w:lang w:val="en-US"/>
        </w:rPr>
      </w:pPr>
      <w:r>
        <w:rPr>
          <w:rFonts w:ascii="Gill Sans MT" w:hAnsi="Gill Sans MT"/>
          <w:color w:val="0070C0"/>
          <w:sz w:val="20"/>
          <w:szCs w:val="20"/>
          <w:lang w:val="en-US"/>
        </w:rPr>
        <w:t>The language of instruction is English.</w:t>
      </w:r>
    </w:p>
    <w:p>
      <w:pPr>
        <w:pStyle w:val="Heading1"/>
        <w:numPr>
          <w:ilvl w:val="0"/>
          <w:numId w:val="1"/>
        </w:numPr>
        <w:ind w:hanging="360" w:left="993"/>
        <w:rPr>
          <w:b/>
          <w:sz w:val="20"/>
          <w:szCs w:val="20"/>
        </w:rPr>
      </w:pPr>
      <w:r>
        <w:rPr>
          <w:b/>
          <w:sz w:val="20"/>
          <w:szCs w:val="20"/>
        </w:rPr>
        <w:t>Additional information</w:t>
      </w:r>
    </w:p>
    <w:p>
      <w:pPr>
        <w:pStyle w:val="Normal"/>
        <w:ind w:hanging="0" w:left="993"/>
        <w:rPr>
          <w:rFonts w:ascii="Gill Sans MT" w:hAnsi="Gill Sans MT"/>
          <w:sz w:val="20"/>
          <w:szCs w:val="20"/>
          <w:lang w:val="en-US"/>
        </w:rPr>
      </w:pP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hanging="0" w:left="993"/>
        <w:rPr>
          <w:rFonts w:ascii="Gill Sans MT" w:hAnsi="Gill Sans MT"/>
          <w:sz w:val="20"/>
          <w:szCs w:val="20"/>
          <w:lang w:val="en-US"/>
        </w:rPr>
      </w:pPr>
      <w:r>
        <w:rPr>
          <w:rFonts w:ascii="Gill Sans MT" w:hAnsi="Gill Sans MT"/>
          <w:sz w:val="20"/>
          <w:szCs w:val="20"/>
          <w:lang w:val="en-US"/>
        </w:rPr>
      </w:r>
    </w:p>
    <w:p>
      <w:pPr>
        <w:pStyle w:val="Normal"/>
        <w:ind w:hanging="0" w:left="993"/>
        <w:rPr>
          <w:rFonts w:ascii="Gill Sans MT" w:hAnsi="Gill Sans MT"/>
          <w:sz w:val="20"/>
          <w:szCs w:val="20"/>
          <w:lang w:val="en-US"/>
        </w:rPr>
      </w:pPr>
      <w:r>
        <w:rPr>
          <w:rFonts w:ascii="Gill Sans MT" w:hAnsi="Gill Sans MT"/>
          <w:sz w:val="20"/>
          <w:szCs w:val="20"/>
          <w:lang w:val="en-US"/>
        </w:rPr>
        <w:t>*</w:t>
      </w:r>
      <w:r>
        <w:rPr>
          <w:lang w:val="en-US"/>
        </w:rPr>
        <w:t xml:space="preserve"> </w:t>
      </w:r>
      <w:r>
        <w:rPr>
          <w:rFonts w:ascii="Gill Sans MT" w:hAnsi="Gill Sans MT"/>
          <w:sz w:val="20"/>
          <w:szCs w:val="20"/>
          <w:lang w:val="en-US"/>
        </w:rPr>
        <w:t>If learning materials or parts thereof may be in a language other than the stated language of instruction</w:t>
      </w:r>
    </w:p>
    <w:p>
      <w:pPr>
        <w:pStyle w:val="Normal"/>
        <w:ind w:hanging="0" w:left="993"/>
        <w:rPr>
          <w:rFonts w:ascii="Gill Sans MT" w:hAnsi="Gill Sans MT"/>
          <w:sz w:val="20"/>
          <w:szCs w:val="20"/>
          <w:lang w:val="en-US"/>
        </w:rPr>
      </w:pPr>
      <w:r>
        <w:rPr>
          <w:rFonts w:ascii="Gill Sans MT" w:hAnsi="Gill Sans MT"/>
          <w:sz w:val="20"/>
          <w:szCs w:val="20"/>
          <w:lang w:val="en-US"/>
        </w:rPr>
        <w:t xml:space="preserve">it must be stated under the heading Additional information </w:t>
      </w:r>
      <w:r>
        <w:rPr>
          <w:rFonts w:ascii="Gill Sans MT" w:hAnsi="Gill Sans MT"/>
          <w:b/>
          <w:bCs/>
          <w:sz w:val="20"/>
          <w:szCs w:val="20"/>
          <w:lang w:val="en-US"/>
        </w:rPr>
        <w:t>or under the heading Learning activities</w:t>
      </w:r>
      <w:r>
        <w:rPr>
          <w:rFonts w:ascii="Gill Sans MT" w:hAnsi="Gill Sans MT"/>
          <w:sz w:val="20"/>
          <w:szCs w:val="20"/>
          <w:lang w:val="en-US"/>
        </w:rPr>
        <w:t>. The same applies if a guest lecture in a language other than the stated language of instruction may occur.</w:t>
      </w:r>
    </w:p>
    <w:p>
      <w:pPr>
        <w:pStyle w:val="Normal"/>
        <w:ind w:hanging="0" w:left="993"/>
        <w:rPr>
          <w:rFonts w:ascii="Gill Sans MT" w:hAnsi="Gill Sans MT"/>
          <w:sz w:val="20"/>
          <w:szCs w:val="20"/>
          <w:lang w:val="en-US"/>
        </w:rPr>
      </w:pPr>
      <w:r>
        <w:rPr>
          <w:rFonts w:ascii="Gill Sans MT" w:hAnsi="Gill Sans MT"/>
          <w:sz w:val="20"/>
          <w:szCs w:val="20"/>
          <w:lang w:val="en-US"/>
        </w:rPr>
      </w:r>
    </w:p>
    <w:p>
      <w:pPr>
        <w:pStyle w:val="Normal"/>
        <w:ind w:hanging="0" w:left="993"/>
        <w:rPr/>
      </w:pPr>
      <w:r>
        <w:rPr>
          <w:rFonts w:ascii="Gill Sans MT" w:hAnsi="Gill Sans MT"/>
          <w:highlight w:val="yellow"/>
        </w:rPr>
        <w:t xml:space="preserve">Kursplansunderlaget skickas till </w:t>
      </w:r>
      <w:hyperlink r:id="rId8">
        <w:r>
          <w:rPr>
            <w:rStyle w:val="Hyperlink"/>
            <w:highlight w:val="yellow"/>
          </w:rPr>
          <w:t>institutionsstod@bth.se</w:t>
        </w:r>
      </w:hyperlink>
      <w:r>
        <w:rPr/>
        <w:t xml:space="preserve"> </w:t>
      </w:r>
    </w:p>
    <w:p>
      <w:pPr>
        <w:pStyle w:val="Normal"/>
        <w:ind w:hanging="0" w:left="993"/>
        <w:rPr/>
      </w:pPr>
      <w:r>
        <w:rPr/>
      </w:r>
    </w:p>
    <w:p>
      <w:pPr>
        <w:pStyle w:val="Normal"/>
        <w:ind w:hanging="0" w:left="993"/>
        <w:rPr/>
      </w:pPr>
      <w:r>
        <w:rPr/>
      </w:r>
    </w:p>
    <w:p>
      <w:pPr>
        <w:pStyle w:val="Normal"/>
        <w:ind w:hanging="0" w:left="993"/>
        <w:rPr/>
      </w:pPr>
      <w:r>
        <w:rPr/>
      </w:r>
    </w:p>
    <w:p>
      <w:pPr>
        <w:pStyle w:val="Normal"/>
        <w:ind w:hanging="0" w:left="993"/>
        <w:rPr/>
      </w:pPr>
      <w:r>
        <w:rPr/>
      </w:r>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BodyText"/>
        <w:spacing w:before="0" w:after="0"/>
        <w:ind w:hanging="0" w:left="107"/>
        <w:rPr>
          <w:rFonts w:ascii="Gill Sans MT" w:hAnsi="Gill Sans MT"/>
          <w:sz w:val="20"/>
        </w:rPr>
      </w:pPr>
      <w:r>
        <w:rPr/>
        <mc:AlternateContent>
          <mc:Choice Requires="wps">
            <w:drawing>
              <wp:inline distT="0" distB="0" distL="0" distR="0" wp14:anchorId="3EA65001">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hanging="0" w:left="28" w:right="496"/>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3EA65001">
                <v:fill o:detectmouseclick="t" type="solid" color2="#030303"/>
                <v:stroke color="#3465a4" joinstyle="round" endcap="flat"/>
                <v:textbox>
                  <w:txbxContent>
                    <w:p>
                      <w:pPr>
                        <w:pStyle w:val="FrameContents"/>
                        <w:spacing w:lineRule="auto" w:line="259"/>
                        <w:ind w:hanging="0" w:left="28" w:right="496"/>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BodyText"/>
        <w:spacing w:before="9" w:after="0"/>
        <w:ind w:hanging="0" w:left="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BodyText"/>
        <w:tabs>
          <w:tab w:val="clear" w:pos="1304"/>
          <w:tab w:val="left" w:pos="4813" w:leader="none"/>
        </w:tabs>
        <w:spacing w:before="1" w:after="0"/>
        <w:rPr/>
      </w:pPr>
      <w:r>
        <w:rPr/>
      </w:r>
    </w:p>
    <w:p>
      <w:pPr>
        <w:pStyle w:val="BodyText"/>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BodyText"/>
        <w:tabs>
          <w:tab w:val="clear" w:pos="1304"/>
          <w:tab w:val="left" w:pos="4813" w:leader="none"/>
        </w:tabs>
        <w:ind w:hanging="0" w:left="136"/>
        <w:rPr>
          <w:lang w:val="en-US"/>
        </w:rPr>
      </w:pPr>
      <w:r>
        <w:rPr>
          <w:lang w:val="en-US"/>
        </w:rPr>
        <w:t>Bebyggelseanalys</w:t>
        <w:tab/>
        <w:t>Building</w:t>
      </w:r>
      <w:r>
        <w:rPr>
          <w:spacing w:val="-9"/>
          <w:lang w:val="en-US"/>
        </w:rPr>
        <w:t xml:space="preserve"> </w:t>
      </w:r>
      <w:r>
        <w:rPr>
          <w:lang w:val="en-US"/>
        </w:rPr>
        <w:t>Analysis</w:t>
      </w:r>
    </w:p>
    <w:p>
      <w:pPr>
        <w:pStyle w:val="BodyText"/>
        <w:tabs>
          <w:tab w:val="clear" w:pos="1304"/>
          <w:tab w:val="left" w:pos="4813" w:leader="none"/>
        </w:tabs>
        <w:ind w:hanging="0" w:left="136"/>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BodyText"/>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BodyText"/>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BodyText"/>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BodyText"/>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BodyText"/>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BodyText"/>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BodyText"/>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BodyText"/>
        <w:ind w:hanging="0" w:left="4812"/>
        <w:rPr>
          <w:lang w:val="en-US"/>
        </w:rPr>
      </w:pPr>
      <w:r>
        <w:rPr>
          <w:lang w:val="en-US"/>
        </w:rPr>
        <w:t>Examination</w:t>
      </w:r>
    </w:p>
    <w:p>
      <w:pPr>
        <w:pStyle w:val="BodyText"/>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BodyText"/>
        <w:tabs>
          <w:tab w:val="clear" w:pos="1304"/>
          <w:tab w:val="left" w:pos="4812" w:leader="none"/>
        </w:tabs>
        <w:ind w:hanging="0" w:left="134"/>
        <w:rPr>
          <w:lang w:val="en-US"/>
        </w:rPr>
      </w:pPr>
      <w:r>
        <w:rPr>
          <w:lang w:val="en-US"/>
        </w:rPr>
        <w:t>Portfölj</w:t>
        <w:tab/>
        <w:t>Portfolio</w:t>
      </w:r>
    </w:p>
    <w:p>
      <w:pPr>
        <w:pStyle w:val="BodyText"/>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BodyText"/>
        <w:tabs>
          <w:tab w:val="clear" w:pos="1304"/>
          <w:tab w:val="left" w:pos="4812" w:leader="none"/>
        </w:tabs>
        <w:spacing w:before="21" w:after="0"/>
        <w:rPr>
          <w:lang w:val="en-US"/>
        </w:rPr>
      </w:pPr>
      <w:r>
        <w:rPr>
          <w:lang w:val="en-US"/>
        </w:rPr>
        <w:t>Presentation</w:t>
        <w:tab/>
        <w:t>Presentation</w:t>
      </w:r>
    </w:p>
    <w:p>
      <w:pPr>
        <w:pStyle w:val="BodyText"/>
        <w:tabs>
          <w:tab w:val="clear" w:pos="1304"/>
          <w:tab w:val="left" w:pos="4812" w:leader="none"/>
        </w:tabs>
        <w:rPr>
          <w:lang w:val="en-US"/>
        </w:rPr>
      </w:pPr>
      <w:r>
        <w:rPr>
          <w:lang w:val="en-US"/>
        </w:rPr>
        <w:t>Projekt</w:t>
        <w:tab/>
        <w:t>Project</w:t>
      </w:r>
    </w:p>
    <w:p>
      <w:pPr>
        <w:pStyle w:val="BodyText"/>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BodyText"/>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BodyText"/>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BodyText"/>
        <w:tabs>
          <w:tab w:val="clear" w:pos="1304"/>
          <w:tab w:val="left" w:pos="4813" w:leader="none"/>
        </w:tabs>
        <w:rPr>
          <w:lang w:val="en-US"/>
        </w:rPr>
      </w:pPr>
      <w:r>
        <w:rPr>
          <w:lang w:val="en-US"/>
        </w:rPr>
        <w:t>Rapport</w:t>
        <w:tab/>
        <w:t>Report</w:t>
      </w:r>
    </w:p>
    <w:p>
      <w:pPr>
        <w:pStyle w:val="BodyText"/>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BodyText"/>
        <w:tabs>
          <w:tab w:val="clear" w:pos="1304"/>
          <w:tab w:val="left" w:pos="4813" w:leader="none"/>
        </w:tabs>
        <w:spacing w:before="19" w:after="0"/>
        <w:rPr>
          <w:lang w:val="en-US"/>
        </w:rPr>
      </w:pPr>
      <w:r>
        <w:rPr>
          <w:lang w:val="en-US"/>
        </w:rPr>
        <w:t>Seminarium</w:t>
        <w:tab/>
        <w:t>Seminar</w:t>
      </w:r>
    </w:p>
    <w:p>
      <w:pPr>
        <w:pStyle w:val="BodyText"/>
        <w:tabs>
          <w:tab w:val="clear" w:pos="1304"/>
          <w:tab w:val="left" w:pos="4812" w:leader="none"/>
        </w:tabs>
        <w:spacing w:lineRule="auto" w:line="259"/>
        <w:ind w:hanging="0" w:left="135" w:right="1181"/>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BodyText"/>
        <w:tabs>
          <w:tab w:val="clear" w:pos="1304"/>
          <w:tab w:val="left" w:pos="4812" w:leader="none"/>
        </w:tabs>
        <w:spacing w:before="0" w:after="0"/>
        <w:rPr/>
      </w:pPr>
      <w:r>
        <w:rPr/>
        <w:t>Uppsats</w:t>
        <w:tab/>
        <w:t>Essay/Thesis</w:t>
      </w:r>
      <w:hyperlink w:anchor="_bookmark0">
        <w:r>
          <w:rPr>
            <w:vertAlign w:val="superscript"/>
          </w:rPr>
          <w:t>1</w:t>
        </w:r>
      </w:hyperlink>
    </w:p>
    <w:p>
      <w:pPr>
        <w:pStyle w:val="BodyText"/>
        <w:tabs>
          <w:tab w:val="clear" w:pos="1304"/>
          <w:tab w:val="left" w:pos="4813" w:leader="none"/>
        </w:tabs>
        <w:spacing w:before="21" w:after="0"/>
        <w:ind w:hanging="0" w:left="136"/>
        <w:rPr/>
      </w:pPr>
      <w:r>
        <w:rPr/>
        <w:t>Verksamhetsförlagd</w:t>
      </w:r>
      <w:r>
        <w:rPr>
          <w:spacing w:val="-4"/>
        </w:rPr>
        <w:t xml:space="preserve"> </w:t>
      </w:r>
      <w:r>
        <w:rPr/>
        <w:t>utbildning</w:t>
      </w:r>
      <w:r>
        <w:rPr>
          <w:spacing w:val="-4"/>
        </w:rPr>
        <w:t xml:space="preserve"> </w:t>
      </w:r>
      <w:r>
        <w:rPr/>
        <w:t>(VFU)</w:t>
        <w:tab/>
        <w:t>Placement</w:t>
      </w:r>
    </w:p>
    <w:p>
      <w:pPr>
        <w:pStyle w:val="BodyText"/>
        <w:tabs>
          <w:tab w:val="clear" w:pos="1304"/>
          <w:tab w:val="left" w:pos="4813" w:leader="none"/>
        </w:tabs>
        <w:ind w:hanging="0" w:left="136"/>
        <w:rPr>
          <w:lang w:val="en-US"/>
        </w:rPr>
      </w:pPr>
      <w:r>
        <w:rPr>
          <w:lang w:val="en-US"/>
        </w:rPr>
        <w:t>Workshop</w:t>
        <w:tab/>
        <w:t>Workshop</w:t>
      </w:r>
    </w:p>
    <w:p>
      <w:pPr>
        <w:pStyle w:val="BodyText"/>
        <w:tabs>
          <w:tab w:val="clear" w:pos="1304"/>
          <w:tab w:val="left" w:pos="4813" w:leader="none"/>
        </w:tabs>
        <w:ind w:hanging="0" w:left="136"/>
        <w:rPr>
          <w:lang w:val="en-US"/>
        </w:rPr>
      </w:pPr>
      <w:r>
        <w:rPr>
          <w:lang w:val="en-US"/>
        </w:rPr>
        <w:t>Försvar</w:t>
        <w:tab/>
        <w:t>Defence</w:t>
      </w:r>
    </w:p>
    <w:p>
      <w:pPr>
        <w:pStyle w:val="BodyText"/>
        <w:tabs>
          <w:tab w:val="clear" w:pos="1304"/>
          <w:tab w:val="left" w:pos="4813" w:leader="none"/>
        </w:tabs>
        <w:ind w:hanging="0" w:left="136"/>
        <w:rPr>
          <w:lang w:val="en-US"/>
        </w:rPr>
      </w:pPr>
      <w:r>
        <w:rPr>
          <w:lang w:val="en-US"/>
        </w:rPr>
        <w:t>Metod</w:t>
        <w:tab/>
        <w:t>Method</w:t>
      </w:r>
    </w:p>
    <w:p>
      <w:pPr>
        <w:pStyle w:val="BodyText"/>
        <w:tabs>
          <w:tab w:val="clear" w:pos="1304"/>
          <w:tab w:val="left" w:pos="4813" w:leader="none"/>
        </w:tabs>
        <w:spacing w:before="19" w:after="0"/>
        <w:ind w:hanging="0" w:left="136"/>
        <w:rPr>
          <w:lang w:val="en-US"/>
        </w:rPr>
      </w:pPr>
      <w:r>
        <w:rPr>
          <w:lang w:val="en-US"/>
        </w:rPr>
        <w:t>Teori</w:t>
        <w:tab/>
        <w:t>Theory</w:t>
      </w:r>
    </w:p>
    <w:p>
      <w:pPr>
        <w:pStyle w:val="BodyText"/>
        <w:spacing w:before="0" w:after="0"/>
        <w:ind w:hanging="0" w:left="0"/>
        <w:rPr>
          <w:sz w:val="20"/>
          <w:lang w:val="en-US"/>
        </w:rPr>
      </w:pPr>
      <w:r>
        <w:rPr>
          <w:sz w:val="20"/>
          <w:lang w:val="en-US"/>
        </w:rPr>
      </w:r>
    </w:p>
    <w:p>
      <w:pPr>
        <w:pStyle w:val="BodyText"/>
        <w:spacing w:before="11" w:after="0"/>
        <w:ind w:hanging="0" w:left="0"/>
        <w:rPr>
          <w:sz w:val="28"/>
          <w:lang w:val="en-US"/>
        </w:rPr>
      </w:pPr>
      <w:r>
        <w:rPr>
          <w:sz w:val="28"/>
          <w:lang w:val="en-US"/>
        </w:rPr>
      </w:r>
    </w:p>
    <w:p>
      <w:pPr>
        <w:pStyle w:val="Normal"/>
        <w:spacing w:before="100" w:after="0"/>
        <w:ind w:hanging="0" w:left="135"/>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1" w:name="_bookmark0"/>
      <w:bookmarkEnd w:id="1"/>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hanging="0" w:right="-468"/>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hanging="0" w:right="141"/>
      <w:rPr>
        <w:rFonts w:ascii="Gill Sans" w:hAnsi="Gill Sans"/>
        <w:b/>
        <w:sz w:val="18"/>
      </w:rPr>
    </w:pPr>
    <w:r>
      <w:drawing>
        <wp:anchor behindDoc="1" distT="0" distB="0" distL="0" distR="0" simplePos="0" locked="0" layoutInCell="1" allowOverlap="1" relativeHeight="2">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hanging="0" w:right="141"/>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hanging="0" w:right="141"/>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0"/>
        </w:tabs>
        <w:ind w:left="2137" w:hanging="360"/>
      </w:pPr>
      <w:rPr>
        <w:rFonts w:ascii="Symbol" w:hAnsi="Symbol" w:cs="Symbol" w:hint="default"/>
      </w:rPr>
    </w:lvl>
    <w:lvl w:ilvl="1">
      <w:start w:val="1"/>
      <w:numFmt w:val="bullet"/>
      <w:lvlText w:val="o"/>
      <w:lvlJc w:val="left"/>
      <w:pPr>
        <w:tabs>
          <w:tab w:val="num" w:pos="0"/>
        </w:tabs>
        <w:ind w:left="2857" w:hanging="360"/>
      </w:pPr>
      <w:rPr>
        <w:rFonts w:ascii="Courier New" w:hAnsi="Courier New" w:cs="Courier New" w:hint="default"/>
      </w:rPr>
    </w:lvl>
    <w:lvl w:ilvl="2">
      <w:start w:val="1"/>
      <w:numFmt w:val="bullet"/>
      <w:lvlText w:val=""/>
      <w:lvlJc w:val="left"/>
      <w:pPr>
        <w:tabs>
          <w:tab w:val="num" w:pos="0"/>
        </w:tabs>
        <w:ind w:left="3577" w:hanging="360"/>
      </w:pPr>
      <w:rPr>
        <w:rFonts w:ascii="Wingdings" w:hAnsi="Wingdings" w:cs="Wingdings" w:hint="default"/>
      </w:rPr>
    </w:lvl>
    <w:lvl w:ilvl="3">
      <w:start w:val="1"/>
      <w:numFmt w:val="bullet"/>
      <w:lvlText w:val=""/>
      <w:lvlJc w:val="left"/>
      <w:pPr>
        <w:tabs>
          <w:tab w:val="num" w:pos="0"/>
        </w:tabs>
        <w:ind w:left="4297" w:hanging="360"/>
      </w:pPr>
      <w:rPr>
        <w:rFonts w:ascii="Symbol" w:hAnsi="Symbol" w:cs="Symbol" w:hint="default"/>
      </w:rPr>
    </w:lvl>
    <w:lvl w:ilvl="4">
      <w:start w:val="1"/>
      <w:numFmt w:val="bullet"/>
      <w:lvlText w:val="o"/>
      <w:lvlJc w:val="left"/>
      <w:pPr>
        <w:tabs>
          <w:tab w:val="num" w:pos="0"/>
        </w:tabs>
        <w:ind w:left="5017" w:hanging="360"/>
      </w:pPr>
      <w:rPr>
        <w:rFonts w:ascii="Courier New" w:hAnsi="Courier New" w:cs="Courier New" w:hint="default"/>
      </w:rPr>
    </w:lvl>
    <w:lvl w:ilvl="5">
      <w:start w:val="1"/>
      <w:numFmt w:val="bullet"/>
      <w:lvlText w:val=""/>
      <w:lvlJc w:val="left"/>
      <w:pPr>
        <w:tabs>
          <w:tab w:val="num" w:pos="0"/>
        </w:tabs>
        <w:ind w:left="5737" w:hanging="360"/>
      </w:pPr>
      <w:rPr>
        <w:rFonts w:ascii="Wingdings" w:hAnsi="Wingdings" w:cs="Wingdings" w:hint="default"/>
      </w:rPr>
    </w:lvl>
    <w:lvl w:ilvl="6">
      <w:start w:val="1"/>
      <w:numFmt w:val="bullet"/>
      <w:lvlText w:val=""/>
      <w:lvlJc w:val="left"/>
      <w:pPr>
        <w:tabs>
          <w:tab w:val="num" w:pos="0"/>
        </w:tabs>
        <w:ind w:left="6457" w:hanging="360"/>
      </w:pPr>
      <w:rPr>
        <w:rFonts w:ascii="Symbol" w:hAnsi="Symbol" w:cs="Symbol" w:hint="default"/>
      </w:rPr>
    </w:lvl>
    <w:lvl w:ilvl="7">
      <w:start w:val="1"/>
      <w:numFmt w:val="bullet"/>
      <w:lvlText w:val="o"/>
      <w:lvlJc w:val="left"/>
      <w:pPr>
        <w:tabs>
          <w:tab w:val="num" w:pos="0"/>
        </w:tabs>
        <w:ind w:left="7177" w:hanging="360"/>
      </w:pPr>
      <w:rPr>
        <w:rFonts w:ascii="Courier New" w:hAnsi="Courier New" w:cs="Courier New" w:hint="default"/>
      </w:rPr>
    </w:lvl>
    <w:lvl w:ilvl="8">
      <w:start w:val="1"/>
      <w:numFmt w:val="bullet"/>
      <w:lvlText w:val=""/>
      <w:lvlJc w:val="left"/>
      <w:pPr>
        <w:tabs>
          <w:tab w:val="num" w:pos="0"/>
        </w:tabs>
        <w:ind w:left="789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Hyperlink">
    <w:name w:val="Hyperlink"/>
    <w:basedOn w:val="DefaultParagraphFont"/>
    <w:unhideWhenUsed/>
    <w:rsid w:val="00b10784"/>
    <w:rPr>
      <w:color w:themeColor="hyperlink" w:val="0000FF"/>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1d33fe"/>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1d33fe"/>
    <w:rPr>
      <w:rFonts w:ascii="Gill Sans MT" w:hAnsi="Gill Sans MT" w:eastAsia="Gill Sans MT" w:cs="Gill Sans MT"/>
      <w:sz w:val="28"/>
      <w:szCs w:val="28"/>
      <w:lang w:eastAsia="en-U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link w:val="BrdtextChar"/>
    <w:uiPriority w:val="1"/>
    <w:qFormat/>
    <w:rsid w:val="001d33fe"/>
    <w:pPr>
      <w:widowControl w:val="false"/>
      <w:spacing w:before="22" w:after="0"/>
      <w:ind w:hanging="0" w:left="135"/>
    </w:pPr>
    <w:rPr>
      <w:rFonts w:ascii="Calibri" w:hAnsi="Calibri" w:eastAsia="Calibri" w:cs="Calibri"/>
      <w:sz w:val="22"/>
      <w:szCs w:val="22"/>
      <w:lang w:eastAsia="en-US"/>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hanging="0" w:left="720"/>
      <w:contextualSpacing/>
    </w:pPr>
    <w:rPr/>
  </w:style>
  <w:style w:type="paragraph" w:styleId="Subtitle">
    <w:name w:val="Subtitle"/>
    <w:basedOn w:val="Normal"/>
    <w:next w:val="Normal"/>
    <w:link w:val="UnderrubrikChar"/>
    <w:qFormat/>
    <w:rsid w:val="00385bd3"/>
    <w:pPr>
      <w:spacing w:before="120" w:after="120"/>
      <w:ind w:hanging="0" w:left="993"/>
    </w:pPr>
    <w:rPr>
      <w:rFonts w:ascii="Gill Sans MT" w:hAnsi="Gill Sans MT"/>
    </w:rPr>
  </w:style>
  <w:style w:type="paragraph" w:styleId="Title">
    <w:name w:val="Title"/>
    <w:basedOn w:val="Normal"/>
    <w:link w:val="RubrikChar"/>
    <w:uiPriority w:val="10"/>
    <w:qFormat/>
    <w:rsid w:val="001d33fe"/>
    <w:pPr>
      <w:widowControl w:val="false"/>
      <w:spacing w:before="76" w:after="0"/>
      <w:ind w:hanging="0" w:left="135" w:right="37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institution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E10BA3-3DF7-4C51-85D4-EC0382D234B0}"/>
</file>

<file path=customXml/itemProps2.xml><?xml version="1.0" encoding="utf-8"?>
<ds:datastoreItem xmlns:ds="http://schemas.openxmlformats.org/officeDocument/2006/customXml" ds:itemID="{986B7379-C162-4EE2-9A23-C936A848DB8F}">
  <ds:schemaRefs>
    <ds:schemaRef ds:uri="http://schemas.openxmlformats.org/officeDocument/2006/bibliography"/>
  </ds:schemaRefs>
</ds:datastoreItem>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228</TotalTime>
  <Application>LibreOffice/7.6.2.1$Linux_X86_64 LibreOffice_project/60$Build-1</Application>
  <AppVersion>15.0000</AppVersion>
  <Pages>5</Pages>
  <Words>1018</Words>
  <Characters>6016</Characters>
  <CharactersWithSpaces>6929</CharactersWithSpaces>
  <Paragraphs>131</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2018-09-13T08:08:00Z</dcterms:created>
  <dc:creator>Eleonore Lundberg</dc:creator>
  <dc:description/>
  <dc:language>sv-SE</dc:language>
  <cp:lastModifiedBy>Mikael Svahnberg</cp:lastModifiedBy>
  <cp:lastPrinted>2018-01-16T07:51:00Z</cp:lastPrinted>
  <dcterms:modified xsi:type="dcterms:W3CDTF">2023-10-23T14:24:09Z</dcterms:modified>
  <cp:revision>59</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