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gorithmic-clock-full-artifact"/>
    <w:p>
      <w:pPr>
        <w:pStyle w:val="Heading1"/>
      </w:pPr>
      <w:r>
        <w:t xml:space="preserve">Algorithmic Clock Full Artifact</w:t>
      </w:r>
    </w:p>
    <w:bookmarkStart w:id="20" w:name="X14cf90233d39d7c11f900659bbe75d82cd1744e"/>
    <w:p>
      <w:pPr>
        <w:pStyle w:val="Heading2"/>
      </w:pPr>
      <w:r>
        <w:t xml:space="preserve">A Shared Basis, Seed, Replay, and Witness Standard</w:t>
      </w:r>
    </w:p>
    <w:p>
      <w:pPr>
        <w:pStyle w:val="FirstParagraph"/>
      </w:pPr>
      <w:r>
        <w:rPr>
          <w:b/>
          <w:bCs/>
        </w:rPr>
        <w:t xml:space="preserve">Version:</w:t>
      </w:r>
      <w:r>
        <w:t xml:space="preserve"> </w:t>
      </w:r>
      <w:r>
        <w:t xml:space="preserve">1.0-draft</w:t>
      </w:r>
      <w:r>
        <w:br/>
      </w:r>
      <w:r>
        <w:rPr>
          <w:b/>
          <w:bCs/>
        </w:rPr>
        <w:t xml:space="preserve">Author:</w:t>
      </w:r>
      <w:r>
        <w:t xml:space="preserve"> </w:t>
      </w:r>
      <w:r>
        <w:t xml:space="preserve">Brian Thorne</w:t>
      </w:r>
      <w:r>
        <w:br/>
      </w:r>
      <w:r>
        <w:rPr>
          <w:b/>
          <w:bCs/>
        </w:rPr>
        <w:t xml:space="preserve">Status:</w:t>
      </w:r>
      <w:r>
        <w:t xml:space="preserve"> </w:t>
      </w:r>
      <w:r>
        <w:t xml:space="preserve">Constitutional draft artifact</w:t>
      </w:r>
    </w:p>
    <w:p>
      <w:r>
        <w:pict>
          <v:rect style="width:0;height:1.5pt" o:hralign="center" o:hrstd="t" o:hr="t"/>
        </w:pict>
      </w:r>
    </w:p>
    <w:bookmarkEnd w:id="20"/>
    <w:bookmarkEnd w:id="21"/>
    <w:bookmarkStart w:id="22" w:name="abstract"/>
    <w:p>
      <w:pPr>
        <w:pStyle w:val="Heading1"/>
      </w:pPr>
      <w:r>
        <w:t xml:space="preserve">Abstract</w:t>
      </w:r>
    </w:p>
    <w:p>
      <w:pPr>
        <w:pStyle w:val="FirstParagraph"/>
      </w:pPr>
      <w:r>
        <w:t xml:space="preserve">This artifact defines a deterministic algorithmic clock and its shared basis extension model.</w:t>
      </w:r>
    </w:p>
    <w:p>
      <w:pPr>
        <w:pStyle w:val="BodyText"/>
      </w:pPr>
      <w:r>
        <w:t xml:space="preserve">The clock does not measure physical duration. It defines a reproducible logical position by iterating a fixed transition law over a bounded state space. Given the same basis artifact, canonical seed derivation procedure, width, and step count, any conforming implementation must produce the same state sequence and the same projected witness sequence.</w:t>
      </w:r>
    </w:p>
    <w:p>
      <w:pPr>
        <w:pStyle w:val="BodyText"/>
      </w:pPr>
      <w:r>
        <w:t xml:space="preserve">The system is organized in five layers:</w:t>
      </w:r>
    </w:p>
    <w:p>
      <w:pPr>
        <w:pStyle w:val="Compact"/>
        <w:numPr>
          <w:ilvl w:val="0"/>
          <w:numId w:val="1001"/>
        </w:numPr>
      </w:pPr>
      <w:r>
        <w:rPr>
          <w:b/>
          <w:bCs/>
        </w:rPr>
        <w:t xml:space="preserve">Shared basis artifact</w:t>
      </w:r>
      <w:r>
        <w:t xml:space="preserve"> </w:t>
      </w:r>
      <w:r>
        <w:t xml:space="preserve">— a public, versioned symbolic substrate</w:t>
      </w:r>
    </w:p>
    <w:p>
      <w:pPr>
        <w:pStyle w:val="Compact"/>
        <w:numPr>
          <w:ilvl w:val="0"/>
          <w:numId w:val="1001"/>
        </w:numPr>
      </w:pPr>
      <w:r>
        <w:rPr>
          <w:b/>
          <w:bCs/>
        </w:rPr>
        <w:t xml:space="preserve">Canonical seed derivation</w:t>
      </w:r>
      <w:r>
        <w:t xml:space="preserve"> </w:t>
      </w:r>
      <w:r>
        <w:t xml:space="preserve">— deterministic reduction from basis + context into a bounded state</w:t>
      </w:r>
    </w:p>
    <w:p>
      <w:pPr>
        <w:pStyle w:val="Compact"/>
        <w:numPr>
          <w:ilvl w:val="0"/>
          <w:numId w:val="1001"/>
        </w:numPr>
      </w:pPr>
      <w:r>
        <w:rPr>
          <w:b/>
          <w:bCs/>
        </w:rPr>
        <w:t xml:space="preserve">Replay law</w:t>
      </w:r>
      <w:r>
        <w:t xml:space="preserve"> </w:t>
      </w:r>
      <w:r>
        <w:t xml:space="preserve">— a width-parameterized affine circulant state transition</w:t>
      </w:r>
    </w:p>
    <w:p>
      <w:pPr>
        <w:pStyle w:val="Compact"/>
        <w:numPr>
          <w:ilvl w:val="0"/>
          <w:numId w:val="1001"/>
        </w:numPr>
      </w:pPr>
      <w:r>
        <w:rPr>
          <w:b/>
          <w:bCs/>
        </w:rPr>
        <w:t xml:space="preserve">Projection law</w:t>
      </w:r>
      <w:r>
        <w:t xml:space="preserve"> </w:t>
      </w:r>
      <w:r>
        <w:t xml:space="preserve">— canonical observable features derived from state</w:t>
      </w:r>
    </w:p>
    <w:p>
      <w:pPr>
        <w:pStyle w:val="Compact"/>
        <w:numPr>
          <w:ilvl w:val="0"/>
          <w:numId w:val="1001"/>
        </w:numPr>
      </w:pPr>
      <w:r>
        <w:rPr>
          <w:b/>
          <w:bCs/>
        </w:rPr>
        <w:t xml:space="preserve">Witness / extension layer</w:t>
      </w:r>
      <w:r>
        <w:t xml:space="preserve"> </w:t>
      </w:r>
      <w:r>
        <w:t xml:space="preserve">— application-specific artifacts derived without changing the lower law</w:t>
      </w:r>
    </w:p>
    <w:p>
      <w:pPr>
        <w:pStyle w:val="FirstParagraph"/>
      </w:pPr>
      <w:r>
        <w:t xml:space="preserve">The basis artifact proposed here is the Unicode codepoint space with a root UTF-EBCDIC specification artifact. Unicode supplies a public finite symbolic domain. UTF-EBCDIC supplies an operable reference realization. Together they provide a shared substrate from which canonical seeds may be derived and independently falsified or reproduced by any participant.</w:t>
      </w:r>
    </w:p>
    <w:p>
      <w:r>
        <w:pict>
          <v:rect style="width:0;height:1.5pt" o:hralign="center" o:hrstd="t" o:hr="t"/>
        </w:pict>
      </w:r>
    </w:p>
    <w:bookmarkEnd w:id="22"/>
    <w:bookmarkStart w:id="23" w:name="scope"/>
    <w:p>
      <w:pPr>
        <w:pStyle w:val="Heading1"/>
      </w:pPr>
      <w:r>
        <w:t xml:space="preserve">1. Scope</w:t>
      </w:r>
    </w:p>
    <w:p>
      <w:pPr>
        <w:pStyle w:val="FirstParagraph"/>
      </w:pPr>
      <w:r>
        <w:t xml:space="preserve">This artifact defines:</w:t>
      </w:r>
    </w:p>
    <w:p>
      <w:pPr>
        <w:pStyle w:val="Compact"/>
        <w:numPr>
          <w:ilvl w:val="0"/>
          <w:numId w:val="1002"/>
        </w:numPr>
      </w:pPr>
      <w:r>
        <w:t xml:space="preserve">a deterministic logical clock</w:t>
      </w:r>
    </w:p>
    <w:p>
      <w:pPr>
        <w:pStyle w:val="Compact"/>
        <w:numPr>
          <w:ilvl w:val="0"/>
          <w:numId w:val="1002"/>
        </w:numPr>
      </w:pPr>
      <w:r>
        <w:t xml:space="preserve">a width-parameterized replay law</w:t>
      </w:r>
    </w:p>
    <w:p>
      <w:pPr>
        <w:pStyle w:val="Compact"/>
        <w:numPr>
          <w:ilvl w:val="0"/>
          <w:numId w:val="1002"/>
        </w:numPr>
      </w:pPr>
      <w:r>
        <w:t xml:space="preserve">a canonical projection law</w:t>
      </w:r>
    </w:p>
    <w:p>
      <w:pPr>
        <w:pStyle w:val="Compact"/>
        <w:numPr>
          <w:ilvl w:val="0"/>
          <w:numId w:val="1002"/>
        </w:numPr>
      </w:pPr>
      <w:r>
        <w:t xml:space="preserve">a shared basis artifact model</w:t>
      </w:r>
    </w:p>
    <w:p>
      <w:pPr>
        <w:pStyle w:val="Compact"/>
        <w:numPr>
          <w:ilvl w:val="0"/>
          <w:numId w:val="1002"/>
        </w:numPr>
      </w:pPr>
      <w:r>
        <w:t xml:space="preserve">a canonical seed derivation model</w:t>
      </w:r>
    </w:p>
    <w:p>
      <w:pPr>
        <w:pStyle w:val="Compact"/>
        <w:numPr>
          <w:ilvl w:val="0"/>
          <w:numId w:val="1002"/>
        </w:numPr>
      </w:pPr>
      <w:r>
        <w:t xml:space="preserve">a witness model for decentralized and federated systems</w:t>
      </w:r>
    </w:p>
    <w:p>
      <w:pPr>
        <w:pStyle w:val="FirstParagraph"/>
      </w:pPr>
      <w:r>
        <w:t xml:space="preserve">This artifact does</w:t>
      </w:r>
      <w:r>
        <w:t xml:space="preserve"> </w:t>
      </w:r>
      <w:r>
        <w:rPr>
          <w:b/>
          <w:bCs/>
        </w:rPr>
        <w:t xml:space="preserve">not</w:t>
      </w:r>
      <w:r>
        <w:t xml:space="preserve"> </w:t>
      </w:r>
      <w:r>
        <w:t xml:space="preserve">define:</w:t>
      </w:r>
    </w:p>
    <w:p>
      <w:pPr>
        <w:pStyle w:val="Compact"/>
        <w:numPr>
          <w:ilvl w:val="0"/>
          <w:numId w:val="1003"/>
        </w:numPr>
      </w:pPr>
      <w:r>
        <w:t xml:space="preserve">physical time measurement</w:t>
      </w:r>
    </w:p>
    <w:p>
      <w:pPr>
        <w:pStyle w:val="Compact"/>
        <w:numPr>
          <w:ilvl w:val="0"/>
          <w:numId w:val="1003"/>
        </w:numPr>
      </w:pPr>
      <w:r>
        <w:t xml:space="preserve">SI duration standards</w:t>
      </w:r>
    </w:p>
    <w:p>
      <w:pPr>
        <w:pStyle w:val="Compact"/>
        <w:numPr>
          <w:ilvl w:val="0"/>
          <w:numId w:val="1003"/>
        </w:numPr>
      </w:pPr>
      <w:r>
        <w:t xml:space="preserve">empirical metrology</w:t>
      </w:r>
    </w:p>
    <w:p>
      <w:pPr>
        <w:pStyle w:val="Compact"/>
        <w:numPr>
          <w:ilvl w:val="0"/>
          <w:numId w:val="1003"/>
        </w:numPr>
      </w:pPr>
      <w:r>
        <w:t xml:space="preserve">hardware oscillator replacement</w:t>
      </w:r>
    </w:p>
    <w:p>
      <w:pPr>
        <w:pStyle w:val="FirstParagraph"/>
      </w:pPr>
      <w:r>
        <w:t xml:space="preserve">Its purpose is deterministic replay, logical coordination, shared witnessing, and independently reproducible extension.</w:t>
      </w:r>
    </w:p>
    <w:p>
      <w:r>
        <w:pict>
          <v:rect style="width:0;height:1.5pt" o:hralign="center" o:hrstd="t" o:hr="t"/>
        </w:pict>
      </w:r>
    </w:p>
    <w:bookmarkEnd w:id="23"/>
    <w:bookmarkStart w:id="24" w:name="core-mathematical-object"/>
    <w:p>
      <w:pPr>
        <w:pStyle w:val="Heading1"/>
      </w:pPr>
      <w:r>
        <w:t xml:space="preserve">2. Core Mathematical Object</w:t>
      </w:r>
    </w:p>
    <w:p>
      <w:pPr>
        <w:pStyle w:val="FirstParagraph"/>
      </w:pPr>
      <w:r>
        <w:t xml:space="preserve">For each width (n), define the clock family member</w:t>
      </w:r>
    </w:p>
    <w:p>
      <w:pPr>
        <w:pStyle w:val="BodyText"/>
      </w:pPr>
      <w:r>
        <w:t xml:space="preserve">[</w:t>
      </w:r>
      <w:r>
        <w:t xml:space="preserve"> </w:t>
      </w:r>
      <w:r>
        <w:t xml:space="preserve">_n = (S_n,</w:t>
      </w:r>
      <w:r>
        <w:t xml:space="preserve"> </w:t>
      </w:r>
      <w:r>
        <w:t xml:space="preserve">_n,</w:t>
      </w:r>
      <w:r>
        <w:t xml:space="preserve"> </w:t>
      </w:r>
      <w:r>
        <w:t xml:space="preserve">_n)</w:t>
      </w:r>
      <w:r>
        <w:t xml:space="preserve"> </w:t>
      </w:r>
      <w:r>
        <w:t xml:space="preserve">]</w:t>
      </w:r>
    </w:p>
    <w:p>
      <w:pPr>
        <w:pStyle w:val="BodyText"/>
      </w:pPr>
      <w:r>
        <w:t xml:space="preserve">where:</w:t>
      </w:r>
    </w:p>
    <w:p>
      <w:pPr>
        <w:pStyle w:val="Compact"/>
        <w:numPr>
          <w:ilvl w:val="0"/>
          <w:numId w:val="1004"/>
        </w:numPr>
      </w:pPr>
      <w:r>
        <w:t xml:space="preserve">(S_n = {0,1,</w:t>
      </w:r>
      <w:r>
        <w:t xml:space="preserve">,2^n-1}) is the bounded state space</w:t>
      </w:r>
    </w:p>
    <w:p>
      <w:pPr>
        <w:pStyle w:val="Compact"/>
        <w:numPr>
          <w:ilvl w:val="0"/>
          <w:numId w:val="1004"/>
        </w:numPr>
      </w:pPr>
      <w:r>
        <w:t xml:space="preserve">(</w:t>
      </w:r>
      <w:r>
        <w:t xml:space="preserve">_n : S_n</w:t>
      </w:r>
      <w:r>
        <w:t xml:space="preserve"> </w:t>
      </w:r>
      <w:r>
        <w:t xml:space="preserve">S_n) is the transition law</w:t>
      </w:r>
    </w:p>
    <w:p>
      <w:pPr>
        <w:pStyle w:val="Compact"/>
        <w:numPr>
          <w:ilvl w:val="0"/>
          <w:numId w:val="1004"/>
        </w:numPr>
      </w:pPr>
      <w:r>
        <w:t xml:space="preserve">(</w:t>
      </w:r>
      <w:r>
        <w:t xml:space="preserve">_n : S_n</w:t>
      </w:r>
      <w:r>
        <w:t xml:space="preserve"> </w:t>
      </w:r>
      <w:r>
        <w:t xml:space="preserve">B_n) is the canonical projection law</w:t>
      </w:r>
    </w:p>
    <w:p>
      <w:pPr>
        <w:pStyle w:val="FirstParagraph"/>
      </w:pPr>
      <w:r>
        <w:t xml:space="preserve">The clock sequence is generated by replaying (</w:t>
      </w:r>
      <w:r>
        <w:t xml:space="preserve">_n) from a seed (x_0):</w:t>
      </w:r>
    </w:p>
    <w:p>
      <w:pPr>
        <w:pStyle w:val="BodyText"/>
      </w:pPr>
      <w:r>
        <w:t xml:space="preserve">[</w:t>
      </w:r>
      <w:r>
        <w:t xml:space="preserve"> </w:t>
      </w:r>
      <w:r>
        <w:t xml:space="preserve">x_{k+1} =</w:t>
      </w:r>
      <w:r>
        <w:t xml:space="preserve"> </w:t>
      </w:r>
      <w:r>
        <w:t xml:space="preserve">_n(x_k)</w:t>
      </w:r>
      <w:r>
        <w:t xml:space="preserve"> </w:t>
      </w:r>
      <w:r>
        <w:t xml:space="preserve">]</w:t>
      </w:r>
    </w:p>
    <w:p>
      <w:pPr>
        <w:pStyle w:val="BodyText"/>
      </w:pPr>
      <w:r>
        <w:t xml:space="preserve">The projected witness sequence is:</w:t>
      </w:r>
    </w:p>
    <w:p>
      <w:pPr>
        <w:pStyle w:val="BodyText"/>
      </w:pPr>
      <w:r>
        <w:t xml:space="preserve">[</w:t>
      </w:r>
      <w:r>
        <w:t xml:space="preserve"> </w:t>
      </w:r>
      <w:r>
        <w:t xml:space="preserve">_n(x_0),</w:t>
      </w:r>
      <w:r>
        <w:t xml:space="preserve"> </w:t>
      </w:r>
      <w:r>
        <w:t xml:space="preserve">_n(x_1),</w:t>
      </w:r>
      <w:r>
        <w:t xml:space="preserve"> </w:t>
      </w:r>
      <w:r>
        <w:t xml:space="preserve">_n(x_2),</w:t>
      </w:r>
      <w:r>
        <w:t xml:space="preserve"> </w:t>
      </w:r>
      <w:r>
        <w:t xml:space="preserve"> </w:t>
      </w:r>
      <w:r>
        <w:t xml:space="preserve">]</w:t>
      </w:r>
    </w:p>
    <w:p>
      <w:r>
        <w:pict>
          <v:rect style="width:0;height:1.5pt" o:hralign="center" o:hrstd="t" o:hr="t"/>
        </w:pict>
      </w:r>
    </w:p>
    <w:bookmarkEnd w:id="24"/>
    <w:bookmarkStart w:id="25" w:name="state-space"/>
    <w:p>
      <w:pPr>
        <w:pStyle w:val="Heading1"/>
      </w:pPr>
      <w:r>
        <w:t xml:space="preserve">3. State Space</w:t>
      </w:r>
    </w:p>
    <w:p>
      <w:pPr>
        <w:pStyle w:val="FirstParagraph"/>
      </w:pPr>
      <w:r>
        <w:t xml:space="preserve">For width (n):</w:t>
      </w:r>
    </w:p>
    <w:p>
      <w:pPr>
        <w:pStyle w:val="BodyText"/>
      </w:pPr>
      <w:r>
        <w:t xml:space="preserve">[</w:t>
      </w:r>
      <w:r>
        <w:t xml:space="preserve"> </w:t>
      </w:r>
      <w:r>
        <w:t xml:space="preserve">S_n = {0,1,</w:t>
      </w:r>
      <w:r>
        <w:t xml:space="preserve">,2^n-1}</w:t>
      </w:r>
      <w:r>
        <w:t xml:space="preserve"> </w:t>
      </w:r>
      <w:r>
        <w:t xml:space="preserve">]</w:t>
      </w:r>
    </w:p>
    <w:p>
      <w:pPr>
        <w:pStyle w:val="BodyText"/>
      </w:pPr>
      <w:r>
        <w:t xml:space="preserve">Mask operator:</w:t>
      </w:r>
    </w:p>
    <w:p>
      <w:pPr>
        <w:pStyle w:val="BodyText"/>
      </w:pPr>
      <w:r>
        <w:t xml:space="preserve">[</w:t>
      </w:r>
      <w:r>
        <w:t xml:space="preserve"> </w:t>
      </w:r>
      <w:r>
        <w:t xml:space="preserve">_n(x) = x</w:t>
      </w:r>
      <w:r>
        <w:t xml:space="preserve"> </w:t>
      </w:r>
      <w:r>
        <w:t xml:space="preserve">^n</w:t>
      </w:r>
      <w:r>
        <w:t xml:space="preserve"> </w:t>
      </w:r>
      <w:r>
        <w:t xml:space="preserve">]</w:t>
      </w:r>
    </w:p>
    <w:p>
      <w:pPr>
        <w:pStyle w:val="BodyText"/>
      </w:pPr>
      <w:r>
        <w:t xml:space="preserve">This ensures all values remain in the bounded state space.</w:t>
      </w:r>
    </w:p>
    <w:p>
      <w:r>
        <w:pict>
          <v:rect style="width:0;height:1.5pt" o:hralign="center" o:hrstd="t" o:hr="t"/>
        </w:pict>
      </w:r>
    </w:p>
    <w:bookmarkEnd w:id="25"/>
    <w:bookmarkStart w:id="26" w:name="rotation-operators"/>
    <w:p>
      <w:pPr>
        <w:pStyle w:val="Heading1"/>
      </w:pPr>
      <w:r>
        <w:t xml:space="preserve">4. Rotation Operators</w:t>
      </w:r>
    </w:p>
    <w:p>
      <w:pPr>
        <w:pStyle w:val="FirstParagraph"/>
      </w:pPr>
      <w:r>
        <w:t xml:space="preserve">For (x</w:t>
      </w:r>
      <w:r>
        <w:t xml:space="preserve"> </w:t>
      </w:r>
      <w:r>
        <w:t xml:space="preserve">S_n) and shift (k):</w:t>
      </w:r>
    </w:p>
    <w:p>
      <w:pPr>
        <w:pStyle w:val="BodyText"/>
      </w:pPr>
      <w:r>
        <w:t xml:space="preserve">Left rotation:</w:t>
      </w:r>
    </w:p>
    <w:p>
      <w:pPr>
        <w:pStyle w:val="BodyText"/>
      </w:pPr>
      <w:r>
        <w:t xml:space="preserve">[</w:t>
      </w:r>
      <w:r>
        <w:t xml:space="preserve"> </w:t>
      </w:r>
      <w:r>
        <w:t xml:space="preserve">_n(x,k) =</w:t>
      </w:r>
      <w:r>
        <w:t xml:space="preserve"> </w:t>
      </w:r>
      <w:r>
        <w:t xml:space="preserve">_n</w:t>
      </w:r>
      <w:r>
        <w:t xml:space="preserve">((x</w:t>
      </w:r>
      <w:r>
        <w:t xml:space="preserve"> </w:t>
      </w:r>
      <w:r>
        <w:t xml:space="preserve">k)</w:t>
      </w:r>
      <w:r>
        <w:t xml:space="preserve"> </w:t>
      </w:r>
      <w:r>
        <w:t xml:space="preserve">(x</w:t>
      </w:r>
      <w:r>
        <w:t xml:space="preserve"> </w:t>
      </w:r>
      <w:r>
        <w:t xml:space="preserve">(n-k))</w:t>
      </w:r>
      <w:r>
        <w:t xml:space="preserve">)</w:t>
      </w:r>
      <w:r>
        <w:t xml:space="preserve"> </w:t>
      </w:r>
      <w:r>
        <w:t xml:space="preserve">]</w:t>
      </w:r>
    </w:p>
    <w:p>
      <w:pPr>
        <w:pStyle w:val="BodyText"/>
      </w:pPr>
      <w:r>
        <w:t xml:space="preserve">Right rotation:</w:t>
      </w:r>
    </w:p>
    <w:p>
      <w:pPr>
        <w:pStyle w:val="BodyText"/>
      </w:pPr>
      <w:r>
        <w:t xml:space="preserve">[</w:t>
      </w:r>
      <w:r>
        <w:t xml:space="preserve"> </w:t>
      </w:r>
      <w:r>
        <w:t xml:space="preserve">_n(x,k) =</w:t>
      </w:r>
      <w:r>
        <w:t xml:space="preserve"> </w:t>
      </w:r>
      <w:r>
        <w:t xml:space="preserve">_n</w:t>
      </w:r>
      <w:r>
        <w:t xml:space="preserve">((x</w:t>
      </w:r>
      <w:r>
        <w:t xml:space="preserve"> </w:t>
      </w:r>
      <w:r>
        <w:t xml:space="preserve">k)</w:t>
      </w:r>
      <w:r>
        <w:t xml:space="preserve"> </w:t>
      </w:r>
      <w:r>
        <w:t xml:space="preserve">(x</w:t>
      </w:r>
      <w:r>
        <w:t xml:space="preserve"> </w:t>
      </w:r>
      <w:r>
        <w:t xml:space="preserve">(n-k))</w:t>
      </w:r>
      <w:r>
        <w:t xml:space="preserve">)</w:t>
      </w:r>
      <w:r>
        <w:t xml:space="preserve"> </w:t>
      </w:r>
      <w:r>
        <w:t xml:space="preserve">]</w:t>
      </w:r>
    </w:p>
    <w:p>
      <w:r>
        <w:pict>
          <v:rect style="width:0;height:1.5pt" o:hralign="center" o:hrstd="t" o:hr="t"/>
        </w:pict>
      </w:r>
    </w:p>
    <w:bookmarkEnd w:id="26"/>
    <w:bookmarkStart w:id="28" w:name="transition-law"/>
    <w:p>
      <w:pPr>
        <w:pStyle w:val="Heading1"/>
      </w:pPr>
      <w:r>
        <w:t xml:space="preserve">5. Transition Law</w:t>
      </w:r>
    </w:p>
    <w:p>
      <w:pPr>
        <w:pStyle w:val="FirstParagraph"/>
      </w:pPr>
      <w:r>
        <w:t xml:space="preserve">The width-parameterized transition law is:</w:t>
      </w:r>
    </w:p>
    <w:p>
      <w:pPr>
        <w:pStyle w:val="BodyText"/>
      </w:pPr>
      <w:r>
        <w:t xml:space="preserve">[</w:t>
      </w:r>
      <w:r>
        <w:t xml:space="preserve"> </w:t>
      </w:r>
      <w:r>
        <w:t xml:space="preserve">_n(x) =</w:t>
      </w:r>
      <w:r>
        <w:t xml:space="preserve"> </w:t>
      </w:r>
      <w:r>
        <w:t xml:space="preserve">_n</w:t>
      </w:r>
      <w:r>
        <w:t xml:space="preserve">(</w:t>
      </w:r>
      <w:r>
        <w:t xml:space="preserve"> </w:t>
      </w:r>
      <w:r>
        <w:t xml:space="preserve">_n(x,1)</w:t>
      </w:r>
      <w:r>
        <w:t xml:space="preserve"> </w:t>
      </w:r>
      <w:r>
        <w:t xml:space="preserve"> </w:t>
      </w:r>
      <w:r>
        <w:t xml:space="preserve">_n(x,3)</w:t>
      </w:r>
      <w:r>
        <w:t xml:space="preserve"> </w:t>
      </w:r>
      <w:r>
        <w:t xml:space="preserve"> </w:t>
      </w:r>
      <w:r>
        <w:t xml:space="preserve">_n(x,2)</w:t>
      </w:r>
      <w:r>
        <w:t xml:space="preserve"> </w:t>
      </w:r>
      <w:r>
        <w:t xml:space="preserve"> </w:t>
      </w:r>
      <w:r>
        <w:t xml:space="preserve">C_n</w:t>
      </w:r>
      <w:r>
        <w:t xml:space="preserve"> </w:t>
      </w:r>
      <w:r>
        <w:t xml:space="preserve">)</w:t>
      </w:r>
      <w:r>
        <w:t xml:space="preserve"> </w:t>
      </w:r>
      <w:r>
        <w:t xml:space="preserve">]</w:t>
      </w:r>
    </w:p>
    <w:p>
      <w:pPr>
        <w:pStyle w:val="BodyText"/>
      </w:pPr>
      <w:r>
        <w:t xml:space="preserve">where (</w:t>
      </w:r>
      <w:r>
        <w:t xml:space="preserve">) is bitwise XOR and (C_n) is a width-matched constant.</w:t>
      </w:r>
    </w:p>
    <w:bookmarkStart w:id="27" w:name="constant-family"/>
    <w:p>
      <w:pPr>
        <w:pStyle w:val="Heading2"/>
      </w:pPr>
      <w:r>
        <w:t xml:space="preserve">5.1 Constant Family</w:t>
      </w:r>
    </w:p>
    <w:p>
      <w:pPr>
        <w:pStyle w:val="FirstParagraph"/>
      </w:pPr>
      <w:r>
        <w:t xml:space="preserve">The constant is defined by repeating the byte pattern</w:t>
      </w:r>
      <w:r>
        <w:t xml:space="preserve"> </w:t>
      </w:r>
      <w:r>
        <w:rPr>
          <w:rStyle w:val="VerbatimChar"/>
        </w:rPr>
        <w:t xml:space="preserve">0x1D</w:t>
      </w:r>
      <w:r>
        <w:t xml:space="preserve"> </w:t>
      </w:r>
      <w:r>
        <w:t xml:space="preserve">across the chosen width.</w:t>
      </w:r>
    </w:p>
    <w:p>
      <w:pPr>
        <w:pStyle w:val="BodyText"/>
      </w:pPr>
      <w:r>
        <w:t xml:space="preserve">Examples:</w:t>
      </w:r>
    </w:p>
    <w:p>
      <w:pPr>
        <w:pStyle w:val="Compact"/>
        <w:numPr>
          <w:ilvl w:val="0"/>
          <w:numId w:val="1005"/>
        </w:numPr>
      </w:pPr>
      <w:r>
        <w:t xml:space="preserve">(C_{16} = 0x1D1D)</w:t>
      </w:r>
    </w:p>
    <w:p>
      <w:pPr>
        <w:pStyle w:val="Compact"/>
        <w:numPr>
          <w:ilvl w:val="0"/>
          <w:numId w:val="1005"/>
        </w:numPr>
      </w:pPr>
      <w:r>
        <w:t xml:space="preserve">(C_{32} = 0x1D1D1D1D)</w:t>
      </w:r>
    </w:p>
    <w:p>
      <w:pPr>
        <w:pStyle w:val="Compact"/>
        <w:numPr>
          <w:ilvl w:val="0"/>
          <w:numId w:val="1005"/>
        </w:numPr>
      </w:pPr>
      <w:r>
        <w:t xml:space="preserve">(C_{64} = 0x1D1D1D1D1D1D1D1D)</w:t>
      </w:r>
    </w:p>
    <w:p>
      <w:pPr>
        <w:pStyle w:val="Compact"/>
        <w:numPr>
          <w:ilvl w:val="0"/>
          <w:numId w:val="1005"/>
        </w:numPr>
      </w:pPr>
      <w:r>
        <w:t xml:space="preserve">(C_{128}) = repeated</w:t>
      </w:r>
      <w:r>
        <w:t xml:space="preserve"> </w:t>
      </w:r>
      <w:r>
        <w:rPr>
          <w:rStyle w:val="VerbatimChar"/>
        </w:rPr>
        <w:t xml:space="preserve">0x1D</w:t>
      </w:r>
      <w:r>
        <w:t xml:space="preserve"> </w:t>
      </w:r>
      <w:r>
        <w:t xml:space="preserve">for 16 bytes</w:t>
      </w:r>
    </w:p>
    <w:p>
      <w:pPr>
        <w:pStyle w:val="Compact"/>
        <w:numPr>
          <w:ilvl w:val="0"/>
          <w:numId w:val="1005"/>
        </w:numPr>
      </w:pPr>
      <w:r>
        <w:t xml:space="preserve">(C_{256}) = repeated</w:t>
      </w:r>
      <w:r>
        <w:t xml:space="preserve"> </w:t>
      </w:r>
      <w:r>
        <w:rPr>
          <w:rStyle w:val="VerbatimChar"/>
        </w:rPr>
        <w:t xml:space="preserve">0x1D</w:t>
      </w:r>
      <w:r>
        <w:t xml:space="preserve"> </w:t>
      </w:r>
      <w:r>
        <w:t xml:space="preserve">for 32 bytes</w:t>
      </w:r>
    </w:p>
    <w:p>
      <w:r>
        <w:pict>
          <v:rect style="width:0;height:1.5pt" o:hralign="center" o:hrstd="t" o:hr="t"/>
        </w:pict>
      </w:r>
    </w:p>
    <w:bookmarkEnd w:id="27"/>
    <w:bookmarkEnd w:id="28"/>
    <w:bookmarkStart w:id="29" w:name="affine-circulant-form"/>
    <w:p>
      <w:pPr>
        <w:pStyle w:val="Heading1"/>
      </w:pPr>
      <w:r>
        <w:t xml:space="preserve">6. Affine Circulant Form</w:t>
      </w:r>
    </w:p>
    <w:p>
      <w:pPr>
        <w:pStyle w:val="FirstParagraph"/>
      </w:pPr>
      <w:r>
        <w:t xml:space="preserve">Define the linear component:</w:t>
      </w:r>
    </w:p>
    <w:p>
      <w:pPr>
        <w:pStyle w:val="BodyText"/>
      </w:pPr>
      <w:r>
        <w:t xml:space="preserve">[</w:t>
      </w:r>
      <w:r>
        <w:t xml:space="preserve"> </w:t>
      </w:r>
      <w:r>
        <w:t xml:space="preserve">L_n(x) =</w:t>
      </w:r>
      <w:r>
        <w:t xml:space="preserve"> </w:t>
      </w:r>
      <w:r>
        <w:t xml:space="preserve">_n(x,1)</w:t>
      </w:r>
      <w:r>
        <w:t xml:space="preserve"> </w:t>
      </w:r>
      <w:r>
        <w:t xml:space="preserve">_n(x,3)</w:t>
      </w:r>
      <w:r>
        <w:t xml:space="preserve"> </w:t>
      </w:r>
      <w:r>
        <w:t xml:space="preserve">_n(x,2)</w:t>
      </w:r>
      <w:r>
        <w:t xml:space="preserve"> </w:t>
      </w:r>
      <w:r>
        <w:t xml:space="preserve">]</w:t>
      </w:r>
    </w:p>
    <w:p>
      <w:pPr>
        <w:pStyle w:val="BodyText"/>
      </w:pPr>
      <w:r>
        <w:t xml:space="preserve">Then:</w:t>
      </w:r>
    </w:p>
    <w:p>
      <w:pPr>
        <w:pStyle w:val="BodyText"/>
      </w:pPr>
      <w:r>
        <w:t xml:space="preserve">[</w:t>
      </w:r>
      <w:r>
        <w:t xml:space="preserve"> </w:t>
      </w:r>
      <w:r>
        <w:t xml:space="preserve">_n(x) = L_n(x)</w:t>
      </w:r>
      <w:r>
        <w:t xml:space="preserve"> </w:t>
      </w:r>
      <w:r>
        <w:t xml:space="preserve">C_n</w:t>
      </w:r>
      <w:r>
        <w:t xml:space="preserve"> </w:t>
      </w:r>
      <w:r>
        <w:t xml:space="preserve">]</w:t>
      </w:r>
    </w:p>
    <w:p>
      <w:pPr>
        <w:pStyle w:val="BodyText"/>
      </w:pPr>
      <w:r>
        <w:t xml:space="preserve">This places the clock in the class of affine dynamical systems over (GF(2)^n):</w:t>
      </w:r>
    </w:p>
    <w:p>
      <w:pPr>
        <w:pStyle w:val="BodyText"/>
      </w:pPr>
      <w:r>
        <w:t xml:space="preserve">[</w:t>
      </w:r>
      <w:r>
        <w:t xml:space="preserve"> </w:t>
      </w:r>
      <w:r>
        <w:t xml:space="preserve">_n(x) = A_n x</w:t>
      </w:r>
      <w:r>
        <w:t xml:space="preserve"> </w:t>
      </w:r>
      <w:r>
        <w:t xml:space="preserve">b_n</w:t>
      </w:r>
      <w:r>
        <w:t xml:space="preserve"> </w:t>
      </w:r>
      <w:r>
        <w:t xml:space="preserve">]</w:t>
      </w:r>
    </w:p>
    <w:p>
      <w:pPr>
        <w:pStyle w:val="BodyText"/>
      </w:pPr>
      <w:r>
        <w:t xml:space="preserve">where:</w:t>
      </w:r>
    </w:p>
    <w:p>
      <w:pPr>
        <w:pStyle w:val="Compact"/>
        <w:numPr>
          <w:ilvl w:val="0"/>
          <w:numId w:val="1006"/>
        </w:numPr>
      </w:pPr>
      <w:r>
        <w:t xml:space="preserve">(A_n) is the circulant linear operator induced by taps ({1,3,n-2})</w:t>
      </w:r>
    </w:p>
    <w:p>
      <w:pPr>
        <w:pStyle w:val="Compact"/>
        <w:numPr>
          <w:ilvl w:val="0"/>
          <w:numId w:val="1006"/>
        </w:numPr>
      </w:pPr>
      <w:r>
        <w:t xml:space="preserve">(b_n = C_n)</w:t>
      </w:r>
    </w:p>
    <w:p>
      <w:pPr>
        <w:pStyle w:val="FirstParagraph"/>
      </w:pPr>
      <w:r>
        <w:t xml:space="preserve">Thus the clock is a</w:t>
      </w:r>
      <w:r>
        <w:t xml:space="preserve"> </w:t>
      </w:r>
      <w:r>
        <w:rPr>
          <w:b/>
          <w:bCs/>
        </w:rPr>
        <w:t xml:space="preserve">width-parameterized affine circulant dynamical system</w:t>
      </w:r>
      <w:r>
        <w:t xml:space="preserve">.</w:t>
      </w:r>
    </w:p>
    <w:p>
      <w:r>
        <w:pict>
          <v:rect style="width:0;height:1.5pt" o:hralign="center" o:hrstd="t" o:hr="t"/>
        </w:pict>
      </w:r>
    </w:p>
    <w:bookmarkEnd w:id="29"/>
    <w:bookmarkStart w:id="30" w:name="replay-law"/>
    <w:p>
      <w:pPr>
        <w:pStyle w:val="Heading1"/>
      </w:pPr>
      <w:r>
        <w:t xml:space="preserve">7. Replay Law</w:t>
      </w:r>
    </w:p>
    <w:p>
      <w:pPr>
        <w:pStyle w:val="FirstParagraph"/>
      </w:pPr>
      <w:r>
        <w:t xml:space="preserve">Given a seed (x_0), replay is defined by iteration:</w:t>
      </w:r>
    </w:p>
    <w:p>
      <w:pPr>
        <w:pStyle w:val="BodyText"/>
      </w:pPr>
      <w:r>
        <w:t xml:space="preserve">[</w:t>
      </w:r>
      <w:r>
        <w:t xml:space="preserve"> </w:t>
      </w:r>
      <w:r>
        <w:t xml:space="preserve">x_{k+1} =</w:t>
      </w:r>
      <w:r>
        <w:t xml:space="preserve"> </w:t>
      </w:r>
      <w:r>
        <w:t xml:space="preserve">_n(x_k)</w:t>
      </w:r>
      <w:r>
        <w:t xml:space="preserve"> </w:t>
      </w:r>
      <w:r>
        <w:t xml:space="preserve">]</w:t>
      </w:r>
    </w:p>
    <w:p>
      <w:pPr>
        <w:pStyle w:val="BodyText"/>
      </w:pPr>
      <w:r>
        <w:t xml:space="preserve">The replay sequence is:</w:t>
      </w:r>
    </w:p>
    <w:p>
      <w:pPr>
        <w:pStyle w:val="BodyText"/>
      </w:pPr>
      <w:r>
        <w:t xml:space="preserve">[</w:t>
      </w:r>
      <w:r>
        <w:t xml:space="preserve"> </w:t>
      </w:r>
      <w:r>
        <w:t xml:space="preserve">O_n(x_0) = (x_0, x_1, x_2,</w:t>
      </w:r>
      <w:r>
        <w:t xml:space="preserve"> </w:t>
      </w:r>
      <w:r>
        <w:t xml:space="preserve">)</w:t>
      </w:r>
      <w:r>
        <w:t xml:space="preserve"> </w:t>
      </w:r>
      <w:r>
        <w:t xml:space="preserve">]</w:t>
      </w:r>
    </w:p>
    <w:p>
      <w:pPr>
        <w:pStyle w:val="BodyText"/>
      </w:pPr>
      <w:r>
        <w:t xml:space="preserve">with:</w:t>
      </w:r>
    </w:p>
    <w:p>
      <w:pPr>
        <w:pStyle w:val="BodyText"/>
      </w:pPr>
      <w:r>
        <w:t xml:space="preserve">[</w:t>
      </w:r>
      <w:r>
        <w:t xml:space="preserve"> </w:t>
      </w:r>
      <w:r>
        <w:t xml:space="preserve">x_k =</w:t>
      </w:r>
      <w:r>
        <w:t xml:space="preserve"> </w:t>
      </w:r>
      <w:r>
        <w:t xml:space="preserve">_n^k(x_0)</w:t>
      </w:r>
      <w:r>
        <w:t xml:space="preserve"> </w:t>
      </w:r>
      <w:r>
        <w:t xml:space="preserve">]</w:t>
      </w:r>
    </w:p>
    <w:p>
      <w:pPr>
        <w:pStyle w:val="BodyText"/>
      </w:pPr>
      <w:r>
        <w:t xml:space="preserve">This sequence is deterministic and reproducible by any conforming implementation.</w:t>
      </w:r>
    </w:p>
    <w:p>
      <w:r>
        <w:pict>
          <v:rect style="width:0;height:1.5pt" o:hralign="center" o:hrstd="t" o:hr="t"/>
        </w:pict>
      </w:r>
    </w:p>
    <w:bookmarkEnd w:id="30"/>
    <w:bookmarkStart w:id="34" w:name="projection-law"/>
    <w:p>
      <w:pPr>
        <w:pStyle w:val="Heading1"/>
      </w:pPr>
      <w:r>
        <w:t xml:space="preserve">8. Projection Law</w:t>
      </w:r>
    </w:p>
    <w:p>
      <w:pPr>
        <w:pStyle w:val="FirstParagraph"/>
      </w:pPr>
      <w:r>
        <w:t xml:space="preserve">The canonical projection maps a state to a structural witness tuple called a</w:t>
      </w:r>
      <w:r>
        <w:t xml:space="preserve"> </w:t>
      </w:r>
      <w:r>
        <w:rPr>
          <w:b/>
          <w:bCs/>
        </w:rPr>
        <w:t xml:space="preserve">band</w:t>
      </w:r>
      <w:r>
        <w:t xml:space="preserve">.</w:t>
      </w:r>
    </w:p>
    <w:p>
      <w:pPr>
        <w:pStyle w:val="BodyText"/>
      </w:pPr>
      <w:r>
        <w:t xml:space="preserve">[</w:t>
      </w:r>
      <w:r>
        <w:t xml:space="preserve"> </w:t>
      </w:r>
      <w:r>
        <w:t xml:space="preserve">_n(x) = (w(x), d(x), e(x))</w:t>
      </w:r>
      <w:r>
        <w:t xml:space="preserve"> </w:t>
      </w:r>
      <w:r>
        <w:t xml:space="preserve">]</w:t>
      </w:r>
    </w:p>
    <w:p>
      <w:pPr>
        <w:pStyle w:val="BodyText"/>
      </w:pPr>
      <w:r>
        <w:t xml:space="preserve">where:</w:t>
      </w:r>
    </w:p>
    <w:bookmarkStart w:id="31" w:name="width"/>
    <w:p>
      <w:pPr>
        <w:pStyle w:val="Heading2"/>
      </w:pPr>
      <w:r>
        <w:t xml:space="preserve">8.1 Width</w:t>
      </w:r>
    </w:p>
    <w:p>
      <w:pPr>
        <w:pStyle w:val="FirstParagraph"/>
      </w:pPr>
      <w:r>
        <w:t xml:space="preserve">[</w:t>
      </w:r>
      <w:r>
        <w:t xml:space="preserve"> </w:t>
      </w:r>
      <w:r>
        <w:t xml:space="preserve">w(x) =</w:t>
      </w:r>
    </w:p>
    <w:p>
      <w:pPr>
        <w:pStyle w:val="BodyText"/>
      </w:pPr>
      <w:r>
        <w:t xml:space="preserve">]</w:t>
      </w:r>
    </w:p>
    <w:bookmarkEnd w:id="31"/>
    <w:bookmarkStart w:id="32" w:name="density"/>
    <w:p>
      <w:pPr>
        <w:pStyle w:val="Heading2"/>
      </w:pPr>
      <w:r>
        <w:t xml:space="preserve">8.2 Density</w:t>
      </w:r>
    </w:p>
    <w:p>
      <w:pPr>
        <w:pStyle w:val="FirstParagraph"/>
      </w:pPr>
      <w:r>
        <w:t xml:space="preserve">[</w:t>
      </w:r>
      <w:r>
        <w:t xml:space="preserve"> </w:t>
      </w:r>
      <w:r>
        <w:t xml:space="preserve">d(x) =</w:t>
      </w:r>
      <w:r>
        <w:t xml:space="preserve"> </w:t>
      </w:r>
      <w:r>
        <w:t xml:space="preserve">(x)</w:t>
      </w:r>
      <w:r>
        <w:t xml:space="preserve"> </w:t>
      </w:r>
      <w:r>
        <w:t xml:space="preserve">]</w:t>
      </w:r>
    </w:p>
    <w:bookmarkEnd w:id="32"/>
    <w:bookmarkStart w:id="33" w:name="texture"/>
    <w:p>
      <w:pPr>
        <w:pStyle w:val="Heading2"/>
      </w:pPr>
      <w:r>
        <w:t xml:space="preserve">8.3 Texture</w:t>
      </w:r>
    </w:p>
    <w:p>
      <w:pPr>
        <w:pStyle w:val="FirstParagraph"/>
      </w:pPr>
      <w:r>
        <w:t xml:space="preserve">[</w:t>
      </w:r>
      <w:r>
        <w:t xml:space="preserve"> </w:t>
      </w:r>
      <w:r>
        <w:t xml:space="preserve">e(x) =</w:t>
      </w:r>
      <w:r>
        <w:t xml:space="preserve"> </w:t>
      </w:r>
      <w:r>
        <w:t xml:space="preserve">_{i=0}^{n-1}</w:t>
      </w:r>
      <w:r>
        <w:t xml:space="preserve"> </w:t>
      </w:r>
      <w:r>
        <w:t xml:space="preserve">(</w:t>
      </w:r>
      <w:r>
        <w:rPr>
          <w:i/>
          <w:iCs/>
        </w:rPr>
        <w:t xml:space="preserve">i(x)</w:t>
      </w:r>
      <w:r>
        <w:rPr>
          <w:i/>
          <w:iCs/>
        </w:rPr>
        <w:t xml:space="preserve"> </w:t>
      </w:r>
      <w:r>
        <w:t xml:space="preserve">{(i+1)</w:t>
      </w:r>
      <w:r>
        <w:t xml:space="preserve">n}(x))</w:t>
      </w:r>
      <w:r>
        <w:t xml:space="preserve"> </w:t>
      </w:r>
      <w:r>
        <w:t xml:space="preserve">]</w:t>
      </w:r>
    </w:p>
    <w:p>
      <w:pPr>
        <w:pStyle w:val="BodyText"/>
      </w:pPr>
      <w:r>
        <w:t xml:space="preserve">The witness sequence is therefore:</w:t>
      </w:r>
    </w:p>
    <w:p>
      <w:pPr>
        <w:pStyle w:val="BodyText"/>
      </w:pPr>
      <w:r>
        <w:t xml:space="preserve">[</w:t>
      </w:r>
      <w:r>
        <w:t xml:space="preserve"> </w:t>
      </w:r>
      <w:r>
        <w:t xml:space="preserve">T_n(x_0) = (</w:t>
      </w:r>
      <w:r>
        <w:t xml:space="preserve">_n(x_0),</w:t>
      </w:r>
      <w:r>
        <w:t xml:space="preserve"> </w:t>
      </w:r>
      <w:r>
        <w:t xml:space="preserve">_n(x_1),</w:t>
      </w:r>
      <w:r>
        <w:t xml:space="preserve"> </w:t>
      </w:r>
      <w:r>
        <w:t xml:space="preserve">_n(x_2),</w:t>
      </w:r>
      <w:r>
        <w:t xml:space="preserve"> </w:t>
      </w:r>
      <w:r>
        <w:t xml:space="preserve">)</w:t>
      </w:r>
      <w:r>
        <w:t xml:space="preserve"> </w:t>
      </w:r>
      <w:r>
        <w:t xml:space="preserve">]</w:t>
      </w:r>
    </w:p>
    <w:p>
      <w:r>
        <w:pict>
          <v:rect style="width:0;height:1.5pt" o:hralign="center" o:hrstd="t" o:hr="t"/>
        </w:pict>
      </w:r>
    </w:p>
    <w:bookmarkEnd w:id="33"/>
    <w:bookmarkEnd w:id="34"/>
    <w:bookmarkStart w:id="35" w:name="orbit-signature"/>
    <w:p>
      <w:pPr>
        <w:pStyle w:val="Heading1"/>
      </w:pPr>
      <w:r>
        <w:t xml:space="preserve">9. Orbit Signature</w:t>
      </w:r>
    </w:p>
    <w:p>
      <w:pPr>
        <w:pStyle w:val="FirstParagraph"/>
      </w:pPr>
      <w:r>
        <w:t xml:space="preserve">For a seed (x), define the canonical orbit signature:</w:t>
      </w:r>
    </w:p>
    <w:p>
      <w:pPr>
        <w:pStyle w:val="BodyText"/>
      </w:pPr>
      <w:r>
        <w:t xml:space="preserve">[</w:t>
      </w:r>
      <w:r>
        <w:t xml:space="preserve"> </w:t>
      </w:r>
      <w:r>
        <w:t xml:space="preserve">_n(x) = (</w:t>
      </w:r>
      <w:r>
        <w:t xml:space="preserve">(x), D(x), E(x))</w:t>
      </w:r>
      <w:r>
        <w:t xml:space="preserve"> </w:t>
      </w:r>
      <w:r>
        <w:t xml:space="preserve">]</w:t>
      </w:r>
    </w:p>
    <w:p>
      <w:pPr>
        <w:pStyle w:val="BodyText"/>
      </w:pPr>
      <w:r>
        <w:t xml:space="preserve">where:</w:t>
      </w:r>
    </w:p>
    <w:p>
      <w:pPr>
        <w:pStyle w:val="Compact"/>
        <w:numPr>
          <w:ilvl w:val="0"/>
          <w:numId w:val="1007"/>
        </w:numPr>
      </w:pPr>
      <w:r>
        <w:t xml:space="preserve">(</w:t>
      </w:r>
      <w:r>
        <w:t xml:space="preserve">(x)) = cycle length of the orbit containing (x)</w:t>
      </w:r>
    </w:p>
    <w:p>
      <w:pPr>
        <w:pStyle w:val="Compact"/>
        <w:numPr>
          <w:ilvl w:val="0"/>
          <w:numId w:val="1007"/>
        </w:numPr>
      </w:pPr>
      <w:r>
        <w:t xml:space="preserve">(D(x)) = density distribution along the orbit</w:t>
      </w:r>
    </w:p>
    <w:p>
      <w:pPr>
        <w:pStyle w:val="Compact"/>
        <w:numPr>
          <w:ilvl w:val="0"/>
          <w:numId w:val="1007"/>
        </w:numPr>
      </w:pPr>
      <w:r>
        <w:t xml:space="preserve">(E(x)) = band transition structure along the orbit</w:t>
      </w:r>
    </w:p>
    <w:p>
      <w:pPr>
        <w:pStyle w:val="FirstParagraph"/>
      </w:pPr>
      <w:r>
        <w:t xml:space="preserve">This signature is a deterministic invariant of the replay process for fixed width, seed law, and basis artifact.</w:t>
      </w:r>
    </w:p>
    <w:p>
      <w:r>
        <w:pict>
          <v:rect style="width:0;height:1.5pt" o:hralign="center" o:hrstd="t" o:hr="t"/>
        </w:pict>
      </w:r>
    </w:p>
    <w:bookmarkEnd w:id="35"/>
    <w:bookmarkStart w:id="38" w:name="order-theorem-for-power-of-two-widths"/>
    <w:p>
      <w:pPr>
        <w:pStyle w:val="Heading1"/>
      </w:pPr>
      <w:r>
        <w:t xml:space="preserve">10. Order Theorem for Power-of-Two Widths</w:t>
      </w:r>
    </w:p>
    <w:p>
      <w:pPr>
        <w:pStyle w:val="FirstParagraph"/>
      </w:pPr>
      <w:r>
        <w:t xml:space="preserve">Let (n = 2^k) with (k</w:t>
      </w:r>
      <w:r>
        <w:t xml:space="preserve"> </w:t>
      </w:r>
      <w:r>
        <w:t xml:space="preserve">), and let (A_n) be the circulant linear operator induced by the tap set ({1,3,n-2}).</w:t>
      </w:r>
    </w:p>
    <w:p>
      <w:pPr>
        <w:pStyle w:val="BodyText"/>
      </w:pPr>
      <w:r>
        <w:t xml:space="preserve">Then the operator order satisfies:</w:t>
      </w:r>
    </w:p>
    <w:p>
      <w:pPr>
        <w:pStyle w:val="BodyText"/>
      </w:pPr>
      <w:r>
        <w:t xml:space="preserve">[</w:t>
      </w:r>
      <w:r>
        <w:t xml:space="preserve"> </w:t>
      </w:r>
      <w:r>
        <w:t xml:space="preserve">(A_n) =</w:t>
      </w:r>
      <w:r>
        <w:t xml:space="preserve"> </w:t>
      </w:r>
      <w:r>
        <w:t xml:space="preserve"> </w:t>
      </w:r>
      <w:r>
        <w:t xml:space="preserve">]</w:t>
      </w:r>
    </w:p>
    <w:p>
      <w:pPr>
        <w:pStyle w:val="BodyText"/>
      </w:pPr>
      <w:r>
        <w:t xml:space="preserve">for the tested widths:</w:t>
      </w:r>
    </w:p>
    <w:p>
      <w:pPr>
        <w:pStyle w:val="Compact"/>
        <w:numPr>
          <w:ilvl w:val="0"/>
          <w:numId w:val="1008"/>
        </w:numPr>
      </w:pPr>
      <w:r>
        <w:t xml:space="preserve">(n=16</w:t>
      </w:r>
      <w:r>
        <w:t xml:space="preserve"> </w:t>
      </w:r>
      <w:r>
        <w:t xml:space="preserve">(A_{16}) = 8)</w:t>
      </w:r>
    </w:p>
    <w:p>
      <w:pPr>
        <w:pStyle w:val="Compact"/>
        <w:numPr>
          <w:ilvl w:val="0"/>
          <w:numId w:val="1008"/>
        </w:numPr>
      </w:pPr>
      <w:r>
        <w:t xml:space="preserve">(n=32</w:t>
      </w:r>
      <w:r>
        <w:t xml:space="preserve"> </w:t>
      </w:r>
      <w:r>
        <w:t xml:space="preserve">(A_{32}) = 16)</w:t>
      </w:r>
    </w:p>
    <w:p>
      <w:pPr>
        <w:pStyle w:val="Compact"/>
        <w:numPr>
          <w:ilvl w:val="0"/>
          <w:numId w:val="1008"/>
        </w:numPr>
      </w:pPr>
      <w:r>
        <w:t xml:space="preserve">(n=64</w:t>
      </w:r>
      <w:r>
        <w:t xml:space="preserve"> </w:t>
      </w:r>
      <w:r>
        <w:t xml:space="preserve">(A_{64}) = 32)</w:t>
      </w:r>
    </w:p>
    <w:p>
      <w:pPr>
        <w:pStyle w:val="Compact"/>
        <w:numPr>
          <w:ilvl w:val="0"/>
          <w:numId w:val="1008"/>
        </w:numPr>
      </w:pPr>
      <w:r>
        <w:t xml:space="preserve">(n=128</w:t>
      </w:r>
      <w:r>
        <w:t xml:space="preserve"> </w:t>
      </w:r>
      <w:r>
        <w:t xml:space="preserve">(A_{128}) = 64)</w:t>
      </w:r>
    </w:p>
    <w:p>
      <w:pPr>
        <w:pStyle w:val="Compact"/>
        <w:numPr>
          <w:ilvl w:val="0"/>
          <w:numId w:val="1008"/>
        </w:numPr>
      </w:pPr>
      <w:r>
        <w:t xml:space="preserve">(n=256</w:t>
      </w:r>
      <w:r>
        <w:t xml:space="preserve"> </w:t>
      </w:r>
      <w:r>
        <w:t xml:space="preserve">(A_{256}) = 128)</w:t>
      </w:r>
    </w:p>
    <w:p>
      <w:pPr>
        <w:pStyle w:val="FirstParagraph"/>
      </w:pPr>
      <w:r>
        <w:t xml:space="preserve">This yields two comparison ladders:</w:t>
      </w:r>
    </w:p>
    <w:bookmarkStart w:id="36" w:name="power-ladder"/>
    <w:p>
      <w:pPr>
        <w:pStyle w:val="Heading2"/>
      </w:pPr>
      <w:r>
        <w:t xml:space="preserve">10.1 Power Ladder</w:t>
      </w:r>
    </w:p>
    <w:p>
      <w:pPr>
        <w:pStyle w:val="FirstParagraph"/>
      </w:pPr>
      <w:r>
        <w:t xml:space="preserve">[</w:t>
      </w:r>
      <w:r>
        <w:t xml:space="preserve"> </w:t>
      </w:r>
      <w:r>
        <w:t xml:space="preserve">16</w:t>
      </w:r>
      <w:r>
        <w:t xml:space="preserve"> </w:t>
      </w:r>
      <w:r>
        <w:t xml:space="preserve"> </w:t>
      </w:r>
      <w:r>
        <w:t xml:space="preserve"> </w:t>
      </w:r>
      <w:r>
        <w:t xml:space="preserve"> </w:t>
      </w:r>
      <w:r>
        <w:t xml:space="preserve"> </w:t>
      </w:r>
      <w:r>
        <w:t xml:space="preserve">]</w:t>
      </w:r>
    </w:p>
    <w:p>
      <w:pPr>
        <w:pStyle w:val="BodyText"/>
      </w:pPr>
      <w:r>
        <w:t xml:space="preserve">with operator orders:</w:t>
      </w:r>
    </w:p>
    <w:p>
      <w:pPr>
        <w:pStyle w:val="BodyText"/>
      </w:pPr>
      <w:r>
        <w:t xml:space="preserve">[</w:t>
      </w:r>
      <w:r>
        <w:t xml:space="preserve"> </w:t>
      </w:r>
      <w:r>
        <w:t xml:space="preserve">8</w:t>
      </w:r>
      <w:r>
        <w:t xml:space="preserve"> </w:t>
      </w:r>
      <w:r>
        <w:t xml:space="preserve"> </w:t>
      </w:r>
      <w:r>
        <w:t xml:space="preserve"> </w:t>
      </w:r>
      <w:r>
        <w:t xml:space="preserve"> </w:t>
      </w:r>
      <w:r>
        <w:t xml:space="preserve"> </w:t>
      </w:r>
      <w:r>
        <w:t xml:space="preserve">]</w:t>
      </w:r>
    </w:p>
    <w:bookmarkEnd w:id="36"/>
    <w:bookmarkStart w:id="37" w:name="jump-ladder"/>
    <w:p>
      <w:pPr>
        <w:pStyle w:val="Heading2"/>
      </w:pPr>
      <w:r>
        <w:t xml:space="preserve">10.2 Jump Ladder</w:t>
      </w:r>
    </w:p>
    <w:p>
      <w:pPr>
        <w:pStyle w:val="FirstParagraph"/>
      </w:pPr>
      <w:r>
        <w:t xml:space="preserve">[</w:t>
      </w:r>
      <w:r>
        <w:t xml:space="preserve"> </w:t>
      </w:r>
      <w:r>
        <w:t xml:space="preserve">16</w:t>
      </w:r>
      <w:r>
        <w:t xml:space="preserve"> </w:t>
      </w:r>
      <w:r>
        <w:t xml:space="preserve"> </w:t>
      </w:r>
      <w:r>
        <w:t xml:space="preserve"> </w:t>
      </w:r>
      <w:r>
        <w:t xml:space="preserve">]</w:t>
      </w:r>
    </w:p>
    <w:p>
      <w:pPr>
        <w:pStyle w:val="BodyText"/>
      </w:pPr>
      <w:r>
        <w:t xml:space="preserve">with operator orders:</w:t>
      </w:r>
    </w:p>
    <w:p>
      <w:pPr>
        <w:pStyle w:val="BodyText"/>
      </w:pPr>
      <w:r>
        <w:t xml:space="preserve">[</w:t>
      </w:r>
      <w:r>
        <w:t xml:space="preserve"> </w:t>
      </w:r>
      <w:r>
        <w:t xml:space="preserve">8</w:t>
      </w:r>
      <w:r>
        <w:t xml:space="preserve"> </w:t>
      </w:r>
      <w:r>
        <w:t xml:space="preserve"> </w:t>
      </w:r>
      <w:r>
        <w:t xml:space="preserve"> </w:t>
      </w:r>
      <w:r>
        <w:t xml:space="preserve">]</w:t>
      </w:r>
    </w:p>
    <w:p>
      <w:pPr>
        <w:pStyle w:val="BodyText"/>
      </w:pPr>
      <w:r>
        <w:t xml:space="preserve">These ladders provide a deterministic width hierarchy for comparing orbit depth, replay structure, density distributions, band transitions, and other derived observables.</w:t>
      </w:r>
    </w:p>
    <w:p>
      <w:r>
        <w:pict>
          <v:rect style="width:0;height:1.5pt" o:hralign="center" o:hrstd="t" o:hr="t"/>
        </w:pict>
      </w:r>
    </w:p>
    <w:bookmarkEnd w:id="37"/>
    <w:bookmarkEnd w:id="38"/>
    <w:bookmarkStart w:id="39" w:name="meaning-of-the-clock"/>
    <w:p>
      <w:pPr>
        <w:pStyle w:val="Heading1"/>
      </w:pPr>
      <w:r>
        <w:t xml:space="preserve">11. Meaning of the Clock</w:t>
      </w:r>
    </w:p>
    <w:p>
      <w:pPr>
        <w:pStyle w:val="FirstParagraph"/>
      </w:pPr>
      <w:r>
        <w:t xml:space="preserve">This artifact does not define physical time. It defines a reproducible logical coordinate system.</w:t>
      </w:r>
    </w:p>
    <w:p>
      <w:pPr>
        <w:pStyle w:val="BodyText"/>
      </w:pPr>
      <w:r>
        <w:t xml:space="preserve">For any event associated with a replay step (k), the step difference between events is a logical distance:</w:t>
      </w:r>
    </w:p>
    <w:p>
      <w:pPr>
        <w:pStyle w:val="BodyText"/>
      </w:pPr>
      <w:r>
        <w:t xml:space="preserve">[</w:t>
      </w:r>
      <w:r>
        <w:t xml:space="preserve"> </w:t>
      </w:r>
      <w:r>
        <w:t xml:space="preserve">(A,B) = k_B - k_A</w:t>
      </w:r>
      <w:r>
        <w:t xml:space="preserve"> </w:t>
      </w:r>
      <w:r>
        <w:t xml:space="preserve">]</w:t>
      </w:r>
    </w:p>
    <w:p>
      <w:pPr>
        <w:pStyle w:val="BodyText"/>
      </w:pPr>
      <w:r>
        <w:t xml:space="preserve">Thus the clock provides a deterministic coordinate system over state evolution. It allows participants to compare the relative positions of events by counting iterations of the transition law rather than by consulting physical clocks.</w:t>
      </w:r>
    </w:p>
    <w:p>
      <w:r>
        <w:pict>
          <v:rect style="width:0;height:1.5pt" o:hralign="center" o:hrstd="t" o:hr="t"/>
        </w:pict>
      </w:r>
    </w:p>
    <w:bookmarkEnd w:id="39"/>
    <w:bookmarkStart w:id="40" w:name="shared-basis-artifact"/>
    <w:p>
      <w:pPr>
        <w:pStyle w:val="Heading1"/>
      </w:pPr>
      <w:r>
        <w:t xml:space="preserve">12. Shared Basis Artifact</w:t>
      </w:r>
    </w:p>
    <w:p>
      <w:pPr>
        <w:pStyle w:val="FirstParagraph"/>
      </w:pPr>
      <w:r>
        <w:t xml:space="preserve">The clock becomes decentralized and publicly falsifiable only when bound to a shared basis artifact.</w:t>
      </w:r>
    </w:p>
    <w:p>
      <w:pPr>
        <w:pStyle w:val="BodyText"/>
      </w:pPr>
      <w:r>
        <w:t xml:space="preserve">The proposed basis artifact is:</w:t>
      </w:r>
    </w:p>
    <w:p>
      <w:pPr>
        <w:pStyle w:val="BodyText"/>
      </w:pPr>
      <w:r>
        <w:t xml:space="preserve">[</w:t>
      </w:r>
      <w:r>
        <w:t xml:space="preserve"> </w:t>
      </w:r>
      <w:r>
        <w:t xml:space="preserve">B = (</w:t>
      </w:r>
      <w:r>
        <w:t xml:space="preserve">,</w:t>
      </w:r>
      <w:r>
        <w:t xml:space="preserve"> </w:t>
      </w:r>
      <w:r>
        <w:t xml:space="preserve">,</w:t>
      </w:r>
      <w:r>
        <w:t xml:space="preserve"> </w:t>
      </w:r>
      <w:r>
        <w:t xml:space="preserve">)</w:t>
      </w:r>
      <w:r>
        <w:t xml:space="preserve"> </w:t>
      </w:r>
      <w:r>
        <w:t xml:space="preserve">]</w:t>
      </w:r>
    </w:p>
    <w:p>
      <w:pPr>
        <w:pStyle w:val="BodyText"/>
      </w:pPr>
      <w:r>
        <w:t xml:space="preserve">This basis artifact is:</w:t>
      </w:r>
    </w:p>
    <w:p>
      <w:pPr>
        <w:pStyle w:val="Compact"/>
        <w:numPr>
          <w:ilvl w:val="0"/>
          <w:numId w:val="1009"/>
        </w:numPr>
      </w:pPr>
      <w:r>
        <w:t xml:space="preserve">public</w:t>
      </w:r>
    </w:p>
    <w:p>
      <w:pPr>
        <w:pStyle w:val="Compact"/>
        <w:numPr>
          <w:ilvl w:val="0"/>
          <w:numId w:val="1009"/>
        </w:numPr>
      </w:pPr>
      <w:r>
        <w:t xml:space="preserve">versioned</w:t>
      </w:r>
    </w:p>
    <w:p>
      <w:pPr>
        <w:pStyle w:val="Compact"/>
        <w:numPr>
          <w:ilvl w:val="0"/>
          <w:numId w:val="1009"/>
        </w:numPr>
      </w:pPr>
      <w:r>
        <w:t xml:space="preserve">finite</w:t>
      </w:r>
    </w:p>
    <w:p>
      <w:pPr>
        <w:pStyle w:val="Compact"/>
        <w:numPr>
          <w:ilvl w:val="0"/>
          <w:numId w:val="1009"/>
        </w:numPr>
      </w:pPr>
      <w:r>
        <w:t xml:space="preserve">globally accessible</w:t>
      </w:r>
    </w:p>
    <w:p>
      <w:pPr>
        <w:pStyle w:val="Compact"/>
        <w:numPr>
          <w:ilvl w:val="0"/>
          <w:numId w:val="1009"/>
        </w:numPr>
      </w:pPr>
      <w:r>
        <w:t xml:space="preserve">independently falsifiable</w:t>
      </w:r>
    </w:p>
    <w:p>
      <w:pPr>
        <w:pStyle w:val="FirstParagraph"/>
      </w:pPr>
      <w:r>
        <w:t xml:space="preserve">Unicode provides a public codepoint space:</w:t>
      </w:r>
    </w:p>
    <w:p>
      <w:pPr>
        <w:pStyle w:val="BodyText"/>
      </w:pPr>
      <w:r>
        <w:t xml:space="preserve">[</w:t>
      </w:r>
      <w:r>
        <w:t xml:space="preserve"> </w:t>
      </w:r>
      <w:r>
        <w:t xml:space="preserve">U = {0,</w:t>
      </w:r>
      <w:r>
        <w:t xml:space="preserve"> </w:t>
      </w:r>
      <w:r>
        <w:t xml:space="preserve">, 0x10FFFF}</w:t>
      </w:r>
      <w:r>
        <w:t xml:space="preserve"> </w:t>
      </w:r>
      <w:r>
        <w:t xml:space="preserve">]</w:t>
      </w:r>
    </w:p>
    <w:p>
      <w:pPr>
        <w:pStyle w:val="BodyText"/>
      </w:pPr>
      <w:r>
        <w:t xml:space="preserve">UTF-EBCDIC provides an operable byte-level realization of that codepoint space.</w:t>
      </w:r>
    </w:p>
    <w:p>
      <w:pPr>
        <w:pStyle w:val="BodyText"/>
      </w:pPr>
      <w:r>
        <w:t xml:space="preserve">The purpose of the basis artifact is not to redefine Unicode. Its purpose is to supply a stable public symbolic substrate from which deterministic seeds can be derived.</w:t>
      </w:r>
    </w:p>
    <w:p>
      <w:r>
        <w:pict>
          <v:rect style="width:0;height:1.5pt" o:hralign="center" o:hrstd="t" o:hr="t"/>
        </w:pict>
      </w:r>
    </w:p>
    <w:bookmarkEnd w:id="40"/>
    <w:bookmarkStart w:id="41" w:name="why-unicode-and-utf-ebcdic"/>
    <w:p>
      <w:pPr>
        <w:pStyle w:val="Heading1"/>
      </w:pPr>
      <w:r>
        <w:t xml:space="preserve">13. Why Unicode and UTF-EBCDIC</w:t>
      </w:r>
    </w:p>
    <w:p>
      <w:pPr>
        <w:pStyle w:val="FirstParagraph"/>
      </w:pPr>
      <w:r>
        <w:t xml:space="preserve">Unicode is chosen because it gives:</w:t>
      </w:r>
    </w:p>
    <w:p>
      <w:pPr>
        <w:pStyle w:val="Compact"/>
        <w:numPr>
          <w:ilvl w:val="0"/>
          <w:numId w:val="1010"/>
        </w:numPr>
      </w:pPr>
      <w:r>
        <w:t xml:space="preserve">a globally shared symbol space</w:t>
      </w:r>
    </w:p>
    <w:p>
      <w:pPr>
        <w:pStyle w:val="Compact"/>
        <w:numPr>
          <w:ilvl w:val="0"/>
          <w:numId w:val="1010"/>
        </w:numPr>
      </w:pPr>
      <w:r>
        <w:t xml:space="preserve">a stable, publicly inspectable standard</w:t>
      </w:r>
    </w:p>
    <w:p>
      <w:pPr>
        <w:pStyle w:val="Compact"/>
        <w:numPr>
          <w:ilvl w:val="0"/>
          <w:numId w:val="1010"/>
        </w:numPr>
      </w:pPr>
      <w:r>
        <w:t xml:space="preserve">a finite codepoint universe</w:t>
      </w:r>
    </w:p>
    <w:p>
      <w:pPr>
        <w:pStyle w:val="Compact"/>
        <w:numPr>
          <w:ilvl w:val="0"/>
          <w:numId w:val="1010"/>
        </w:numPr>
      </w:pPr>
      <w:r>
        <w:t xml:space="preserve">independent access and reproducibility</w:t>
      </w:r>
    </w:p>
    <w:p>
      <w:pPr>
        <w:pStyle w:val="FirstParagraph"/>
      </w:pPr>
      <w:r>
        <w:t xml:space="preserve">UTF-EBCDIC is chosen as a root artifact because it gives:</w:t>
      </w:r>
    </w:p>
    <w:p>
      <w:pPr>
        <w:pStyle w:val="Compact"/>
        <w:numPr>
          <w:ilvl w:val="0"/>
          <w:numId w:val="1011"/>
        </w:numPr>
      </w:pPr>
      <w:r>
        <w:t xml:space="preserve">a concrete encoding realization</w:t>
      </w:r>
    </w:p>
    <w:p>
      <w:pPr>
        <w:pStyle w:val="Compact"/>
        <w:numPr>
          <w:ilvl w:val="0"/>
          <w:numId w:val="1011"/>
        </w:numPr>
      </w:pPr>
      <w:r>
        <w:t xml:space="preserve">an explicit, inspectable mapping artifact</w:t>
      </w:r>
    </w:p>
    <w:p>
      <w:pPr>
        <w:pStyle w:val="Compact"/>
        <w:numPr>
          <w:ilvl w:val="0"/>
          <w:numId w:val="1011"/>
        </w:numPr>
      </w:pPr>
      <w:r>
        <w:t xml:space="preserve">a standards-based byte representation</w:t>
      </w:r>
    </w:p>
    <w:p>
      <w:pPr>
        <w:pStyle w:val="Compact"/>
        <w:numPr>
          <w:ilvl w:val="0"/>
          <w:numId w:val="1011"/>
        </w:numPr>
      </w:pPr>
      <w:r>
        <w:t xml:space="preserve">a basis that can be checked, reproduced, or falsified without private trust</w:t>
      </w:r>
    </w:p>
    <w:p>
      <w:pPr>
        <w:pStyle w:val="FirstParagraph"/>
      </w:pPr>
      <w:r>
        <w:t xml:space="preserve">Together they provide:</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This is sufficient to support canonical seed derivation in a decentralized environment.</w:t>
      </w:r>
    </w:p>
    <w:p>
      <w:r>
        <w:pict>
          <v:rect style="width:0;height:1.5pt" o:hralign="center" o:hrstd="t" o:hr="t"/>
        </w:pict>
      </w:r>
    </w:p>
    <w:bookmarkEnd w:id="41"/>
    <w:bookmarkStart w:id="42" w:name="canonical-seed-derivation"/>
    <w:p>
      <w:pPr>
        <w:pStyle w:val="Heading1"/>
      </w:pPr>
      <w:r>
        <w:t xml:space="preserve">14. Canonical Seed Derivation</w:t>
      </w:r>
    </w:p>
    <w:p>
      <w:pPr>
        <w:pStyle w:val="FirstParagraph"/>
      </w:pPr>
      <w:r>
        <w:t xml:space="preserve">Define a canonical seed derivation map:</w:t>
      </w:r>
    </w:p>
    <w:p>
      <w:pPr>
        <w:pStyle w:val="BodyText"/>
      </w:pPr>
      <w:r>
        <w:t xml:space="preserve">[</w:t>
      </w:r>
      <w:r>
        <w:t xml:space="preserve"> </w:t>
      </w:r>
      <w:r>
        <w:t xml:space="preserve">_n : B</w:t>
      </w:r>
      <w:r>
        <w:t xml:space="preserve"> </w:t>
      </w:r>
      <w:r>
        <w:t xml:space="preserve"> </w:t>
      </w:r>
      <w:r>
        <w:t xml:space="preserve">S_n</w:t>
      </w:r>
      <w:r>
        <w:t xml:space="preserve"> </w:t>
      </w:r>
      <w:r>
        <w:t xml:space="preserve">]</w:t>
      </w:r>
    </w:p>
    <w:p>
      <w:pPr>
        <w:pStyle w:val="BodyText"/>
      </w:pPr>
      <w:r>
        <w:t xml:space="preserve">where:</w:t>
      </w:r>
    </w:p>
    <w:p>
      <w:pPr>
        <w:pStyle w:val="Compact"/>
        <w:numPr>
          <w:ilvl w:val="0"/>
          <w:numId w:val="1012"/>
        </w:numPr>
      </w:pPr>
      <w:r>
        <w:t xml:space="preserve">(B) is the shared basis artifact</w:t>
      </w:r>
    </w:p>
    <w:p>
      <w:pPr>
        <w:pStyle w:val="Compact"/>
        <w:numPr>
          <w:ilvl w:val="0"/>
          <w:numId w:val="1012"/>
        </w:numPr>
      </w:pPr>
      <w:r>
        <w:t xml:space="preserve">(</w:t>
      </w:r>
      <w:r>
        <w:t xml:space="preserve">) is an application-defined context space</w:t>
      </w:r>
    </w:p>
    <w:p>
      <w:pPr>
        <w:pStyle w:val="Compact"/>
        <w:numPr>
          <w:ilvl w:val="0"/>
          <w:numId w:val="1012"/>
        </w:numPr>
      </w:pPr>
      <w:r>
        <w:t xml:space="preserve">(S_n) is the chosen bounded state space</w:t>
      </w:r>
    </w:p>
    <w:p>
      <w:pPr>
        <w:pStyle w:val="FirstParagraph"/>
      </w:pPr>
      <w:r>
        <w:t xml:space="preserve">The derivation pipeline is:</w:t>
      </w:r>
    </w:p>
    <w:p>
      <w:pPr>
        <w:pStyle w:val="BodyText"/>
      </w:pPr>
      <w:r>
        <w:t xml:space="preserve">[</w:t>
      </w:r>
      <w:r>
        <w:t xml:space="preserve"> </w:t>
      </w:r>
      <w:r>
        <w:t xml:space="preserve">(B, x)</w:t>
      </w:r>
      <w:r>
        <w:t xml:space="preserve"> </w:t>
      </w:r>
      <w:r>
        <w:t xml:space="preserve">(B, x)</w:t>
      </w:r>
      <w:r>
        <w:t xml:space="preserve"> </w:t>
      </w:r>
      <w:r>
        <w:t xml:space="preserve">(B, x)</w:t>
      </w:r>
      <w:r>
        <w:t xml:space="preserve"> </w:t>
      </w:r>
      <w:r>
        <w:t xml:space="preserve">_n(B, x)</w:t>
      </w:r>
      <w:r>
        <w:t xml:space="preserve"> </w:t>
      </w:r>
      <w:r>
        <w:t xml:space="preserve">]</w:t>
      </w:r>
    </w:p>
    <w:p>
      <w:pPr>
        <w:pStyle w:val="BodyText"/>
      </w:pPr>
      <w:r>
        <w:t xml:space="preserve">A canonical form is obtained from basis + context. That form is encoded through the agreed basis artifact and reduced into width (n).</w:t>
      </w:r>
    </w:p>
    <w:p>
      <w:pPr>
        <w:pStyle w:val="BodyText"/>
      </w:pPr>
      <w:r>
        <w:t xml:space="preserve">A generic form is:</w:t>
      </w:r>
    </w:p>
    <w:p>
      <w:pPr>
        <w:pStyle w:val="BodyText"/>
      </w:pPr>
      <w:r>
        <w:t xml:space="preserve">[</w:t>
      </w:r>
      <w:r>
        <w:t xml:space="preserve"> </w:t>
      </w:r>
      <w:r>
        <w:t xml:space="preserve">_n(B,x) =</w:t>
      </w:r>
      <w:r>
        <w:t xml:space="preserve"> </w:t>
      </w:r>
      <w:r>
        <w:t xml:space="preserve">_n(H(</w:t>
      </w:r>
      <w:r>
        <w:t xml:space="preserve">(B,x)))</w:t>
      </w:r>
      <w:r>
        <w:t xml:space="preserve"> </w:t>
      </w:r>
      <w:r>
        <w:t xml:space="preserve">]</w:t>
      </w:r>
    </w:p>
    <w:p>
      <w:pPr>
        <w:pStyle w:val="BodyText"/>
      </w:pPr>
      <w:r>
        <w:t xml:space="preserve">where:</w:t>
      </w:r>
    </w:p>
    <w:p>
      <w:pPr>
        <w:pStyle w:val="Compact"/>
        <w:numPr>
          <w:ilvl w:val="0"/>
          <w:numId w:val="1013"/>
        </w:numPr>
      </w:pPr>
      <w:r>
        <w:t xml:space="preserve">(</w:t>
      </w:r>
      <w:r>
        <w:t xml:space="preserve">) is a canonicalization procedure</w:t>
      </w:r>
    </w:p>
    <w:p>
      <w:pPr>
        <w:pStyle w:val="Compact"/>
        <w:numPr>
          <w:ilvl w:val="0"/>
          <w:numId w:val="1013"/>
        </w:numPr>
      </w:pPr>
      <w:r>
        <w:t xml:space="preserve">(H) is a deterministic reduction or digest function</w:t>
      </w:r>
    </w:p>
    <w:p>
      <w:pPr>
        <w:pStyle w:val="Compact"/>
        <w:numPr>
          <w:ilvl w:val="0"/>
          <w:numId w:val="1013"/>
        </w:numPr>
      </w:pPr>
      <w:r>
        <w:t xml:space="preserve">(</w:t>
      </w:r>
      <w:r>
        <w:t xml:space="preserve">_n) maps into the width-bounded state space</w:t>
      </w:r>
    </w:p>
    <w:p>
      <w:pPr>
        <w:pStyle w:val="FirstParagraph"/>
      </w:pPr>
      <w:r>
        <w:t xml:space="preserve">The crucial property is not the specific digest, but that the entire derivation process is normative and reproducible.</w:t>
      </w:r>
    </w:p>
    <w:p>
      <w:r>
        <w:pict>
          <v:rect style="width:0;height:1.5pt" o:hralign="center" o:hrstd="t" o:hr="t"/>
        </w:pict>
      </w:r>
    </w:p>
    <w:bookmarkEnd w:id="42"/>
    <w:bookmarkStart w:id="43" w:name="unicode-embedding-view"/>
    <w:p>
      <w:pPr>
        <w:pStyle w:val="Heading1"/>
      </w:pPr>
      <w:r>
        <w:t xml:space="preserve">15. Unicode Embedding View</w:t>
      </w:r>
    </w:p>
    <w:p>
      <w:pPr>
        <w:pStyle w:val="FirstParagraph"/>
      </w:pPr>
      <w:r>
        <w:t xml:space="preserve">For each width (n), states live in (GF(2)^n). Unicode codepoints live in the integer domain (U).</w:t>
      </w:r>
    </w:p>
    <w:p>
      <w:pPr>
        <w:pStyle w:val="BodyText"/>
      </w:pPr>
      <w:r>
        <w:t xml:space="preserve">An embedding:</w:t>
      </w:r>
    </w:p>
    <w:p>
      <w:pPr>
        <w:pStyle w:val="BodyText"/>
      </w:pPr>
      <w:r>
        <w:t xml:space="preserve">[</w:t>
      </w:r>
      <w:r>
        <w:t xml:space="preserve"> </w:t>
      </w:r>
      <w:r>
        <w:t xml:space="preserve">_n : GF(2)^n</w:t>
      </w:r>
      <w:r>
        <w:t xml:space="preserve"> </w:t>
      </w:r>
      <w:r>
        <w:t xml:space="preserve">U</w:t>
      </w:r>
      <w:r>
        <w:t xml:space="preserve"> </w:t>
      </w:r>
      <w:r>
        <w:t xml:space="preserve">]</w:t>
      </w:r>
    </w:p>
    <w:p>
      <w:pPr>
        <w:pStyle w:val="BodyText"/>
      </w:pPr>
      <w:r>
        <w:t xml:space="preserve">may be used to interpret bounded states or projected witnesses as codepoint-valued artifacts when the chosen width and range allow.</w:t>
      </w:r>
    </w:p>
    <w:p>
      <w:pPr>
        <w:pStyle w:val="BodyText"/>
      </w:pPr>
      <w:r>
        <w:t xml:space="preserve">This does not make Unicode the clock. Rather:</w:t>
      </w:r>
    </w:p>
    <w:p>
      <w:pPr>
        <w:pStyle w:val="Compact"/>
        <w:numPr>
          <w:ilvl w:val="0"/>
          <w:numId w:val="1014"/>
        </w:numPr>
      </w:pPr>
      <w:r>
        <w:t xml:space="preserve">the clock is the replay law</w:t>
      </w:r>
    </w:p>
    <w:p>
      <w:pPr>
        <w:pStyle w:val="Compact"/>
        <w:numPr>
          <w:ilvl w:val="0"/>
          <w:numId w:val="1014"/>
        </w:numPr>
      </w:pPr>
      <w:r>
        <w:t xml:space="preserve">Unicode is the shared symbolic coordinate space</w:t>
      </w:r>
    </w:p>
    <w:p>
      <w:pPr>
        <w:pStyle w:val="Compact"/>
        <w:numPr>
          <w:ilvl w:val="0"/>
          <w:numId w:val="1014"/>
        </w:numPr>
      </w:pPr>
      <w:r>
        <w:t xml:space="preserve">UTF-EBCDIC is the root artifact realization</w:t>
      </w:r>
    </w:p>
    <w:p>
      <w:r>
        <w:pict>
          <v:rect style="width:0;height:1.5pt" o:hralign="center" o:hrstd="t" o:hr="t"/>
        </w:pict>
      </w:r>
    </w:p>
    <w:bookmarkEnd w:id="43"/>
    <w:bookmarkStart w:id="49" w:name="conformance-model"/>
    <w:p>
      <w:pPr>
        <w:pStyle w:val="Heading1"/>
      </w:pPr>
      <w:r>
        <w:t xml:space="preserve">16. Conformance Model</w:t>
      </w:r>
    </w:p>
    <w:p>
      <w:pPr>
        <w:pStyle w:val="FirstParagraph"/>
      </w:pPr>
      <w:r>
        <w:t xml:space="preserve">A conforming implementation must preserve the following layers exactly.</w:t>
      </w:r>
    </w:p>
    <w:bookmarkStart w:id="44" w:name="basis-conformance"/>
    <w:p>
      <w:pPr>
        <w:pStyle w:val="Heading2"/>
      </w:pPr>
      <w:r>
        <w:t xml:space="preserve">16.1 Basis Conformance</w:t>
      </w:r>
    </w:p>
    <w:p>
      <w:pPr>
        <w:pStyle w:val="Compact"/>
        <w:numPr>
          <w:ilvl w:val="0"/>
          <w:numId w:val="1015"/>
        </w:numPr>
      </w:pPr>
      <w:r>
        <w:t xml:space="preserve">agreed Unicode version</w:t>
      </w:r>
    </w:p>
    <w:p>
      <w:pPr>
        <w:pStyle w:val="Compact"/>
        <w:numPr>
          <w:ilvl w:val="0"/>
          <w:numId w:val="1015"/>
        </w:numPr>
      </w:pPr>
      <w:r>
        <w:t xml:space="preserve">agreed UTF-EBCDIC mapping artifact</w:t>
      </w:r>
    </w:p>
    <w:p>
      <w:pPr>
        <w:pStyle w:val="Compact"/>
        <w:numPr>
          <w:ilvl w:val="0"/>
          <w:numId w:val="1015"/>
        </w:numPr>
      </w:pPr>
      <w:r>
        <w:t xml:space="preserve">agreed normalization rules</w:t>
      </w:r>
    </w:p>
    <w:bookmarkEnd w:id="44"/>
    <w:bookmarkStart w:id="45" w:name="seed-conformance"/>
    <w:p>
      <w:pPr>
        <w:pStyle w:val="Heading2"/>
      </w:pPr>
      <w:r>
        <w:t xml:space="preserve">16.2 Seed Conformance</w:t>
      </w:r>
    </w:p>
    <w:p>
      <w:pPr>
        <w:pStyle w:val="FirstParagraph"/>
      </w:pPr>
      <w:r>
        <w:t xml:space="preserve">Given the same basis artifact and context, the derived seed must be identical.</w:t>
      </w:r>
    </w:p>
    <w:bookmarkEnd w:id="45"/>
    <w:bookmarkStart w:id="46" w:name="replay-conformance"/>
    <w:p>
      <w:pPr>
        <w:pStyle w:val="Heading2"/>
      </w:pPr>
      <w:r>
        <w:t xml:space="preserve">16.3 Replay Conformance</w:t>
      </w:r>
    </w:p>
    <w:p>
      <w:pPr>
        <w:pStyle w:val="FirstParagraph"/>
      </w:pPr>
      <w:r>
        <w:t xml:space="preserve">Given the same width, constant family, seed, and step count, the replay state sequence must be identical.</w:t>
      </w:r>
    </w:p>
    <w:bookmarkEnd w:id="46"/>
    <w:bookmarkStart w:id="47" w:name="projection-conformance"/>
    <w:p>
      <w:pPr>
        <w:pStyle w:val="Heading2"/>
      </w:pPr>
      <w:r>
        <w:t xml:space="preserve">16.4 Projection Conformance</w:t>
      </w:r>
    </w:p>
    <w:p>
      <w:pPr>
        <w:pStyle w:val="FirstParagraph"/>
      </w:pPr>
      <w:r>
        <w:t xml:space="preserve">Given the same replay sequence, the band sequence and any derived witness tuple must be identical.</w:t>
      </w:r>
    </w:p>
    <w:bookmarkEnd w:id="47"/>
    <w:bookmarkStart w:id="48" w:name="witness-conformance"/>
    <w:p>
      <w:pPr>
        <w:pStyle w:val="Heading2"/>
      </w:pPr>
      <w:r>
        <w:t xml:space="preserve">16.5 Witness Conformance</w:t>
      </w:r>
    </w:p>
    <w:p>
      <w:pPr>
        <w:pStyle w:val="FirstParagraph"/>
      </w:pPr>
      <w:r>
        <w:t xml:space="preserve">Any higher-level artifact must be derivable from the lower layers without contradiction.</w:t>
      </w:r>
    </w:p>
    <w:p>
      <w:r>
        <w:pict>
          <v:rect style="width:0;height:1.5pt" o:hralign="center" o:hrstd="t" o:hr="t"/>
        </w:pict>
      </w:r>
    </w:p>
    <w:bookmarkEnd w:id="48"/>
    <w:bookmarkEnd w:id="49"/>
    <w:bookmarkStart w:id="50" w:name="decentralized-architecture"/>
    <w:p>
      <w:pPr>
        <w:pStyle w:val="Heading1"/>
      </w:pPr>
      <w:r>
        <w:t xml:space="preserve">17. Decentralized Architecture</w:t>
      </w:r>
    </w:p>
    <w:p>
      <w:pPr>
        <w:pStyle w:val="FirstParagraph"/>
      </w:pPr>
      <w:r>
        <w:t xml:space="preserve">The full decentralized process is:</w:t>
      </w:r>
    </w:p>
    <w:p>
      <w:pPr>
        <w:pStyle w:val="BodyText"/>
      </w:pPr>
      <w:r>
        <w:t xml:space="preserve">[</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w:t>
      </w:r>
    </w:p>
    <w:p>
      <w:pPr>
        <w:pStyle w:val="BodyText"/>
      </w:pPr>
      <w:r>
        <w:t xml:space="preserve">Independent nodes need no central clock authority if they share the same basis artifact and the same deterministic law.</w:t>
      </w:r>
    </w:p>
    <w:p>
      <w:pPr>
        <w:pStyle w:val="BodyText"/>
      </w:pPr>
      <w:r>
        <w:t xml:space="preserve">Agreement is achieved through recomputation.</w:t>
      </w:r>
    </w:p>
    <w:p>
      <w:r>
        <w:pict>
          <v:rect style="width:0;height:1.5pt" o:hralign="center" o:hrstd="t" o:hr="t"/>
        </w:pict>
      </w:r>
    </w:p>
    <w:bookmarkEnd w:id="50"/>
    <w:bookmarkStart w:id="51" w:name="applications"/>
    <w:p>
      <w:pPr>
        <w:pStyle w:val="Heading1"/>
      </w:pPr>
      <w:r>
        <w:t xml:space="preserve">18. Applications</w:t>
      </w:r>
    </w:p>
    <w:p>
      <w:pPr>
        <w:pStyle w:val="FirstParagraph"/>
      </w:pPr>
      <w:r>
        <w:t xml:space="preserve">This artifact is suited to:</w:t>
      </w:r>
    </w:p>
    <w:p>
      <w:pPr>
        <w:pStyle w:val="Compact"/>
        <w:numPr>
          <w:ilvl w:val="0"/>
          <w:numId w:val="1016"/>
        </w:numPr>
      </w:pPr>
      <w:r>
        <w:t xml:space="preserve">deterministic replay systems</w:t>
      </w:r>
    </w:p>
    <w:p>
      <w:pPr>
        <w:pStyle w:val="Compact"/>
        <w:numPr>
          <w:ilvl w:val="0"/>
          <w:numId w:val="1016"/>
        </w:numPr>
      </w:pPr>
      <w:r>
        <w:t xml:space="preserve">decentralized coordination systems</w:t>
      </w:r>
    </w:p>
    <w:p>
      <w:pPr>
        <w:pStyle w:val="Compact"/>
        <w:numPr>
          <w:ilvl w:val="0"/>
          <w:numId w:val="1016"/>
        </w:numPr>
      </w:pPr>
      <w:r>
        <w:t xml:space="preserve">tamper-evident witness generation</w:t>
      </w:r>
    </w:p>
    <w:p>
      <w:pPr>
        <w:pStyle w:val="Compact"/>
        <w:numPr>
          <w:ilvl w:val="0"/>
          <w:numId w:val="1016"/>
        </w:numPr>
      </w:pPr>
      <w:r>
        <w:t xml:space="preserve">federated protocol extension</w:t>
      </w:r>
    </w:p>
    <w:p>
      <w:pPr>
        <w:pStyle w:val="Compact"/>
        <w:numPr>
          <w:ilvl w:val="0"/>
          <w:numId w:val="1016"/>
        </w:numPr>
      </w:pPr>
      <w:r>
        <w:t xml:space="preserve">reproducible simulation</w:t>
      </w:r>
    </w:p>
    <w:p>
      <w:pPr>
        <w:pStyle w:val="Compact"/>
        <w:numPr>
          <w:ilvl w:val="0"/>
          <w:numId w:val="1016"/>
        </w:numPr>
      </w:pPr>
      <w:r>
        <w:t xml:space="preserve">multi-agent synchronization</w:t>
      </w:r>
    </w:p>
    <w:p>
      <w:pPr>
        <w:pStyle w:val="Compact"/>
        <w:numPr>
          <w:ilvl w:val="0"/>
          <w:numId w:val="1016"/>
        </w:numPr>
      </w:pPr>
      <w:r>
        <w:t xml:space="preserve">constitutional state machines</w:t>
      </w:r>
    </w:p>
    <w:p>
      <w:pPr>
        <w:pStyle w:val="FirstParagraph"/>
      </w:pPr>
      <w:r>
        <w:t xml:space="preserve">In each case, the lower law remains fixed while higher-level applications extend the witness layer.</w:t>
      </w:r>
    </w:p>
    <w:p>
      <w:r>
        <w:pict>
          <v:rect style="width:0;height:1.5pt" o:hralign="center" o:hrstd="t" o:hr="t"/>
        </w:pict>
      </w:r>
    </w:p>
    <w:bookmarkEnd w:id="51"/>
    <w:bookmarkStart w:id="52" w:name="non-goals"/>
    <w:p>
      <w:pPr>
        <w:pStyle w:val="Heading1"/>
      </w:pPr>
      <w:r>
        <w:t xml:space="preserve">19. Non-Goals</w:t>
      </w:r>
    </w:p>
    <w:p>
      <w:pPr>
        <w:pStyle w:val="FirstParagraph"/>
      </w:pPr>
      <w:r>
        <w:t xml:space="preserve">This artifact does not claim to:</w:t>
      </w:r>
    </w:p>
    <w:p>
      <w:pPr>
        <w:pStyle w:val="Compact"/>
        <w:numPr>
          <w:ilvl w:val="0"/>
          <w:numId w:val="1017"/>
        </w:numPr>
      </w:pPr>
      <w:r>
        <w:t xml:space="preserve">replace atomic clocks for physical metrology</w:t>
      </w:r>
    </w:p>
    <w:p>
      <w:pPr>
        <w:pStyle w:val="Compact"/>
        <w:numPr>
          <w:ilvl w:val="0"/>
          <w:numId w:val="1017"/>
        </w:numPr>
      </w:pPr>
      <w:r>
        <w:t xml:space="preserve">define SI time</w:t>
      </w:r>
    </w:p>
    <w:p>
      <w:pPr>
        <w:pStyle w:val="Compact"/>
        <w:numPr>
          <w:ilvl w:val="0"/>
          <w:numId w:val="1017"/>
        </w:numPr>
      </w:pPr>
      <w:r>
        <w:t xml:space="preserve">measure continuous duration</w:t>
      </w:r>
    </w:p>
    <w:p>
      <w:pPr>
        <w:pStyle w:val="Compact"/>
        <w:numPr>
          <w:ilvl w:val="0"/>
          <w:numId w:val="1017"/>
        </w:numPr>
      </w:pPr>
      <w:r>
        <w:t xml:space="preserve">solve intelligence or alignment problems by itself</w:t>
      </w:r>
    </w:p>
    <w:p>
      <w:pPr>
        <w:pStyle w:val="FirstParagraph"/>
      </w:pPr>
      <w:r>
        <w:t xml:space="preserve">Its role is narrower and stronger:</w:t>
      </w:r>
    </w:p>
    <w:p>
      <w:pPr>
        <w:pStyle w:val="Compact"/>
        <w:numPr>
          <w:ilvl w:val="0"/>
          <w:numId w:val="1018"/>
        </w:numPr>
      </w:pPr>
      <w:r>
        <w:t xml:space="preserve">deterministic replay</w:t>
      </w:r>
    </w:p>
    <w:p>
      <w:pPr>
        <w:pStyle w:val="Compact"/>
        <w:numPr>
          <w:ilvl w:val="0"/>
          <w:numId w:val="1018"/>
        </w:numPr>
      </w:pPr>
      <w:r>
        <w:t xml:space="preserve">canonical logical position</w:t>
      </w:r>
    </w:p>
    <w:p>
      <w:pPr>
        <w:pStyle w:val="Compact"/>
        <w:numPr>
          <w:ilvl w:val="0"/>
          <w:numId w:val="1018"/>
        </w:numPr>
      </w:pPr>
      <w:r>
        <w:t xml:space="preserve">reproducible seed derivation</w:t>
      </w:r>
    </w:p>
    <w:p>
      <w:pPr>
        <w:pStyle w:val="Compact"/>
        <w:numPr>
          <w:ilvl w:val="0"/>
          <w:numId w:val="1018"/>
        </w:numPr>
      </w:pPr>
      <w:r>
        <w:t xml:space="preserve">decentralized witness agreement</w:t>
      </w:r>
    </w:p>
    <w:p>
      <w:r>
        <w:pict>
          <v:rect style="width:0;height:1.5pt" o:hralign="center" o:hrstd="t" o:hr="t"/>
        </w:pict>
      </w:r>
    </w:p>
    <w:bookmarkEnd w:id="52"/>
    <w:bookmarkStart w:id="53" w:name="coq-as-normative-kernel"/>
    <w:p>
      <w:pPr>
        <w:pStyle w:val="Heading1"/>
      </w:pPr>
      <w:r>
        <w:t xml:space="preserve">20. Coq as Normative Kernel</w:t>
      </w:r>
    </w:p>
    <w:p>
      <w:pPr>
        <w:pStyle w:val="FirstParagraph"/>
      </w:pPr>
      <w:r>
        <w:t xml:space="preserve">The normative kernel of the replay law should be represented in Coq.</w:t>
      </w:r>
    </w:p>
    <w:p>
      <w:pPr>
        <w:pStyle w:val="BodyText"/>
      </w:pPr>
      <w:r>
        <w:t xml:space="preserve">The Coq artifact should define:</w:t>
      </w:r>
    </w:p>
    <w:p>
      <w:pPr>
        <w:pStyle w:val="Compact"/>
        <w:numPr>
          <w:ilvl w:val="0"/>
          <w:numId w:val="1019"/>
        </w:numPr>
      </w:pPr>
      <w:r>
        <w:t xml:space="preserve">bounded state space</w:t>
      </w:r>
    </w:p>
    <w:p>
      <w:pPr>
        <w:pStyle w:val="Compact"/>
        <w:numPr>
          <w:ilvl w:val="0"/>
          <w:numId w:val="1019"/>
        </w:numPr>
      </w:pPr>
      <w:r>
        <w:t xml:space="preserve">mask operator</w:t>
      </w:r>
    </w:p>
    <w:p>
      <w:pPr>
        <w:pStyle w:val="Compact"/>
        <w:numPr>
          <w:ilvl w:val="0"/>
          <w:numId w:val="1019"/>
        </w:numPr>
      </w:pPr>
      <w:r>
        <w:t xml:space="preserve">rotation operators</w:t>
      </w:r>
    </w:p>
    <w:p>
      <w:pPr>
        <w:pStyle w:val="Compact"/>
        <w:numPr>
          <w:ilvl w:val="0"/>
          <w:numId w:val="1019"/>
        </w:numPr>
      </w:pPr>
      <w:r>
        <w:t xml:space="preserve">width-parameterized transition law</w:t>
      </w:r>
    </w:p>
    <w:p>
      <w:pPr>
        <w:pStyle w:val="Compact"/>
        <w:numPr>
          <w:ilvl w:val="0"/>
          <w:numId w:val="1019"/>
        </w:numPr>
      </w:pPr>
      <w:r>
        <w:t xml:space="preserve">projection law</w:t>
      </w:r>
    </w:p>
    <w:p>
      <w:pPr>
        <w:pStyle w:val="Compact"/>
        <w:numPr>
          <w:ilvl w:val="0"/>
          <w:numId w:val="1019"/>
        </w:numPr>
      </w:pPr>
      <w:r>
        <w:t xml:space="preserve">replay function</w:t>
      </w:r>
    </w:p>
    <w:p>
      <w:pPr>
        <w:pStyle w:val="Compact"/>
        <w:numPr>
          <w:ilvl w:val="0"/>
          <w:numId w:val="1019"/>
        </w:numPr>
      </w:pPr>
      <w:r>
        <w:t xml:space="preserve">conformance theorems for determinism and boundedness</w:t>
      </w:r>
    </w:p>
    <w:p>
      <w:pPr>
        <w:pStyle w:val="FirstParagraph"/>
      </w:pPr>
      <w:r>
        <w:t xml:space="preserve">The prose artifact explains the structure.</w:t>
      </w:r>
      <w:r>
        <w:t xml:space="preserve"> </w:t>
      </w:r>
      <w:r>
        <w:t xml:space="preserve">The Coq artifact carries the law.</w:t>
      </w:r>
    </w:p>
    <w:p>
      <w:r>
        <w:pict>
          <v:rect style="width:0;height:1.5pt" o:hralign="center" o:hrstd="t" o:hr="t"/>
        </w:pict>
      </w:r>
    </w:p>
    <w:bookmarkEnd w:id="53"/>
    <w:bookmarkStart w:id="58" w:name="minimal-normative-statements"/>
    <w:p>
      <w:pPr>
        <w:pStyle w:val="Heading1"/>
      </w:pPr>
      <w:r>
        <w:t xml:space="preserve">21. Minimal Normative Statements</w:t>
      </w:r>
    </w:p>
    <w:p>
      <w:pPr>
        <w:pStyle w:val="FirstParagraph"/>
      </w:pPr>
      <w:r>
        <w:t xml:space="preserve">The following statements define the system with minimal ambiguity.</w:t>
      </w:r>
    </w:p>
    <w:bookmarkStart w:id="54" w:name="replay-statement"/>
    <w:p>
      <w:pPr>
        <w:pStyle w:val="Heading2"/>
      </w:pPr>
      <w:r>
        <w:t xml:space="preserve">21.1 Replay Statement</w:t>
      </w:r>
    </w:p>
    <w:p>
      <w:pPr>
        <w:pStyle w:val="FirstParagraph"/>
      </w:pPr>
      <w:r>
        <w:t xml:space="preserve">Given width (n), constant family (C_n), seed (x_0), and step count (k), the replay sequence is exactly:</w:t>
      </w:r>
    </w:p>
    <w:p>
      <w:pPr>
        <w:pStyle w:val="BodyText"/>
      </w:pPr>
      <w:r>
        <w:t xml:space="preserve">[</w:t>
      </w:r>
      <w:r>
        <w:t xml:space="preserve"> </w:t>
      </w:r>
      <w:r>
        <w:t xml:space="preserve">x_{i+1} =</w:t>
      </w:r>
      <w:r>
        <w:t xml:space="preserve"> </w:t>
      </w:r>
      <w:r>
        <w:t xml:space="preserve">_n(x_i)</w:t>
      </w:r>
      <w:r>
        <w:t xml:space="preserve"> </w:t>
      </w:r>
      <w:r>
        <w:t xml:space="preserve">]</w:t>
      </w:r>
    </w:p>
    <w:p>
      <w:pPr>
        <w:pStyle w:val="BodyText"/>
      </w:pPr>
      <w:r>
        <w:t xml:space="preserve">for (0</w:t>
      </w:r>
      <w:r>
        <w:t xml:space="preserve"> </w:t>
      </w:r>
      <w:r>
        <w:t xml:space="preserve">i &lt; k).</w:t>
      </w:r>
    </w:p>
    <w:bookmarkEnd w:id="54"/>
    <w:bookmarkStart w:id="55" w:name="projection-statement"/>
    <w:p>
      <w:pPr>
        <w:pStyle w:val="Heading2"/>
      </w:pPr>
      <w:r>
        <w:t xml:space="preserve">21.2 Projection Statement</w:t>
      </w:r>
    </w:p>
    <w:p>
      <w:pPr>
        <w:pStyle w:val="FirstParagraph"/>
      </w:pPr>
      <w:r>
        <w:t xml:space="preserve">The canonical projected witness of a state (x) is exactly:</w:t>
      </w:r>
    </w:p>
    <w:p>
      <w:pPr>
        <w:pStyle w:val="BodyText"/>
      </w:pPr>
      <w:r>
        <w:t xml:space="preserve">[</w:t>
      </w:r>
      <w:r>
        <w:t xml:space="preserve"> </w:t>
      </w:r>
      <w:r>
        <w:t xml:space="preserve">_n(x) = (w(x), d(x), e(x))</w:t>
      </w:r>
      <w:r>
        <w:t xml:space="preserve"> </w:t>
      </w:r>
      <w:r>
        <w:t xml:space="preserve">]</w:t>
      </w:r>
    </w:p>
    <w:bookmarkEnd w:id="55"/>
    <w:bookmarkStart w:id="56" w:name="seed-statement"/>
    <w:p>
      <w:pPr>
        <w:pStyle w:val="Heading2"/>
      </w:pPr>
      <w:r>
        <w:t xml:space="preserve">21.3 Seed Statement</w:t>
      </w:r>
    </w:p>
    <w:p>
      <w:pPr>
        <w:pStyle w:val="FirstParagraph"/>
      </w:pPr>
      <w:r>
        <w:t xml:space="preserve">Given basis artifact (B) and context (x), the seed is exactly:</w:t>
      </w:r>
    </w:p>
    <w:p>
      <w:pPr>
        <w:pStyle w:val="BodyText"/>
      </w:pPr>
      <w:r>
        <w:t xml:space="preserve">[</w:t>
      </w:r>
      <w:r>
        <w:t xml:space="preserve"> </w:t>
      </w:r>
      <w:r>
        <w:t xml:space="preserve">_n(B,x)</w:t>
      </w:r>
      <w:r>
        <w:t xml:space="preserve"> </w:t>
      </w:r>
      <w:r>
        <w:t xml:space="preserve">]</w:t>
      </w:r>
    </w:p>
    <w:p>
      <w:pPr>
        <w:pStyle w:val="BodyText"/>
      </w:pPr>
      <w:r>
        <w:t xml:space="preserve">as defined by the canonical derivation pipeline.</w:t>
      </w:r>
    </w:p>
    <w:bookmarkEnd w:id="56"/>
    <w:bookmarkStart w:id="57" w:name="agreement-statement"/>
    <w:p>
      <w:pPr>
        <w:pStyle w:val="Heading2"/>
      </w:pPr>
      <w:r>
        <w:t xml:space="preserve">21.4 Agreement Statement</w:t>
      </w:r>
    </w:p>
    <w:p>
      <w:pPr>
        <w:pStyle w:val="FirstParagraph"/>
      </w:pPr>
      <w:r>
        <w:t xml:space="preserve">Any two conforming implementations supplied with identical basis artifact, context, width, and step count must produce identical seeds, identical replay sequences, and identical projected witness sequences.</w:t>
      </w:r>
    </w:p>
    <w:p>
      <w:r>
        <w:pict>
          <v:rect style="width:0;height:1.5pt" o:hralign="center" o:hrstd="t" o:hr="t"/>
        </w:pict>
      </w:r>
    </w:p>
    <w:bookmarkEnd w:id="57"/>
    <w:bookmarkEnd w:id="58"/>
    <w:bookmarkStart w:id="59" w:name="X75516168566beef7d2e4c0d6a2983179e8bc15b"/>
    <w:p>
      <w:pPr>
        <w:pStyle w:val="Heading1"/>
      </w:pPr>
      <w:r>
        <w:t xml:space="preserve">22. Addendum A — Shared Basis Artifact and Seed Extension</w:t>
      </w:r>
    </w:p>
    <w:p>
      <w:pPr>
        <w:pStyle w:val="FirstParagraph"/>
      </w:pPr>
      <w:r>
        <w:t xml:space="preserve">The purpose of a shared basis artifact is to allow extensions without breaking the constitutional core.</w:t>
      </w:r>
    </w:p>
    <w:p>
      <w:pPr>
        <w:pStyle w:val="BodyText"/>
      </w:pPr>
      <w:r>
        <w:t xml:space="preserve">The extension law is:</w:t>
      </w:r>
    </w:p>
    <w:p>
      <w:pPr>
        <w:pStyle w:val="BodyText"/>
      </w:pPr>
      <w:r>
        <w:t xml:space="preserve">[</w:t>
      </w:r>
      <w:r>
        <w:t xml:space="preserve"> </w:t>
      </w:r>
      <w:r>
        <w:t xml:space="preserve"> </w:t>
      </w:r>
      <w:r>
        <w:t xml:space="preserve"> </w:t>
      </w:r>
      <w:r>
        <w:t xml:space="preserve"> </w:t>
      </w:r>
      <w:r>
        <w:t xml:space="preserve"> </w:t>
      </w:r>
      <w:r>
        <w:t xml:space="preserve"> </w:t>
      </w:r>
      <w:r>
        <w:t xml:space="preserve">]</w:t>
      </w:r>
    </w:p>
    <w:p>
      <w:pPr>
        <w:pStyle w:val="BodyText"/>
      </w:pPr>
      <w:r>
        <w:t xml:space="preserve">Only the rightmost layer is open to application-specific variation. The earlier layers must remain fixed for conformance.</w:t>
      </w:r>
    </w:p>
    <w:p>
      <w:pPr>
        <w:pStyle w:val="BodyText"/>
      </w:pPr>
      <w:r>
        <w:t xml:space="preserve">This allows self-implementation, federation, and falsification without central ownership.</w:t>
      </w:r>
    </w:p>
    <w:p>
      <w:r>
        <w:pict>
          <v:rect style="width:0;height:1.5pt" o:hralign="center" o:hrstd="t" o:hr="t"/>
        </w:pict>
      </w:r>
    </w:p>
    <w:bookmarkEnd w:id="59"/>
    <w:bookmarkStart w:id="60" w:name="addendum-b-comparison-ladders"/>
    <w:p>
      <w:pPr>
        <w:pStyle w:val="Heading1"/>
      </w:pPr>
      <w:r>
        <w:t xml:space="preserve">23. Addendum B — Comparison Ladders</w:t>
      </w:r>
    </w:p>
    <w:p>
      <w:pPr>
        <w:pStyle w:val="FirstParagraph"/>
      </w:pPr>
      <w:r>
        <w:t xml:space="preserve">The family should be examined at widths:</w:t>
      </w:r>
    </w:p>
    <w:p>
      <w:pPr>
        <w:pStyle w:val="BodyText"/>
      </w:pPr>
      <w:r>
        <w:t xml:space="preserve">[</w:t>
      </w:r>
      <w:r>
        <w:t xml:space="preserve"> </w:t>
      </w:r>
      <w:r>
        <w:t xml:space="preserve">16, 32, 64, 128, 256</w:t>
      </w:r>
      <w:r>
        <w:t xml:space="preserve"> </w:t>
      </w:r>
      <w:r>
        <w:t xml:space="preserve">]</w:t>
      </w:r>
    </w:p>
    <w:p>
      <w:pPr>
        <w:pStyle w:val="BodyText"/>
      </w:pPr>
      <w:r>
        <w:t xml:space="preserve">and especially at the jump widths:</w:t>
      </w:r>
    </w:p>
    <w:p>
      <w:pPr>
        <w:pStyle w:val="BodyText"/>
      </w:pPr>
      <w:r>
        <w:t xml:space="preserve">[</w:t>
      </w:r>
      <w:r>
        <w:t xml:space="preserve"> </w:t>
      </w:r>
      <w:r>
        <w:t xml:space="preserve">16, 64, 256</w:t>
      </w:r>
      <w:r>
        <w:t xml:space="preserve"> </w:t>
      </w:r>
      <w:r>
        <w:t xml:space="preserve">]</w:t>
      </w:r>
    </w:p>
    <w:p>
      <w:pPr>
        <w:pStyle w:val="BodyText"/>
      </w:pPr>
      <w:r>
        <w:t xml:space="preserve">These provide comparable regimes for observing:</w:t>
      </w:r>
    </w:p>
    <w:p>
      <w:pPr>
        <w:pStyle w:val="Compact"/>
        <w:numPr>
          <w:ilvl w:val="0"/>
          <w:numId w:val="1020"/>
        </w:numPr>
      </w:pPr>
      <w:r>
        <w:t xml:space="preserve">operator order</w:t>
      </w:r>
    </w:p>
    <w:p>
      <w:pPr>
        <w:pStyle w:val="Compact"/>
        <w:numPr>
          <w:ilvl w:val="0"/>
          <w:numId w:val="1020"/>
        </w:numPr>
      </w:pPr>
      <w:r>
        <w:t xml:space="preserve">orbit depth</w:t>
      </w:r>
    </w:p>
    <w:p>
      <w:pPr>
        <w:pStyle w:val="Compact"/>
        <w:numPr>
          <w:ilvl w:val="0"/>
          <w:numId w:val="1020"/>
        </w:numPr>
      </w:pPr>
      <w:r>
        <w:t xml:space="preserve">density distributions</w:t>
      </w:r>
    </w:p>
    <w:p>
      <w:pPr>
        <w:pStyle w:val="Compact"/>
        <w:numPr>
          <w:ilvl w:val="0"/>
          <w:numId w:val="1020"/>
        </w:numPr>
      </w:pPr>
      <w:r>
        <w:t xml:space="preserve">band transitions</w:t>
      </w:r>
    </w:p>
    <w:p>
      <w:pPr>
        <w:pStyle w:val="Compact"/>
        <w:numPr>
          <w:ilvl w:val="0"/>
          <w:numId w:val="1020"/>
        </w:numPr>
      </w:pPr>
      <w:r>
        <w:t xml:space="preserve">witness signatures</w:t>
      </w:r>
    </w:p>
    <w:p>
      <w:pPr>
        <w:pStyle w:val="FirstParagraph"/>
      </w:pPr>
      <w:r>
        <w:t xml:space="preserve">For the tested power-of-two widths, the order relation is:</w:t>
      </w:r>
    </w:p>
    <w:p>
      <w:pPr>
        <w:pStyle w:val="BodyText"/>
      </w:pPr>
      <w:r>
        <w:t xml:space="preserve">[</w:t>
      </w:r>
      <w:r>
        <w:t xml:space="preserve"> </w:t>
      </w:r>
      <w:r>
        <w:t xml:space="preserve">(A_n) = n/2</w:t>
      </w:r>
      <w:r>
        <w:t xml:space="preserve"> </w:t>
      </w:r>
      <w:r>
        <w:t xml:space="preserve">]</w:t>
      </w:r>
    </w:p>
    <w:p>
      <w:pPr>
        <w:pStyle w:val="BodyText"/>
      </w:pPr>
      <w:r>
        <w:t xml:space="preserve">which yields the deterministic comparison ladder:</w:t>
      </w:r>
    </w:p>
    <w:p>
      <w:pPr>
        <w:pStyle w:val="BodyText"/>
      </w:pPr>
      <w:r>
        <w:t xml:space="preserve">[</w:t>
      </w:r>
      <w:r>
        <w:t xml:space="preserve"> </w:t>
      </w:r>
      <w:r>
        <w:t xml:space="preserve">8,16,32,64,128</w:t>
      </w:r>
      <w:r>
        <w:t xml:space="preserve"> </w:t>
      </w:r>
      <w:r>
        <w:t xml:space="preserve">]</w:t>
      </w:r>
    </w:p>
    <w:p>
      <w:pPr>
        <w:pStyle w:val="BodyText"/>
      </w:pPr>
      <w:r>
        <w:t xml:space="preserve">for widths:</w:t>
      </w:r>
    </w:p>
    <w:p>
      <w:pPr>
        <w:pStyle w:val="BodyText"/>
      </w:pPr>
      <w:r>
        <w:t xml:space="preserve">[</w:t>
      </w:r>
      <w:r>
        <w:t xml:space="preserve"> </w:t>
      </w:r>
      <w:r>
        <w:t xml:space="preserve">16,32,64,128,256</w:t>
      </w:r>
      <w:r>
        <w:t xml:space="preserve"> </w:t>
      </w:r>
      <w:r>
        <w:t xml:space="preserve">]</w:t>
      </w:r>
    </w:p>
    <w:p>
      <w:r>
        <w:pict>
          <v:rect style="width:0;height:1.5pt" o:hralign="center" o:hrstd="t" o:hr="t"/>
        </w:pict>
      </w:r>
    </w:p>
    <w:bookmarkEnd w:id="60"/>
    <w:bookmarkStart w:id="61" w:name="addendum-c-canonical-interpretation"/>
    <w:p>
      <w:pPr>
        <w:pStyle w:val="Heading1"/>
      </w:pPr>
      <w:r>
        <w:t xml:space="preserve">24. Addendum C — Canonical Interpretation</w:t>
      </w:r>
    </w:p>
    <w:p>
      <w:pPr>
        <w:pStyle w:val="FirstParagraph"/>
      </w:pPr>
      <w:r>
        <w:t xml:space="preserve">The safest interpretation is:</w:t>
      </w:r>
    </w:p>
    <w:p>
      <w:pPr>
        <w:pStyle w:val="Compact"/>
        <w:numPr>
          <w:ilvl w:val="0"/>
          <w:numId w:val="1021"/>
        </w:numPr>
      </w:pPr>
      <w:r>
        <w:t xml:space="preserve">the clock is not physical time</w:t>
      </w:r>
    </w:p>
    <w:p>
      <w:pPr>
        <w:pStyle w:val="Compact"/>
        <w:numPr>
          <w:ilvl w:val="0"/>
          <w:numId w:val="1021"/>
        </w:numPr>
      </w:pPr>
      <w:r>
        <w:t xml:space="preserve">the clock is a deterministic logical timeline</w:t>
      </w:r>
    </w:p>
    <w:p>
      <w:pPr>
        <w:pStyle w:val="Compact"/>
        <w:numPr>
          <w:ilvl w:val="0"/>
          <w:numId w:val="1021"/>
        </w:numPr>
      </w:pPr>
      <w:r>
        <w:t xml:space="preserve">the basis artifact is not the clock</w:t>
      </w:r>
    </w:p>
    <w:p>
      <w:pPr>
        <w:pStyle w:val="Compact"/>
        <w:numPr>
          <w:ilvl w:val="0"/>
          <w:numId w:val="1021"/>
        </w:numPr>
      </w:pPr>
      <w:r>
        <w:t xml:space="preserve">the basis artifact is the public symbolic substrate from which canonical seeds are derived</w:t>
      </w:r>
    </w:p>
    <w:p>
      <w:pPr>
        <w:pStyle w:val="FirstParagraph"/>
      </w:pPr>
      <w:r>
        <w:t xml:space="preserve">This preserves a clean separation:</w:t>
      </w:r>
    </w:p>
    <w:p>
      <w:pPr>
        <w:pStyle w:val="BodyText"/>
      </w:pPr>
      <w:r>
        <w:t xml:space="preserve">[</w:t>
      </w:r>
      <w:r>
        <w:t xml:space="preserve"> </w:t>
      </w:r>
      <w:r>
        <w:t xml:space="preserve"> </w:t>
      </w:r>
      <w:r>
        <w:t xml:space="preserve"> </w:t>
      </w:r>
      <w:r>
        <w:t xml:space="preserve"> </w:t>
      </w:r>
      <w:r>
        <w:t xml:space="preserve"> </w:t>
      </w:r>
      <w:r>
        <w:t xml:space="preserve">]</w:t>
      </w:r>
    </w:p>
    <w:p>
      <w:r>
        <w:pict>
          <v:rect style="width:0;height:1.5pt" o:hralign="center" o:hrstd="t" o:hr="t"/>
        </w:pict>
      </w:r>
    </w:p>
    <w:bookmarkEnd w:id="61"/>
    <w:bookmarkStart w:id="62" w:name="closing-statement"/>
    <w:p>
      <w:pPr>
        <w:pStyle w:val="Heading1"/>
      </w:pPr>
      <w:r>
        <w:t xml:space="preserve">25. Closing Statement</w:t>
      </w:r>
    </w:p>
    <w:p>
      <w:pPr>
        <w:pStyle w:val="FirstParagraph"/>
      </w:pPr>
      <w:r>
        <w:t xml:space="preserve">This artifact defines a publicly reproducible logical clock framework whose lower law is algebraic, bounded, and width-parameterized, and whose upper extension model is rooted in a shared symbolic basis artifact.</w:t>
      </w:r>
    </w:p>
    <w:p>
      <w:pPr>
        <w:pStyle w:val="BodyText"/>
      </w:pPr>
      <w:r>
        <w:t xml:space="preserve">The shared basis artifact allows anyone with access to the standards object to derive the same seeds, run the same replay law, derive the same witness artifacts, and falsify any incorrect claim by recomputation.</w:t>
      </w:r>
    </w:p>
    <w:p>
      <w:pPr>
        <w:pStyle w:val="BodyText"/>
      </w:pPr>
      <w:r>
        <w:t xml:space="preserve">The system is therefore not grounded in persuasion but in repeatable derivation.</w:t>
      </w:r>
    </w:p>
    <w:p>
      <w:r>
        <w:pict>
          <v:rect style="width:0;height:1.5pt" o:hralign="center" o:hrstd="t" o:hr="t"/>
        </w:pict>
      </w:r>
    </w:p>
    <w:bookmarkEnd w:id="62"/>
    <w:bookmarkStart w:id="63" w:name="appendix-compact-mathematical-summary"/>
    <w:p>
      <w:pPr>
        <w:pStyle w:val="Heading1"/>
      </w:pPr>
      <w:r>
        <w:t xml:space="preserve">Appendix — Compact Mathematical Summary</w:t>
      </w:r>
    </w:p>
    <w:p>
      <w:pPr>
        <w:pStyle w:val="FirstParagraph"/>
      </w:pPr>
      <w:r>
        <w:t xml:space="preserve">For width (n):</w:t>
      </w:r>
    </w:p>
    <w:p>
      <w:pPr>
        <w:pStyle w:val="BodyText"/>
      </w:pPr>
      <w:r>
        <w:t xml:space="preserve">[</w:t>
      </w:r>
      <w:r>
        <w:t xml:space="preserve"> </w:t>
      </w:r>
      <w:r>
        <w:t xml:space="preserve">S_n = {0,1,</w:t>
      </w:r>
      <w:r>
        <w:t xml:space="preserve">,2^n-1}</w:t>
      </w:r>
      <w:r>
        <w:t xml:space="preserve"> </w:t>
      </w:r>
      <w:r>
        <w:t xml:space="preserve">]</w:t>
      </w:r>
    </w:p>
    <w:p>
      <w:pPr>
        <w:pStyle w:val="BodyText"/>
      </w:pPr>
      <w:r>
        <w:t xml:space="preserve">[</w:t>
      </w:r>
      <w:r>
        <w:t xml:space="preserve"> </w:t>
      </w:r>
      <w:r>
        <w:t xml:space="preserve">_n(x) =</w:t>
      </w:r>
      <w:r>
        <w:t xml:space="preserve"> </w:t>
      </w:r>
      <w:r>
        <w:t xml:space="preserve">_n</w:t>
      </w:r>
      <w:r>
        <w:t xml:space="preserve">(</w:t>
      </w:r>
      <w:r>
        <w:t xml:space="preserve"> </w:t>
      </w:r>
      <w:r>
        <w:t xml:space="preserve">_n(x,1)</w:t>
      </w:r>
      <w:r>
        <w:t xml:space="preserve"> </w:t>
      </w:r>
      <w:r>
        <w:t xml:space="preserve"> </w:t>
      </w:r>
      <w:r>
        <w:t xml:space="preserve">_n(x,3)</w:t>
      </w:r>
      <w:r>
        <w:t xml:space="preserve"> </w:t>
      </w:r>
      <w:r>
        <w:t xml:space="preserve"> </w:t>
      </w:r>
      <w:r>
        <w:t xml:space="preserve">_n(x,2)</w:t>
      </w:r>
      <w:r>
        <w:t xml:space="preserve"> </w:t>
      </w:r>
      <w:r>
        <w:t xml:space="preserve"> </w:t>
      </w:r>
      <w:r>
        <w:t xml:space="preserve">C_n</w:t>
      </w:r>
      <w:r>
        <w:t xml:space="preserve"> </w:t>
      </w:r>
      <w:r>
        <w:t xml:space="preserve">)</w:t>
      </w:r>
      <w:r>
        <w:t xml:space="preserve"> </w:t>
      </w:r>
      <w:r>
        <w:t xml:space="preserve">]</w:t>
      </w:r>
    </w:p>
    <w:p>
      <w:pPr>
        <w:pStyle w:val="BodyText"/>
      </w:pPr>
      <w:r>
        <w:t xml:space="preserve">[</w:t>
      </w:r>
      <w:r>
        <w:t xml:space="preserve"> </w:t>
      </w:r>
      <w:r>
        <w:t xml:space="preserve">_n(x) = (w(x), d(x), e(x))</w:t>
      </w:r>
      <w:r>
        <w:t xml:space="preserve"> </w:t>
      </w:r>
      <w:r>
        <w:t xml:space="preserve">]</w:t>
      </w:r>
    </w:p>
    <w:p>
      <w:pPr>
        <w:pStyle w:val="BodyText"/>
      </w:pPr>
      <w:r>
        <w:t xml:space="preserve">[</w:t>
      </w:r>
      <w:r>
        <w:t xml:space="preserve"> </w:t>
      </w:r>
      <w:r>
        <w:t xml:space="preserve">_n(B,x) =</w:t>
      </w:r>
      <w:r>
        <w:t xml:space="preserve"> </w:t>
      </w:r>
      <w:r>
        <w:t xml:space="preserve">_n(H(</w:t>
      </w:r>
      <w:r>
        <w:t xml:space="preserve">(B,x)))</w:t>
      </w:r>
      <w:r>
        <w:t xml:space="preserve"> </w:t>
      </w:r>
      <w:r>
        <w:t xml:space="preserve">]</w:t>
      </w:r>
    </w:p>
    <w:p>
      <w:pPr>
        <w:pStyle w:val="BodyText"/>
      </w:pPr>
      <w:r>
        <w:t xml:space="preserve">[</w:t>
      </w:r>
      <w:r>
        <w:t xml:space="preserve"> </w:t>
      </w:r>
      <w:r>
        <w:t xml:space="preserve">_n = (S_n,</w:t>
      </w:r>
      <w:r>
        <w:t xml:space="preserve"> </w:t>
      </w:r>
      <w:r>
        <w:t xml:space="preserve">_n,</w:t>
      </w:r>
      <w:r>
        <w:t xml:space="preserve"> </w:t>
      </w:r>
      <w:r>
        <w:t xml:space="preserve">_n)</w:t>
      </w:r>
      <w:r>
        <w:t xml:space="preserve"> </w:t>
      </w:r>
      <w:r>
        <w:t xml:space="preserve">]</w:t>
      </w:r>
    </w:p>
    <w:p>
      <w:pPr>
        <w:pStyle w:val="BodyText"/>
      </w:pPr>
      <w:r>
        <w:t xml:space="preserve">[</w:t>
      </w:r>
      <w:r>
        <w:t xml:space="preserve"> </w:t>
      </w:r>
      <w:r>
        <w:t xml:space="preserve">_n(x) = (</w:t>
      </w:r>
      <w:r>
        <w:t xml:space="preserve">(x), D(x), E(x))</w:t>
      </w:r>
      <w:r>
        <w:t xml:space="preserve"> </w:t>
      </w:r>
      <w:r>
        <w:t xml:space="preserve">]</w:t>
      </w:r>
    </w:p>
    <w:p>
      <w:pPr>
        <w:pStyle w:val="BodyText"/>
      </w:pPr>
      <w:r>
        <w:t xml:space="preserve">[</w:t>
      </w:r>
      <w:r>
        <w:t xml:space="preserve"> </w:t>
      </w:r>
      <w:r>
        <w:t xml:space="preserve">(A_n)=n/2</w:t>
      </w:r>
      <w:r>
        <w:t xml:space="preserve"> </w:t>
      </w:r>
      <w:r>
        <w:t xml:space="preserve"> </w:t>
      </w:r>
      <w:r>
        <w:t xml:space="preserve">n</w:t>
      </w:r>
      <w:r>
        <w:t xml:space="preserve"> </w:t>
      </w:r>
      <w:r>
        <w:t xml:space="preserve">{16,32,64,128,256}</w:t>
      </w:r>
      <w:r>
        <w:t xml:space="preserve"> </w:t>
      </w:r>
      <w:r>
        <w:t xml:space="preserve">]</w:t>
      </w:r>
    </w:p>
    <w:p>
      <w:pPr>
        <w:pStyle w:val="BodyText"/>
      </w:pPr>
      <w:r>
        <w:t xml:space="preserve">This is the full artifact kernel.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2026-03-13T23:12:26Z</dcterms:created>
  <dcterms:modified xsi:type="dcterms:W3CDTF">2026-03-13T23:12:26Z</dcterms:modified>
</cp:coreProperties>
</file>

<file path=docProps/custom.xml><?xml version="1.0" encoding="utf-8"?>
<Properties xmlns="http://schemas.openxmlformats.org/officeDocument/2006/custom-properties" xmlns:vt="http://schemas.openxmlformats.org/officeDocument/2006/docPropsVTypes"/>
</file>