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the-omi-lattice-ladder"/>
    <w:p>
      <w:pPr>
        <w:pStyle w:val="Heading1"/>
      </w:pPr>
      <w:r>
        <w:t xml:space="preserve">The OMI Lattice Ladder</w:t>
      </w:r>
    </w:p>
    <w:bookmarkStart w:id="20" w:name="from-omi---imoo_o-to-the-agreement-field"/>
    <w:p>
      <w:pPr>
        <w:pStyle w:val="Heading2"/>
      </w:pPr>
      <w:r>
        <w:t xml:space="preserve">From</w:t>
      </w:r>
      <w:r>
        <w:t xml:space="preserve"> </w:t>
      </w:r>
      <w:r>
        <w:rPr>
          <w:rStyle w:val="VerbatimChar"/>
        </w:rPr>
        <w:t xml:space="preserve">omi---imo?O_o</w:t>
      </w:r>
      <w:r>
        <w:t xml:space="preserve"> </w:t>
      </w:r>
      <w:r>
        <w:t xml:space="preserve">to the Agreement Field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Authoritative model document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OMI lattice ladder, BQF partition, E₈ relation shell, II₂₅,₁ horizon, Leech contact model,</w:t>
      </w:r>
      <w:r>
        <w:t xml:space="preserve"> </w:t>
      </w:r>
      <w:r>
        <w:rPr>
          <w:rStyle w:val="VerbatimChar"/>
        </w:rPr>
        <w:t xml:space="preserve">US/</w:t>
      </w:r>
      <w:r>
        <w:t xml:space="preserve"> </w:t>
      </w:r>
      <w:r>
        <w:t xml:space="preserve">tangential gauge, and 12-tribe agreement field</w:t>
      </w:r>
      <w:r>
        <w:br/>
      </w:r>
      <w:r>
        <w:rPr>
          <w:b/>
          <w:bCs/>
        </w:rPr>
        <w:t xml:space="preserve">Authority rule:</w:t>
      </w:r>
      <w:r>
        <w:t xml:space="preserve"> </w:t>
      </w:r>
      <w:r>
        <w:t xml:space="preserve">This document does not use any pedagogical coordinate scaffold as canonical structure. The standard mathematics and the OMI model layers are kept separate.</w:t>
      </w:r>
    </w:p>
    <w:p>
      <w:r>
        <w:pict>
          <v:rect style="width:0;height:1.5pt" o:hralign="center" o:hrstd="t" o:hr="t"/>
        </w:pict>
      </w:r>
    </w:p>
    <w:bookmarkEnd w:id="20"/>
    <w:bookmarkStart w:id="21" w:name="proved-standard-mathematical-anchors"/>
    <w:p>
      <w:pPr>
        <w:pStyle w:val="Heading2"/>
      </w:pPr>
      <w:r>
        <w:t xml:space="preserve">1. Proved / Standard Mathematical Anchors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property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 Hamming</w:t>
            </w:r>
            <w:r>
              <w:t xml:space="preserve"> </w:t>
            </w:r>
            <w:r>
              <w:rPr>
                <w:rStyle w:val="VerbatimChar"/>
              </w:rPr>
              <w:t xml:space="preserve">[8,4,4]</w:t>
            </w:r>
            <w:r>
              <w:t xml:space="preserve"> </w:t>
            </w:r>
            <w:r>
              <w:t xml:space="preserve">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Length 8, rank 4, minimum distance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codewords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E₈ lattice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Root lattice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 roots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Leech lattice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Minimal vectors / kissing number in 24 dimensions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196,560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II₂₅,₁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 Lorentzian unimodular lattice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25+1 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II₂₅,₁ primitive norm-zero vectors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Niemeier lattice orbits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II₂₅,₁ primitive norm -4 vectors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Orbit 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</w:t>
            </w:r>
          </w:p>
        </w:tc>
      </w:tr>
    </w:tbl>
    <w:p>
      <w:pPr>
        <w:pStyle w:val="BodyText"/>
      </w:pPr>
      <w:r>
        <w:t xml:space="preserve">These are the mathematical anchor points. They do not depend on OMI terminology.</w:t>
      </w:r>
    </w:p>
    <w:p>
      <w:r>
        <w:pict>
          <v:rect style="width:0;height:1.5pt" o:hralign="center" o:hrstd="t" o:hr="t"/>
        </w:pict>
      </w:r>
    </w:p>
    <w:bookmarkEnd w:id="21"/>
    <w:bookmarkStart w:id="22" w:name="omi-model-definitions"/>
    <w:p>
      <w:pPr>
        <w:pStyle w:val="Heading2"/>
      </w:pPr>
      <w:r>
        <w:t xml:space="preserve">2. OMI Model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OMI concept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omi---imo</w:t>
            </w:r>
          </w:p>
        </w:tc>
        <w:tc>
          <w:tcPr/>
          <w:p>
            <w:pPr>
              <w:pStyle w:val="Compact"/>
            </w:pPr>
            <w:r>
              <w:t xml:space="preserve">Folded root circulation: forward/inverse notation held across a bridge</w:t>
            </w:r>
          </w:p>
        </w:tc>
        <w:tc>
          <w:tcPr/>
          <w:p>
            <w:pPr>
              <w:pStyle w:val="Compact"/>
            </w:pPr>
            <w:r>
              <w:t xml:space="preserve">Defined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omi---imo?O_o</w:t>
            </w:r>
          </w:p>
        </w:tc>
        <w:tc>
          <w:tcPr/>
          <w:p>
            <w:pPr>
              <w:pStyle w:val="Compact"/>
            </w:pPr>
            <w:r>
              <w:t xml:space="preserve">Readable relation surface after tangent-gauge unfolding</w:t>
            </w:r>
          </w:p>
        </w:tc>
        <w:tc>
          <w:tcPr/>
          <w:p>
            <w:pPr>
              <w:pStyle w:val="Compact"/>
            </w:pPr>
            <w:r>
              <w:t xml:space="preserve">Defined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US/</w:t>
            </w:r>
            <w:r>
              <w:t xml:space="preserve"> </w:t>
            </w:r>
            <w:r>
              <w:t xml:space="preserve">tangent gauge</w:t>
            </w:r>
          </w:p>
        </w:tc>
        <w:tc>
          <w:tcPr/>
          <w:p>
            <w:pPr>
              <w:pStyle w:val="Compact"/>
            </w:pPr>
            <w:r>
              <w:t xml:space="preserve">Projection hinge from hidden control plane to readable relation</w:t>
            </w:r>
          </w:p>
        </w:tc>
        <w:tc>
          <w:tcPr/>
          <w:p>
            <w:pPr>
              <w:pStyle w:val="Compact"/>
            </w:pPr>
            <w:r>
              <w:t xml:space="preserve">Defined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Omicron</w:t>
            </w:r>
          </w:p>
        </w:tc>
        <w:tc>
          <w:tcPr/>
          <w:p>
            <w:pPr>
              <w:pStyle w:val="Compact"/>
            </w:pPr>
            <w:r>
              <w:t xml:space="preserve">Fixed digital null-byte ring / deterministic closure ruler</w:t>
            </w:r>
          </w:p>
        </w:tc>
        <w:tc>
          <w:tcPr/>
          <w:p>
            <w:pPr>
              <w:pStyle w:val="Compact"/>
            </w:pPr>
            <w:r>
              <w:t xml:space="preserve">Defined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Omnicron</w:t>
            </w:r>
          </w:p>
        </w:tc>
        <w:tc>
          <w:tcPr/>
          <w:p>
            <w:pPr>
              <w:pStyle w:val="Compact"/>
            </w:pPr>
            <w:r>
              <w:t xml:space="preserve">Axiomatic resolver surface for lived device/software/hardware/world resolution</w:t>
            </w:r>
          </w:p>
        </w:tc>
        <w:tc>
          <w:tcPr/>
          <w:p>
            <w:pPr>
              <w:pStyle w:val="Compact"/>
            </w:pPr>
            <w:r>
              <w:t xml:space="preserve">Defined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BQF partition</w:t>
            </w:r>
          </w:p>
        </w:tc>
        <w:tc>
          <w:tcPr/>
          <w:p>
            <w:pPr>
              <w:pStyle w:val="Compact"/>
            </w:pPr>
            <w:r>
              <w:t xml:space="preserve">OMI seed / bridge / high-shell reading of relation space</w:t>
            </w:r>
          </w:p>
        </w:tc>
        <w:tc>
          <w:tcPr/>
          <w:p>
            <w:pPr>
              <w:pStyle w:val="Compact"/>
            </w:pPr>
            <w:r>
              <w:t xml:space="preserve">Defined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tribes</w:t>
            </w:r>
          </w:p>
        </w:tc>
        <w:tc>
          <w:tcPr/>
          <w:p>
            <w:pPr>
              <w:pStyle w:val="Compact"/>
            </w:pPr>
            <w:r>
              <w:t xml:space="preserve">Agreement field: contact without collapse</w:t>
            </w:r>
          </w:p>
        </w:tc>
        <w:tc>
          <w:tcPr/>
          <w:p>
            <w:pPr>
              <w:pStyle w:val="Compact"/>
            </w:pPr>
            <w:r>
              <w:t xml:space="preserve">Defined model</w:t>
            </w:r>
          </w:p>
        </w:tc>
      </w:tr>
    </w:tbl>
    <w:p>
      <w:pPr>
        <w:pStyle w:val="BodyText"/>
      </w:pPr>
      <w:r>
        <w:t xml:space="preserve">The OMI model does not claim that these definitions are standard mathematical identities. It uses standard mathematical structures as anchors for a disciplined interpretive ladder.</w:t>
      </w:r>
    </w:p>
    <w:p>
      <w:r>
        <w:pict>
          <v:rect style="width:0;height:1.5pt" o:hralign="center" o:hrstd="t" o:hr="t"/>
        </w:pict>
      </w:r>
    </w:p>
    <w:bookmarkEnd w:id="22"/>
    <w:bookmarkStart w:id="23" w:name="the-finite-binary-doorway"/>
    <w:p>
      <w:pPr>
        <w:pStyle w:val="Heading2"/>
      </w:pPr>
      <w:r>
        <w:t xml:space="preserve">3. The Finite Binary Doorway</w:t>
      </w:r>
    </w:p>
    <w:p>
      <w:pPr>
        <w:pStyle w:val="FirstParagraph"/>
      </w:pPr>
      <w:r>
        <w:t xml:space="preserve">The extended Hamming</w:t>
      </w:r>
      <w:r>
        <w:t xml:space="preserve"> </w:t>
      </w:r>
      <w:r>
        <w:rPr>
          <w:rStyle w:val="VerbatimChar"/>
        </w:rPr>
        <w:t xml:space="preserve">[8,4,4]</w:t>
      </w:r>
      <w:r>
        <w:t xml:space="preserve"> </w:t>
      </w:r>
      <w:r>
        <w:t xml:space="preserve">code supplies a finite binary doorway:</w:t>
      </w:r>
    </w:p>
    <w:p>
      <w:pPr>
        <w:pStyle w:val="SourceCode"/>
      </w:pPr>
      <w:r>
        <w:rPr>
          <w:rStyle w:val="VerbatimChar"/>
        </w:rPr>
        <w:t xml:space="preserve">length:            8</w:t>
      </w:r>
      <w:r>
        <w:br/>
      </w:r>
      <w:r>
        <w:rPr>
          <w:rStyle w:val="VerbatimChar"/>
        </w:rPr>
        <w:t xml:space="preserve">rank:              4</w:t>
      </w:r>
      <w:r>
        <w:br/>
      </w:r>
      <w:r>
        <w:rPr>
          <w:rStyle w:val="VerbatimChar"/>
        </w:rPr>
        <w:t xml:space="preserve">minimum distance:  4</w:t>
      </w:r>
      <w:r>
        <w:br/>
      </w:r>
      <w:r>
        <w:rPr>
          <w:rStyle w:val="VerbatimChar"/>
        </w:rPr>
        <w:t xml:space="preserve">codewords:         16</w:t>
      </w:r>
    </w:p>
    <w:p>
      <w:pPr>
        <w:pStyle w:val="FirstParagraph"/>
      </w:pPr>
      <w:r>
        <w:t xml:space="preserve">A representative codeword list is:</w:t>
      </w:r>
    </w:p>
    <w:p>
      <w:pPr>
        <w:pStyle w:val="SourceCode"/>
      </w:pPr>
      <w:r>
        <w:rPr>
          <w:rStyle w:val="VerbatimChar"/>
        </w:rPr>
        <w:t xml:space="preserve">{00, 0F, 33, 3C, 55, 5A, 66, 69,</w:t>
      </w:r>
      <w:r>
        <w:br/>
      </w:r>
      <w:r>
        <w:rPr>
          <w:rStyle w:val="VerbatimChar"/>
        </w:rPr>
        <w:t xml:space="preserve"> 96, 99, A5, AA, C3, CC, F0, FF}</w:t>
      </w:r>
    </w:p>
    <w:p>
      <w:pPr>
        <w:pStyle w:val="FirstParagraph"/>
      </w:pPr>
      <w:r>
        <w:t xml:space="preserve">OMI uses this doorway only as a finite binary reference surface.</w:t>
      </w:r>
    </w:p>
    <w:p>
      <w:pPr>
        <w:pStyle w:val="BodyText"/>
      </w:pPr>
      <w:r>
        <w:t xml:space="preserve">Approved statement:</w:t>
      </w:r>
    </w:p>
    <w:p>
      <w:pPr>
        <w:pStyle w:val="SourceCode"/>
      </w:pPr>
      <w:r>
        <w:rPr>
          <w:rStyle w:val="VerbatimChar"/>
        </w:rPr>
        <w:t xml:space="preserve">The extended Hamming [8,4,4] code provides a finite binary doorway into E₈-style lattice construction.</w:t>
      </w:r>
    </w:p>
    <w:p>
      <w:pPr>
        <w:pStyle w:val="FirstParagraph"/>
      </w:pPr>
      <w:r>
        <w:t xml:space="preserve">Not claimed:</w:t>
      </w:r>
    </w:p>
    <w:p>
      <w:pPr>
        <w:pStyle w:val="SourceCode"/>
      </w:pPr>
      <w:r>
        <w:rPr>
          <w:rStyle w:val="VerbatimChar"/>
        </w:rPr>
        <w:t xml:space="preserve">No OMI naming scaffold is itself the code.</w:t>
      </w:r>
      <w:r>
        <w:br/>
      </w:r>
      <w:r>
        <w:rPr>
          <w:rStyle w:val="VerbatimChar"/>
        </w:rPr>
        <w:t xml:space="preserve">No OMI naming scaffold proves E₈.</w:t>
      </w:r>
      <w:r>
        <w:br/>
      </w:r>
      <w:r>
        <w:rPr>
          <w:rStyle w:val="VerbatimChar"/>
        </w:rPr>
        <w:t xml:space="preserve">No OMI naming scaffold is an authority layer.</w:t>
      </w:r>
    </w:p>
    <w:p>
      <w:r>
        <w:pict>
          <v:rect style="width:0;height:1.5pt" o:hralign="center" o:hrstd="t" o:hr="t"/>
        </w:pict>
      </w:r>
    </w:p>
    <w:bookmarkEnd w:id="23"/>
    <w:bookmarkStart w:id="24" w:name="the-e₈-relation-shell"/>
    <w:p>
      <w:pPr>
        <w:pStyle w:val="Heading2"/>
      </w:pPr>
      <w:r>
        <w:t xml:space="preserve">4. The E₈ Relation Shell</w:t>
      </w:r>
    </w:p>
    <w:p>
      <w:pPr>
        <w:pStyle w:val="FirstParagraph"/>
      </w:pPr>
      <w:r>
        <w:t xml:space="preserve">The E₈ lattice has 240 roots.</w:t>
      </w:r>
    </w:p>
    <w:p>
      <w:pPr>
        <w:pStyle w:val="BodyText"/>
      </w:pPr>
      <w:r>
        <w:t xml:space="preserve">A standard root split is:</w:t>
      </w:r>
    </w:p>
    <w:p>
      <w:pPr>
        <w:pStyle w:val="SourceCode"/>
      </w:pPr>
      <w:r>
        <w:rPr>
          <w:rStyle w:val="VerbatimChar"/>
        </w:rPr>
        <w:t xml:space="preserve">112 roots:</w:t>
      </w:r>
      <w:r>
        <w:br/>
      </w:r>
      <w:r>
        <w:rPr>
          <w:rStyle w:val="VerbatimChar"/>
        </w:rPr>
        <w:t xml:space="preserve">  permutations of (±1, ±1, 0, 0, 0, 0, 0, 0)</w:t>
      </w:r>
      <w:r>
        <w:br/>
      </w:r>
      <w:r>
        <w:br/>
      </w:r>
      <w:r>
        <w:rPr>
          <w:rStyle w:val="VerbatimChar"/>
        </w:rPr>
        <w:t xml:space="preserve">128 roots:</w:t>
      </w:r>
      <w:r>
        <w:br/>
      </w:r>
      <w:r>
        <w:rPr>
          <w:rStyle w:val="VerbatimChar"/>
        </w:rPr>
        <w:t xml:space="preserve">  1/2(±1, ±1, ±1, ±1, ±1, ±1, ±1, ±1)</w:t>
      </w:r>
      <w:r>
        <w:br/>
      </w:r>
      <w:r>
        <w:rPr>
          <w:rStyle w:val="VerbatimChar"/>
        </w:rPr>
        <w:t xml:space="preserve">  with even parity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112 + 128 = 240</w:t>
      </w:r>
    </w:p>
    <w:p>
      <w:pPr>
        <w:pStyle w:val="FirstParagraph"/>
      </w:pPr>
      <w:r>
        <w:t xml:space="preserve">OMI reads the E₈ root count as a compatible relation-shell number.</w:t>
      </w:r>
    </w:p>
    <w:p>
      <w:pPr>
        <w:pStyle w:val="BodyText"/>
      </w:pPr>
      <w:r>
        <w:t xml:space="preserve">This compatibility has three arithmetic faces:</w:t>
      </w:r>
    </w:p>
    <w:p>
      <w:pPr>
        <w:pStyle w:val="SourceCode"/>
      </w:pPr>
      <w:r>
        <w:rPr>
          <w:rStyle w:val="VerbatimChar"/>
        </w:rPr>
        <w:t xml:space="preserve">240 = E₈ root count</w:t>
      </w:r>
      <w:r>
        <w:br/>
      </w:r>
      <w:r>
        <w:rPr>
          <w:rStyle w:val="VerbatimChar"/>
        </w:rPr>
        <w:t xml:space="preserve">240 = 15 × 16</w:t>
      </w:r>
      <w:r>
        <w:br/>
      </w:r>
      <w:r>
        <w:rPr>
          <w:rStyle w:val="VerbatimChar"/>
        </w:rPr>
        <w:t xml:space="preserve">240 = 3 × (60 + 16 + 4)</w:t>
      </w:r>
    </w:p>
    <w:p>
      <w:pPr>
        <w:pStyle w:val="FirstParagraph"/>
      </w:pPr>
      <w:r>
        <w:t xml:space="preserve">These are arithmetic compatibilities, not a proved isomorphism between OMI and E₈.</w:t>
      </w:r>
    </w:p>
    <w:p>
      <w:r>
        <w:pict>
          <v:rect style="width:0;height:1.5pt" o:hralign="center" o:hrstd="t" o:hr="t"/>
        </w:pict>
      </w:r>
    </w:p>
    <w:bookmarkEnd w:id="24"/>
    <w:bookmarkStart w:id="28" w:name="the-binary-quadratic-form-partition"/>
    <w:p>
      <w:pPr>
        <w:pStyle w:val="Heading2"/>
      </w:pPr>
      <w:r>
        <w:t xml:space="preserve">5. The Binary Quadratic Form Partition</w:t>
      </w:r>
    </w:p>
    <w:p>
      <w:pPr>
        <w:pStyle w:val="FirstParagraph"/>
      </w:pPr>
      <w:r>
        <w:t xml:space="preserve">The OMI binary quadratic form is:</w:t>
      </w:r>
    </w:p>
    <w:p>
      <w:pPr>
        <w:pStyle w:val="SourceCode"/>
      </w:pPr>
      <w:r>
        <w:rPr>
          <w:rStyle w:val="VerbatimChar"/>
        </w:rPr>
        <w:t xml:space="preserve">Q(x,y) = 60x² + 16xy + 4y²</w:t>
      </w:r>
    </w:p>
    <w:p>
      <w:pPr>
        <w:pStyle w:val="FirstParagraph"/>
      </w:pPr>
      <w:r>
        <w:t xml:space="preserve">The terms name three neighborhoods of relation space.</w:t>
      </w:r>
    </w:p>
    <w:bookmarkStart w:id="25" w:name="y²-tetrahedral-unit"/>
    <w:p>
      <w:pPr>
        <w:pStyle w:val="Heading3"/>
      </w:pPr>
      <w:r>
        <w:rPr>
          <w:rStyle w:val="VerbatimChar"/>
        </w:rPr>
        <w:t xml:space="preserve">4y²</w:t>
      </w:r>
      <w:r>
        <w:t xml:space="preserve">: Tetrahedral Unit</w:t>
      </w:r>
    </w:p>
    <w:p>
      <w:pPr>
        <w:pStyle w:val="SourceCode"/>
      </w:pPr>
      <w:r>
        <w:rPr>
          <w:rStyle w:val="VerbatimChar"/>
        </w:rPr>
        <w:t xml:space="preserve">local centroid relation</w:t>
      </w:r>
      <w:r>
        <w:br/>
      </w:r>
      <w:r>
        <w:rPr>
          <w:rStyle w:val="VerbatimChar"/>
        </w:rPr>
        <w:t xml:space="preserve">vertex-origin distance</w:t>
      </w:r>
      <w:r>
        <w:br/>
      </w:r>
      <w:r>
        <w:rPr>
          <w:rStyle w:val="VerbatimChar"/>
        </w:rPr>
        <w:t xml:space="preserve">minimal self-dual seed</w:t>
      </w:r>
    </w:p>
    <w:bookmarkEnd w:id="25"/>
    <w:bookmarkStart w:id="26" w:name="xy-cube-octahedron-tangency"/>
    <w:p>
      <w:pPr>
        <w:pStyle w:val="Heading3"/>
      </w:pPr>
      <w:r>
        <w:rPr>
          <w:rStyle w:val="VerbatimChar"/>
        </w:rPr>
        <w:t xml:space="preserve">16xy</w:t>
      </w:r>
      <w:r>
        <w:t xml:space="preserve">: Cube / Octahedron Tangency</w:t>
      </w:r>
    </w:p>
    <w:p>
      <w:pPr>
        <w:pStyle w:val="SourceCode"/>
      </w:pPr>
      <w:r>
        <w:rPr>
          <w:rStyle w:val="VerbatimChar"/>
        </w:rPr>
        <w:t xml:space="preserve">common-core crossing relations</w:t>
      </w:r>
      <w:r>
        <w:br/>
      </w:r>
      <w:r>
        <w:rPr>
          <w:rStyle w:val="VerbatimChar"/>
        </w:rPr>
        <w:t xml:space="preserve">face-traversal chiral branch</w:t>
      </w:r>
      <w:r>
        <w:br/>
      </w:r>
      <w:r>
        <w:rPr>
          <w:rStyle w:val="VerbatimChar"/>
        </w:rPr>
        <w:t xml:space="preserve">cubic / octahedral duality witness</w:t>
      </w:r>
    </w:p>
    <w:bookmarkEnd w:id="26"/>
    <w:bookmarkStart w:id="27" w:name="x²-icosahedral-dodecahedral-high-shell"/>
    <w:p>
      <w:pPr>
        <w:pStyle w:val="Heading3"/>
      </w:pPr>
      <w:r>
        <w:rPr>
          <w:rStyle w:val="VerbatimChar"/>
        </w:rPr>
        <w:t xml:space="preserve">60x²</w:t>
      </w:r>
      <w:r>
        <w:t xml:space="preserve">: Icosahedral / Dodecahedral High-Shell</w:t>
      </w:r>
    </w:p>
    <w:p>
      <w:pPr>
        <w:pStyle w:val="SourceCode"/>
      </w:pPr>
      <w:r>
        <w:rPr>
          <w:rStyle w:val="VerbatimChar"/>
        </w:rPr>
        <w:t xml:space="preserve">golden-ratio projection neighborhood</w:t>
      </w:r>
      <w:r>
        <w:br/>
      </w:r>
      <w:r>
        <w:rPr>
          <w:rStyle w:val="VerbatimChar"/>
        </w:rPr>
        <w:t xml:space="preserve">5-fold icosahedral incidence witness</w:t>
      </w:r>
      <w:r>
        <w:br/>
      </w:r>
      <w:r>
        <w:rPr>
          <w:rStyle w:val="VerbatimChar"/>
        </w:rPr>
        <w:t xml:space="preserve">high-resolution semantic envelope</w:t>
      </w:r>
    </w:p>
    <w:p>
      <w:pPr>
        <w:pStyle w:val="FirstParagraph"/>
      </w:pPr>
      <w:r>
        <w:t xml:space="preserve">The coefficients sum to:</w:t>
      </w:r>
    </w:p>
    <w:p>
      <w:pPr>
        <w:pStyle w:val="SourceCode"/>
      </w:pPr>
      <w:r>
        <w:rPr>
          <w:rStyle w:val="VerbatimChar"/>
        </w:rPr>
        <w:t xml:space="preserve">60 + 16 + 4 = 80</w:t>
      </w:r>
    </w:p>
    <w:p>
      <w:pPr>
        <w:pStyle w:val="FirstParagraph"/>
      </w:pPr>
      <w:r>
        <w:t xml:space="preserve">The triadic completion is:</w:t>
      </w:r>
    </w:p>
    <w:p>
      <w:pPr>
        <w:pStyle w:val="SourceCode"/>
      </w:pPr>
      <w:r>
        <w:rPr>
          <w:rStyle w:val="VerbatimChar"/>
        </w:rPr>
        <w:t xml:space="preserve">3 × 80 = 240</w:t>
      </w:r>
    </w:p>
    <w:p>
      <w:pPr>
        <w:pStyle w:val="FirstParagraph"/>
      </w:pPr>
      <w:r>
        <w:t xml:space="preserve">So the OMI reading is:</w:t>
      </w:r>
    </w:p>
    <w:p>
      <w:pPr>
        <w:pStyle w:val="SourceCode"/>
      </w:pPr>
      <w:r>
        <w:rPr>
          <w:rStyle w:val="VerbatimChar"/>
        </w:rPr>
        <w:t xml:space="preserve">4y²       = local seed</w:t>
      </w:r>
      <w:r>
        <w:br/>
      </w:r>
      <w:r>
        <w:rPr>
          <w:rStyle w:val="VerbatimChar"/>
        </w:rPr>
        <w:t xml:space="preserve">16xy      = bridge / crossing</w:t>
      </w:r>
      <w:r>
        <w:br/>
      </w:r>
      <w:r>
        <w:rPr>
          <w:rStyle w:val="VerbatimChar"/>
        </w:rPr>
        <w:t xml:space="preserve">60x²      = high shell</w:t>
      </w:r>
      <w:r>
        <w:br/>
      </w:r>
      <w:r>
        <w:rPr>
          <w:rStyle w:val="VerbatimChar"/>
        </w:rPr>
        <w:t xml:space="preserve">3×(sum)   = completed relation shell</w:t>
      </w:r>
      <w:r>
        <w:br/>
      </w:r>
      <w:r>
        <w:rPr>
          <w:rStyle w:val="VerbatimChar"/>
        </w:rPr>
        <w:t xml:space="preserve">240       = compatibility with the E₈ root count</w:t>
      </w:r>
    </w:p>
    <w:p>
      <w:pPr>
        <w:pStyle w:val="FirstParagraph"/>
      </w:pPr>
      <w:r>
        <w:t xml:space="preserve">This is a structural compatibility, not a proved canonical equivalence.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he-cayley-dickson-break-ladder"/>
    <w:p>
      <w:pPr>
        <w:pStyle w:val="Heading2"/>
      </w:pPr>
      <w:r>
        <w:t xml:space="preserve">6. The Cayley-Dickson Break Ladder</w:t>
      </w:r>
    </w:p>
    <w:p>
      <w:pPr>
        <w:pStyle w:val="FirstParagraph"/>
      </w:pPr>
      <w:r>
        <w:t xml:space="preserve">The Cayley-Dickson ladder gives a clean break sequence for powers of two.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Structural break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Complex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Quaternion</w:t>
            </w:r>
          </w:p>
        </w:tc>
        <w:tc>
          <w:tcPr/>
          <w:p>
            <w:pPr>
              <w:pStyle w:val="Compact"/>
            </w:pPr>
            <w:r>
              <w:t xml:space="preserve">commutativity breaks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Octonion</w:t>
            </w:r>
          </w:p>
        </w:tc>
        <w:tc>
          <w:tcPr/>
          <w:p>
            <w:pPr>
              <w:pStyle w:val="Compact"/>
            </w:pPr>
            <w:r>
              <w:t xml:space="preserve">associativity breaks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Sedenion</w:t>
            </w:r>
          </w:p>
        </w:tc>
        <w:tc>
          <w:tcPr/>
          <w:p>
            <w:pPr>
              <w:pStyle w:val="Compact"/>
            </w:pPr>
            <w:r>
              <w:t xml:space="preserve">zero divisors appear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32-ion</w:t>
            </w:r>
          </w:p>
        </w:tc>
        <w:tc>
          <w:tcPr/>
          <w:p>
            <w:pPr>
              <w:pStyle w:val="Compact"/>
            </w:pPr>
            <w:r>
              <w:t xml:space="preserve">instability expands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64-ion</w:t>
            </w:r>
          </w:p>
        </w:tc>
        <w:tc>
          <w:tcPr/>
          <w:p>
            <w:pPr>
              <w:pStyle w:val="Compact"/>
            </w:pPr>
            <w:r>
              <w:t xml:space="preserve">instability expands further</w:t>
            </w:r>
          </w:p>
        </w:tc>
      </w:tr>
    </w:tbl>
    <w:p>
      <w:pPr>
        <w:pStyle w:val="BodyText"/>
      </w:pPr>
      <w:r>
        <w:t xml:space="preserve">The OMI reading is:</w:t>
      </w:r>
    </w:p>
    <w:p>
      <w:pPr>
        <w:pStyle w:val="SourceCode"/>
      </w:pPr>
      <w:r>
        <w:rPr>
          <w:rStyle w:val="VerbatimChar"/>
        </w:rPr>
        <w:t xml:space="preserve">4:</w:t>
      </w:r>
      <w:r>
        <w:br/>
      </w:r>
      <w:r>
        <w:rPr>
          <w:rStyle w:val="VerbatimChar"/>
        </w:rPr>
        <w:t xml:space="preserve">  relation becomes directional</w:t>
      </w:r>
      <w:r>
        <w:br/>
      </w:r>
      <w:r>
        <w:br/>
      </w:r>
      <w:r>
        <w:rPr>
          <w:rStyle w:val="VerbatimChar"/>
        </w:rPr>
        <w:t xml:space="preserve">8:</w:t>
      </w:r>
      <w:r>
        <w:br/>
      </w:r>
      <w:r>
        <w:rPr>
          <w:rStyle w:val="VerbatimChar"/>
        </w:rPr>
        <w:t xml:space="preserve">  relation becomes non-associative</w:t>
      </w:r>
      <w:r>
        <w:br/>
      </w:r>
      <w:r>
        <w:br/>
      </w:r>
      <w:r>
        <w:rPr>
          <w:rStyle w:val="VerbatimChar"/>
        </w:rPr>
        <w:t xml:space="preserve">16:</w:t>
      </w:r>
      <w:r>
        <w:br/>
      </w:r>
      <w:r>
        <w:rPr>
          <w:rStyle w:val="VerbatimChar"/>
        </w:rPr>
        <w:t xml:space="preserve">  relation becomes unsafe as division structure</w:t>
      </w:r>
      <w:r>
        <w:br/>
      </w:r>
      <w:r>
        <w:br/>
      </w:r>
      <w:r>
        <w:rPr>
          <w:rStyle w:val="VerbatimChar"/>
        </w:rPr>
        <w:t xml:space="preserve">32 and 64:</w:t>
      </w:r>
      <w:r>
        <w:br/>
      </w:r>
      <w:r>
        <w:rPr>
          <w:rStyle w:val="VerbatimChar"/>
        </w:rPr>
        <w:t xml:space="preserve">  instability expands into higher relation surfaces</w:t>
      </w:r>
    </w:p>
    <w:p>
      <w:pPr>
        <w:pStyle w:val="FirstParagraph"/>
      </w:pPr>
      <w:r>
        <w:t xml:space="preserve">This ladder is useful for testing where commutator, associator, and zero-divisor behavior enter the OMI relation model.</w:t>
      </w:r>
    </w:p>
    <w:p>
      <w:r>
        <w:pict>
          <v:rect style="width:0;height:1.5pt" o:hralign="center" o:hrstd="t" o:hr="t"/>
        </w:pict>
      </w:r>
    </w:p>
    <w:bookmarkEnd w:id="29"/>
    <w:bookmarkStart w:id="30" w:name="the-power-closure-formula"/>
    <w:p>
      <w:pPr>
        <w:pStyle w:val="Heading2"/>
      </w:pPr>
      <w:r>
        <w:t xml:space="preserve">7. The Power Closure Formula</w:t>
      </w:r>
    </w:p>
    <w:p>
      <w:pPr>
        <w:pStyle w:val="FirstParagraph"/>
      </w:pPr>
      <w:r>
        <w:t xml:space="preserve">The closure formula:</w:t>
      </w:r>
    </w:p>
    <w:p>
      <w:pPr>
        <w:pStyle w:val="SourceCode"/>
      </w:pPr>
      <w:r>
        <w:rPr>
          <w:rStyle w:val="VerbatimChar"/>
        </w:rPr>
        <w:t xml:space="preserve">(64x - 64)(32x - 32)(16x - 16)(8x - 8)(4x - 4)(2x - 2)(x - 1) / x</w:t>
      </w:r>
    </w:p>
    <w:p>
      <w:pPr>
        <w:pStyle w:val="FirstParagraph"/>
      </w:pPr>
      <w:r>
        <w:t xml:space="preserve">factors as:</w:t>
      </w:r>
    </w:p>
    <w:p>
      <w:pPr>
        <w:pStyle w:val="SourceCode"/>
      </w:pPr>
      <w:r>
        <w:rPr>
          <w:rStyle w:val="VerbatimChar"/>
        </w:rPr>
        <w:t xml:space="preserve">Power(x) = 2²¹ · (x - 1)⁷ / x</w:t>
      </w:r>
    </w:p>
    <w:p>
      <w:pPr>
        <w:pStyle w:val="FirstParagraph"/>
      </w:pPr>
      <w:r>
        <w:t xml:space="preserve">It breaks at:</w:t>
      </w:r>
    </w:p>
    <w:p>
      <w:pPr>
        <w:pStyle w:val="SourceCode"/>
      </w:pPr>
      <w:r>
        <w:rPr>
          <w:rStyle w:val="VerbatimChar"/>
        </w:rPr>
        <w:t xml:space="preserve">x = 0:</w:t>
      </w:r>
      <w:r>
        <w:br/>
      </w:r>
      <w:r>
        <w:rPr>
          <w:rStyle w:val="VerbatimChar"/>
        </w:rPr>
        <w:t xml:space="preserve">  division by zero</w:t>
      </w:r>
      <w:r>
        <w:br/>
      </w:r>
      <w:r>
        <w:br/>
      </w:r>
      <w:r>
        <w:rPr>
          <w:rStyle w:val="VerbatimChar"/>
        </w:rPr>
        <w:t xml:space="preserve">x = 1:</w:t>
      </w:r>
      <w:r>
        <w:br/>
      </w:r>
      <w:r>
        <w:rPr>
          <w:rStyle w:val="VerbatimChar"/>
        </w:rPr>
        <w:t xml:space="preserve">  all closure factors collapse to zero</w:t>
      </w:r>
    </w:p>
    <w:p>
      <w:pPr>
        <w:pStyle w:val="FirstParagraph"/>
      </w:pPr>
      <w:r>
        <w:t xml:space="preserve">The pattern is:</w:t>
      </w:r>
    </w:p>
    <w:p>
      <w:pPr>
        <w:pStyle w:val="SourceCode"/>
      </w:pPr>
      <w:r>
        <w:rPr>
          <w:rStyle w:val="VerbatimChar"/>
        </w:rPr>
        <w:t xml:space="preserve">2ᵏ(x - 1)</w:t>
      </w:r>
    </w:p>
    <w:p>
      <w:pPr>
        <w:pStyle w:val="FirstParagraph"/>
      </w:pPr>
      <w:r>
        <w:t xml:space="preserve">This is not a multiplication law by itself. It is a closure ladder over the powers:</w:t>
      </w:r>
    </w:p>
    <w:p>
      <w:pPr>
        <w:pStyle w:val="SourceCode"/>
      </w:pPr>
      <w:r>
        <w:rPr>
          <w:rStyle w:val="VerbatimChar"/>
        </w:rPr>
        <w:t xml:space="preserve">1, 2, 4, 8, 16, 32, 64</w:t>
      </w:r>
    </w:p>
    <w:p>
      <w:pPr>
        <w:pStyle w:val="FirstParagraph"/>
      </w:pPr>
      <w:r>
        <w:t xml:space="preserve">OMI uses this as a stage selector, not as proof of algebraic structure.</w:t>
      </w:r>
    </w:p>
    <w:p>
      <w:r>
        <w:pict>
          <v:rect style="width:0;height:1.5pt" o:hralign="center" o:hrstd="t" o:hr="t"/>
        </w:pict>
      </w:r>
    </w:p>
    <w:bookmarkEnd w:id="30"/>
    <w:bookmarkStart w:id="31" w:name="the-encoding-model"/>
    <w:p>
      <w:pPr>
        <w:pStyle w:val="Heading2"/>
      </w:pPr>
      <w:r>
        <w:t xml:space="preserve">8. The Encoding Model</w:t>
      </w:r>
    </w:p>
    <w:p>
      <w:pPr>
        <w:pStyle w:val="FirstParagraph"/>
      </w:pPr>
      <w:r>
        <w:t xml:space="preserve">The OMI encoding model separates the selector, incidence gate, norm shell, oriented closure, BQF partition, and break witness.</w:t>
      </w:r>
    </w:p>
    <w:p>
      <w:pPr>
        <w:pStyle w:val="SourceCode"/>
      </w:pPr>
      <w:r>
        <w:rPr>
          <w:rStyle w:val="VerbatimChar"/>
        </w:rPr>
        <w:t xml:space="preserve">Powerₙ:</w:t>
      </w:r>
      <w:r>
        <w:br/>
      </w:r>
      <w:r>
        <w:rPr>
          <w:rStyle w:val="VerbatimChar"/>
        </w:rPr>
        <w:t xml:space="preserve">  dimension selector</w:t>
      </w:r>
      <w:r>
        <w:br/>
      </w:r>
      <w:r>
        <w:br/>
      </w:r>
      <w:r>
        <w:rPr>
          <w:rStyle w:val="VerbatimChar"/>
        </w:rPr>
        <w:t xml:space="preserve">Of(x,y):</w:t>
      </w:r>
      <w:r>
        <w:br/>
      </w:r>
      <w:r>
        <w:rPr>
          <w:rStyle w:val="VerbatimChar"/>
        </w:rPr>
        <w:t xml:space="preserve">  binary incidence gate</w:t>
      </w:r>
      <w:r>
        <w:br/>
      </w:r>
      <w:r>
        <w:rPr>
          <w:rStyle w:val="VerbatimChar"/>
        </w:rPr>
        <w:t xml:space="preserve">  x * y mod 2</w:t>
      </w:r>
      <w:r>
        <w:br/>
      </w:r>
      <w:r>
        <w:br/>
      </w:r>
      <w:r>
        <w:rPr>
          <w:rStyle w:val="VerbatimChar"/>
        </w:rPr>
        <w:t xml:space="preserve">Tower(x,y,z):</w:t>
      </w:r>
      <w:r>
        <w:br/>
      </w:r>
      <w:r>
        <w:rPr>
          <w:rStyle w:val="VerbatimChar"/>
        </w:rPr>
        <w:t xml:space="preserve">  norm shell</w:t>
      </w:r>
      <w:r>
        <w:br/>
      </w:r>
      <w:r>
        <w:rPr>
          <w:rStyle w:val="VerbatimChar"/>
        </w:rPr>
        <w:t xml:space="preserve">  x² + y² + z²</w:t>
      </w:r>
      <w:r>
        <w:br/>
      </w:r>
      <w:r>
        <w:br/>
      </w:r>
      <w:r>
        <w:rPr>
          <w:rStyle w:val="VerbatimChar"/>
        </w:rPr>
        <w:t xml:space="preserve">FanoPlane(x,y,z):</w:t>
      </w:r>
      <w:r>
        <w:br/>
      </w:r>
      <w:r>
        <w:rPr>
          <w:rStyle w:val="VerbatimChar"/>
        </w:rPr>
        <w:t xml:space="preserve">  oriented triple closure</w:t>
      </w:r>
      <w:r>
        <w:br/>
      </w:r>
      <w:r>
        <w:rPr>
          <w:rStyle w:val="VerbatimChar"/>
        </w:rPr>
        <w:t xml:space="preserve">  eₓ · eᵧ = ±e_z</w:t>
      </w:r>
      <w:r>
        <w:br/>
      </w:r>
      <w:r>
        <w:br/>
      </w:r>
      <w:r>
        <w:rPr>
          <w:rStyle w:val="VerbatimChar"/>
        </w:rPr>
        <w:t xml:space="preserve">BQF(x,y):</w:t>
      </w:r>
      <w:r>
        <w:br/>
      </w:r>
      <w:r>
        <w:rPr>
          <w:rStyle w:val="VerbatimChar"/>
        </w:rPr>
        <w:t xml:space="preserve">  partition map</w:t>
      </w:r>
      <w:r>
        <w:br/>
      </w:r>
      <w:r>
        <w:rPr>
          <w:rStyle w:val="VerbatimChar"/>
        </w:rPr>
        <w:t xml:space="preserve">  60x² + 16xy + 4y²</w:t>
      </w:r>
      <w:r>
        <w:br/>
      </w:r>
      <w:r>
        <w:br/>
      </w:r>
      <w:r>
        <w:rPr>
          <w:rStyle w:val="VerbatimChar"/>
        </w:rPr>
        <w:t xml:space="preserve">Break(n):</w:t>
      </w:r>
      <w:r>
        <w:br/>
      </w:r>
      <w:r>
        <w:rPr>
          <w:rStyle w:val="VerbatimChar"/>
        </w:rPr>
        <w:t xml:space="preserve">  commutator / associator / zero-divisor status</w:t>
      </w:r>
    </w:p>
    <w:p>
      <w:pPr>
        <w:pStyle w:val="FirstParagraph"/>
      </w:pPr>
      <w:r>
        <w:t xml:space="preserve">The canonical relation expression is:</w:t>
      </w:r>
    </w:p>
    <w:p>
      <w:pPr>
        <w:pStyle w:val="SourceCode"/>
      </w:pPr>
      <w:r>
        <w:rPr>
          <w:rStyle w:val="NormalTok"/>
        </w:rPr>
        <w:t xml:space="preserve">(Omi</w:t>
      </w:r>
      <w:r>
        <w:br/>
      </w:r>
      <w:r>
        <w:rPr>
          <w:rStyle w:val="NormalTok"/>
        </w:rPr>
        <w:t xml:space="preserve">  (stage n)</w:t>
      </w:r>
      <w:r>
        <w:br/>
      </w:r>
      <w:r>
        <w:rPr>
          <w:rStyle w:val="NormalTok"/>
        </w:rPr>
        <w:t xml:space="preserve">  (dimension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^n)</w:t>
      </w:r>
      <w:r>
        <w:br/>
      </w:r>
      <w:r>
        <w:rPr>
          <w:rStyle w:val="NormalTok"/>
        </w:rPr>
        <w:t xml:space="preserve">  (of x y)</w:t>
      </w:r>
      <w:r>
        <w:br/>
      </w:r>
      <w:r>
        <w:rPr>
          <w:rStyle w:val="NormalTok"/>
        </w:rPr>
        <w:t xml:space="preserve">  (tower x y z)</w:t>
      </w:r>
      <w:r>
        <w:br/>
      </w:r>
      <w:r>
        <w:rPr>
          <w:rStyle w:val="NormalTok"/>
        </w:rPr>
        <w:t xml:space="preserve">  (fano x y z)</w:t>
      </w:r>
      <w:r>
        <w:br/>
      </w:r>
      <w:r>
        <w:rPr>
          <w:rStyle w:val="NormalTok"/>
        </w:rPr>
        <w:t xml:space="preserve">  (bqf x y)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break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(record relation))</w:t>
      </w:r>
    </w:p>
    <w:p>
      <w:pPr>
        <w:pStyle w:val="FirstParagraph"/>
      </w:pPr>
      <w:r>
        <w:t xml:space="preserve">This expression records relation behavior. It does not claim that the notation itself proves the standard mathematics.</w:t>
      </w:r>
    </w:p>
    <w:p>
      <w:r>
        <w:pict>
          <v:rect style="width:0;height:1.5pt" o:hralign="center" o:hrstd="t" o:hr="t"/>
        </w:pict>
      </w:r>
    </w:p>
    <w:bookmarkEnd w:id="31"/>
    <w:bookmarkStart w:id="32" w:name="the-cayley-dickson-basis-rule"/>
    <w:p>
      <w:pPr>
        <w:pStyle w:val="Heading2"/>
      </w:pPr>
      <w:r>
        <w:t xml:space="preserve">9. The Cayley-Dickson Basis Rule</w:t>
      </w:r>
    </w:p>
    <w:p>
      <w:pPr>
        <w:pStyle w:val="FirstParagraph"/>
      </w:pPr>
      <w:r>
        <w:t xml:space="preserve">A useful computational basis rule is:</w:t>
      </w:r>
    </w:p>
    <w:p>
      <w:pPr>
        <w:pStyle w:val="SourceCode"/>
      </w:pPr>
      <w:r>
        <w:rPr>
          <w:rStyle w:val="VerbatimChar"/>
        </w:rPr>
        <w:t xml:space="preserve">eᵢ · eⱼ = sign(i,j) · e_(i XOR j)</w:t>
      </w:r>
    </w:p>
    <w:p>
      <w:pPr>
        <w:pStyle w:val="FirstParagraph"/>
      </w:pPr>
      <w:r>
        <w:t xml:space="preserve">The target index is:</w:t>
      </w:r>
    </w:p>
    <w:p>
      <w:pPr>
        <w:pStyle w:val="SourceCode"/>
      </w:pPr>
      <w:r>
        <w:rPr>
          <w:rStyle w:val="VerbatimChar"/>
        </w:rPr>
        <w:t xml:space="preserve">target = i XOR j</w:t>
      </w:r>
    </w:p>
    <w:p>
      <w:pPr>
        <w:pStyle w:val="FirstParagraph"/>
      </w:pPr>
      <w:r>
        <w:t xml:space="preserve">The sign function encodes:</w:t>
      </w:r>
    </w:p>
    <w:p>
      <w:pPr>
        <w:pStyle w:val="SourceCode"/>
      </w:pPr>
      <w:r>
        <w:rPr>
          <w:rStyle w:val="VerbatimChar"/>
        </w:rPr>
        <w:t xml:space="preserve">twist</w:t>
      </w:r>
      <w:r>
        <w:br/>
      </w:r>
      <w:r>
        <w:rPr>
          <w:rStyle w:val="VerbatimChar"/>
        </w:rPr>
        <w:t xml:space="preserve">chirality</w:t>
      </w:r>
      <w:r>
        <w:br/>
      </w:r>
      <w:r>
        <w:rPr>
          <w:rStyle w:val="VerbatimChar"/>
        </w:rPr>
        <w:t xml:space="preserve">orientation</w:t>
      </w:r>
      <w:r>
        <w:br/>
      </w:r>
      <w:r>
        <w:rPr>
          <w:rStyle w:val="VerbatimChar"/>
        </w:rPr>
        <w:t xml:space="preserve">noncommutative behavior</w:t>
      </w:r>
      <w:r>
        <w:br/>
      </w:r>
      <w:r>
        <w:rPr>
          <w:rStyle w:val="VerbatimChar"/>
        </w:rPr>
        <w:t xml:space="preserve">nonassociative behavior</w:t>
      </w:r>
    </w:p>
    <w:p>
      <w:pPr>
        <w:pStyle w:val="FirstParagraph"/>
      </w:pPr>
      <w:r>
        <w:t xml:space="preserve">OMI can use this rule as a deterministic test surface for relation behavior across dimensions 4, 8, 16, 32, and 64.</w:t>
      </w:r>
    </w:p>
    <w:p>
      <w:r>
        <w:pict>
          <v:rect style="width:0;height:1.5pt" o:hralign="center" o:hrstd="t" o:hr="t"/>
        </w:pict>
      </w:r>
    </w:p>
    <w:bookmarkEnd w:id="32"/>
    <w:bookmarkStart w:id="35" w:name="the-ii₂₅₁-horizon"/>
    <w:p>
      <w:pPr>
        <w:pStyle w:val="Heading2"/>
      </w:pPr>
      <w:r>
        <w:t xml:space="preserve">10. The II₂₅,₁ Horizon</w:t>
      </w:r>
    </w:p>
    <w:p>
      <w:pPr>
        <w:pStyle w:val="FirstParagraph"/>
      </w:pPr>
      <w:r>
        <w:t xml:space="preserve">II₂₅,₁ is the even Lorentzian unimodular lattice of signature</w:t>
      </w:r>
      <w:r>
        <w:t xml:space="preserve"> </w:t>
      </w:r>
      <w:r>
        <w:rPr>
          <w:rStyle w:val="VerbatimChar"/>
        </w:rPr>
        <w:t xml:space="preserve">(25,1)</w:t>
      </w:r>
      <w:r>
        <w:t xml:space="preserve">.</w:t>
      </w:r>
    </w:p>
    <w:p>
      <w:pPr>
        <w:pStyle w:val="BodyText"/>
      </w:pPr>
      <w:r>
        <w:t xml:space="preserve">It supplies the horizon in which Leech lattice structure appears through Conway’s reflection picture.</w:t>
      </w:r>
    </w:p>
    <w:bookmarkStart w:id="33" w:name="norm-zero-orbits"/>
    <w:p>
      <w:pPr>
        <w:pStyle w:val="Heading3"/>
      </w:pPr>
      <w:r>
        <w:t xml:space="preserve">Norm-Zero Orbits</w:t>
      </w:r>
    </w:p>
    <w:p>
      <w:pPr>
        <w:pStyle w:val="FirstParagraph"/>
      </w:pPr>
      <w:r>
        <w:t xml:space="preserve">There are:</w:t>
      </w:r>
    </w:p>
    <w:p>
      <w:pPr>
        <w:pStyle w:val="SourceCode"/>
      </w:pPr>
      <w:r>
        <w:rPr>
          <w:rStyle w:val="VerbatimChar"/>
        </w:rPr>
        <w:t xml:space="preserve">24 primitive norm-zero orbits</w:t>
      </w:r>
    </w:p>
    <w:p>
      <w:pPr>
        <w:pStyle w:val="FirstParagraph"/>
      </w:pPr>
      <w:r>
        <w:t xml:space="preserve">corresponding to the 24 Niemeier lattices.</w:t>
      </w:r>
    </w:p>
    <w:p>
      <w:pPr>
        <w:pStyle w:val="BodyText"/>
      </w:pPr>
      <w:r>
        <w:t xml:space="preserve">The norm-zero Weyl-vector case corresponds to the Leech lattice.</w:t>
      </w:r>
    </w:p>
    <w:bookmarkEnd w:id="33"/>
    <w:bookmarkStart w:id="34" w:name="norm--4-orbits"/>
    <w:p>
      <w:pPr>
        <w:pStyle w:val="Heading3"/>
      </w:pPr>
      <w:r>
        <w:t xml:space="preserve">Norm -4 Orbits</w:t>
      </w:r>
    </w:p>
    <w:p>
      <w:pPr>
        <w:pStyle w:val="FirstParagraph"/>
      </w:pPr>
      <w:r>
        <w:t xml:space="preserve">There are:</w:t>
      </w:r>
    </w:p>
    <w:p>
      <w:pPr>
        <w:pStyle w:val="SourceCode"/>
      </w:pPr>
      <w:r>
        <w:rPr>
          <w:rStyle w:val="VerbatimChar"/>
        </w:rPr>
        <w:t xml:space="preserve">665 primitive norm -4 orbit classes</w:t>
      </w:r>
    </w:p>
    <w:p>
      <w:pPr>
        <w:pStyle w:val="FirstParagraph"/>
      </w:pPr>
      <w:r>
        <w:t xml:space="preserve">OMI reads these as a relation-orbit field:</w:t>
      </w:r>
    </w:p>
    <w:p>
      <w:pPr>
        <w:pStyle w:val="SourceCode"/>
      </w:pPr>
      <w:r>
        <w:rPr>
          <w:rStyle w:val="VerbatimChar"/>
        </w:rPr>
        <w:t xml:space="preserve">665 relation orbits</w:t>
      </w:r>
      <w:r>
        <w:br/>
      </w:r>
      <w:r>
        <w:rPr>
          <w:rStyle w:val="VerbatimChar"/>
        </w:rPr>
        <w:t xml:space="preserve">+ 1 tangential closure point</w:t>
      </w:r>
      <w:r>
        <w:br/>
      </w:r>
      <w:r>
        <w:rPr>
          <w:rStyle w:val="VerbatimChar"/>
        </w:rPr>
        <w:t xml:space="preserve">= 666 closure shadow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is not another orbit of the same kind.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is the gauge hinge.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he-tangential-1"/>
    <w:p>
      <w:pPr>
        <w:pStyle w:val="Heading2"/>
      </w:pPr>
      <w:r>
        <w:t xml:space="preserve">11. The Tangential</w:t>
      </w:r>
      <w:r>
        <w:t xml:space="preserve"> </w:t>
      </w:r>
      <w:r>
        <w:rPr>
          <w:rStyle w:val="VerbatimChar"/>
        </w:rPr>
        <w:t xml:space="preserve">+1</w:t>
      </w:r>
    </w:p>
    <w:p>
      <w:pPr>
        <w:pStyle w:val="FirstParagraph"/>
      </w:pPr>
      <w:r>
        <w:t xml:space="preserve">The core rule is:</w:t>
      </w:r>
    </w:p>
    <w:p>
      <w:pPr>
        <w:pStyle w:val="SourceCode"/>
      </w:pPr>
      <w:r>
        <w:rPr>
          <w:rStyle w:val="VerbatimChar"/>
        </w:rPr>
        <w:t xml:space="preserve">The +1 is not another sphere.</w:t>
      </w:r>
      <w:r>
        <w:br/>
      </w:r>
      <w:r>
        <w:rPr>
          <w:rStyle w:val="VerbatimChar"/>
        </w:rPr>
        <w:t xml:space="preserve">The +1 is the tangent to the completed packing.</w:t>
      </w:r>
    </w:p>
    <w:p>
      <w:pPr>
        <w:pStyle w:val="FirstParagraph"/>
      </w:pPr>
      <w:r>
        <w:t xml:space="preserve">When a kissing/contact field is complete, the next relation cannot enter as another ordinary symmetric neighbor. It cannot preserve the completed symmetry as one more equal member of the same configuration.</w:t>
      </w:r>
    </w:p>
    <w:p>
      <w:pPr>
        <w:pStyle w:val="BodyText"/>
      </w:pPr>
      <w:r>
        <w:t xml:space="preserve">Therefore, the next relation appears as:</w:t>
      </w:r>
    </w:p>
    <w:p>
      <w:pPr>
        <w:pStyle w:val="SourceCode"/>
      </w:pPr>
      <w:r>
        <w:rPr>
          <w:rStyle w:val="VerbatimChar"/>
        </w:rPr>
        <w:t xml:space="preserve">a tangent</w:t>
      </w:r>
      <w:r>
        <w:br/>
      </w:r>
      <w:r>
        <w:rPr>
          <w:rStyle w:val="VerbatimChar"/>
        </w:rPr>
        <w:t xml:space="preserve">a pointer</w:t>
      </w:r>
      <w:r>
        <w:br/>
      </w:r>
      <w:r>
        <w:rPr>
          <w:rStyle w:val="VerbatimChar"/>
        </w:rPr>
        <w:t xml:space="preserve">a gauge break</w:t>
      </w:r>
      <w:r>
        <w:br/>
      </w:r>
      <w:r>
        <w:rPr>
          <w:rStyle w:val="VerbatimChar"/>
        </w:rPr>
        <w:t xml:space="preserve">a closure mark</w:t>
      </w:r>
      <w:r>
        <w:br/>
      </w:r>
      <w:r>
        <w:rPr>
          <w:rStyle w:val="VerbatimChar"/>
        </w:rPr>
        <w:t xml:space="preserve">a hinge of reference</w:t>
      </w:r>
    </w:p>
    <w:p>
      <w:pPr>
        <w:pStyle w:val="FirstParagraph"/>
      </w:pPr>
      <w:r>
        <w:t xml:space="preserve">In OMI, this is the</w:t>
      </w:r>
      <w:r>
        <w:t xml:space="preserve"> </w:t>
      </w:r>
      <w:r>
        <w:rPr>
          <w:rStyle w:val="VerbatimChar"/>
        </w:rPr>
        <w:t xml:space="preserve">US/</w:t>
      </w:r>
      <w:r>
        <w:t xml:space="preserve"> </w:t>
      </w:r>
      <w:r>
        <w:t xml:space="preserve">tangent gauge.</w:t>
      </w:r>
    </w:p>
    <w:p>
      <w:pPr>
        <w:pStyle w:val="SourceCode"/>
      </w:pPr>
      <w:r>
        <w:rPr>
          <w:rStyle w:val="VerbatimChar"/>
        </w:rPr>
        <w:t xml:space="preserve">hidden control plane (0x00..0x1F)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US/ at 0x1F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printable domain (0x20..0x7F)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F-column branch ?O_o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omi---imo?O_o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665 = completed relation-orbit field</w:t>
      </w:r>
      <w:r>
        <w:br/>
      </w:r>
      <w:r>
        <w:rPr>
          <w:rStyle w:val="VerbatimChar"/>
        </w:rPr>
        <w:t xml:space="preserve">+1  = tangential gauge hinge</w:t>
      </w:r>
      <w:r>
        <w:br/>
      </w:r>
      <w:r>
        <w:rPr>
          <w:rStyle w:val="VerbatimChar"/>
        </w:rPr>
        <w:t xml:space="preserve">666 = interpretive closure shadow</w:t>
      </w:r>
    </w:p>
    <w:p>
      <w:pPr>
        <w:pStyle w:val="FirstParagraph"/>
      </w:pPr>
      <w:r>
        <w:t xml:space="preserve">The closure shadow means the field has become referable.</w:t>
      </w:r>
    </w:p>
    <w:p>
      <w:r>
        <w:pict>
          <v:rect style="width:0;height:1.5pt" o:hralign="center" o:hrstd="t" o:hr="t"/>
        </w:pict>
      </w:r>
    </w:p>
    <w:bookmarkEnd w:id="36"/>
    <w:bookmarkStart w:id="37" w:name="the-leech-lattice-and-the-12-tribes"/>
    <w:p>
      <w:pPr>
        <w:pStyle w:val="Heading2"/>
      </w:pPr>
      <w:r>
        <w:t xml:space="preserve">12. The Leech Lattice and the 12 Tribes</w:t>
      </w:r>
    </w:p>
    <w:p>
      <w:pPr>
        <w:pStyle w:val="FirstParagraph"/>
      </w:pPr>
      <w:r>
        <w:t xml:space="preserve">The Leech lattice has:</w:t>
      </w:r>
    </w:p>
    <w:p>
      <w:pPr>
        <w:pStyle w:val="SourceCode"/>
      </w:pPr>
      <w:r>
        <w:rPr>
          <w:rStyle w:val="VerbatimChar"/>
        </w:rPr>
        <w:t xml:space="preserve">196,560 minimal vectors</w:t>
      </w:r>
    </w:p>
    <w:p>
      <w:pPr>
        <w:pStyle w:val="FirstParagraph"/>
      </w:pPr>
      <w:r>
        <w:t xml:space="preserve">This is the 24-dimensional kissing number.</w:t>
      </w:r>
    </w:p>
    <w:p>
      <w:pPr>
        <w:pStyle w:val="BodyText"/>
      </w:pPr>
      <w:r>
        <w:t xml:space="preserve">OMI does not identify the 12 tribes with the literal Leech kissing number. Instead, OMI uses the Leech lattice as a high-dimensional model of:</w:t>
      </w:r>
    </w:p>
    <w:p>
      <w:pPr>
        <w:pStyle w:val="SourceCode"/>
      </w:pPr>
      <w:r>
        <w:rPr>
          <w:rStyle w:val="VerbatimChar"/>
        </w:rPr>
        <w:t xml:space="preserve">contact without collapse</w:t>
      </w:r>
    </w:p>
    <w:p>
      <w:pPr>
        <w:pStyle w:val="FirstParagraph"/>
      </w:pPr>
      <w:r>
        <w:t xml:space="preserve">The 12 tribes are the OMI agreement projection of that principle:</w:t>
      </w:r>
    </w:p>
    <w:p>
      <w:pPr>
        <w:pStyle w:val="SourceCode"/>
      </w:pPr>
      <w:r>
        <w:rPr>
          <w:rStyle w:val="VerbatimChar"/>
        </w:rPr>
        <w:t xml:space="preserve">high-dimensional contact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distinct bodies touching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structured difference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agreement without sameness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12 tribes as agreement field</w:t>
      </w:r>
    </w:p>
    <w:p>
      <w:pPr>
        <w:pStyle w:val="FirstParagraph"/>
      </w:pPr>
      <w:r>
        <w:t xml:space="preserve">The 12 tribes are therefore not lattice vectors. They are the OMI projection of the kissing principle: bounded views may touch, relate, refuse, agree, witness, and continue without collapsing into one undifferentiated view.</w:t>
      </w:r>
    </w:p>
    <w:p>
      <w:r>
        <w:pict>
          <v:rect style="width:0;height:1.5pt" o:hralign="center" o:hrstd="t" o:hr="t"/>
        </w:pict>
      </w:r>
    </w:p>
    <w:bookmarkEnd w:id="37"/>
    <w:bookmarkStart w:id="41" w:name="omicron-and-omnicron"/>
    <w:p>
      <w:pPr>
        <w:pStyle w:val="Heading2"/>
      </w:pPr>
      <w:r>
        <w:t xml:space="preserve">13. Omicron and Omnicron</w:t>
      </w:r>
    </w:p>
    <w:p>
      <w:pPr>
        <w:pStyle w:val="FirstParagraph"/>
      </w:pPr>
      <w:r>
        <w:t xml:space="preserve">This ladder also clarifies the boundary between Omicron and Omnicron.</w:t>
      </w:r>
    </w:p>
    <w:bookmarkStart w:id="38" w:name="omicron"/>
    <w:p>
      <w:pPr>
        <w:pStyle w:val="Heading3"/>
      </w:pPr>
      <w:r>
        <w:t xml:space="preserve">Omicron</w:t>
      </w:r>
    </w:p>
    <w:p>
      <w:pPr>
        <w:pStyle w:val="SourceCode"/>
      </w:pPr>
      <w:r>
        <w:rPr>
          <w:rStyle w:val="VerbatimChar"/>
        </w:rPr>
        <w:t xml:space="preserve">Omicron:</w:t>
      </w:r>
      <w:r>
        <w:br/>
      </w:r>
      <w:r>
        <w:rPr>
          <w:rStyle w:val="VerbatimChar"/>
        </w:rPr>
        <w:t xml:space="preserve">  fixed digital null-byte ring</w:t>
      </w:r>
      <w:r>
        <w:br/>
      </w:r>
      <w:r>
        <w:rPr>
          <w:rStyle w:val="VerbatimChar"/>
        </w:rPr>
        <w:t xml:space="preserve">  deterministic closure ruler</w:t>
      </w:r>
      <w:r>
        <w:br/>
      </w:r>
      <w:r>
        <w:rPr>
          <w:rStyle w:val="VerbatimChar"/>
        </w:rPr>
        <w:t xml:space="preserve">  algorithmic carry-forward</w:t>
      </w:r>
      <w:r>
        <w:br/>
      </w:r>
      <w:r>
        <w:rPr>
          <w:rStyle w:val="VerbatimChar"/>
        </w:rPr>
        <w:t xml:space="preserve">  does not change</w:t>
      </w:r>
    </w:p>
    <w:p>
      <w:pPr>
        <w:pStyle w:val="FirstParagraph"/>
      </w:pPr>
      <w:r>
        <w:t xml:space="preserve">Omicron belongs to the deterministic side.</w:t>
      </w:r>
    </w:p>
    <w:p>
      <w:pPr>
        <w:pStyle w:val="BodyText"/>
      </w:pPr>
      <w:r>
        <w:t xml:space="preserve">It normalizes and closes.</w:t>
      </w:r>
    </w:p>
    <w:bookmarkEnd w:id="38"/>
    <w:bookmarkStart w:id="39" w:name="omnicron"/>
    <w:p>
      <w:pPr>
        <w:pStyle w:val="Heading3"/>
      </w:pPr>
      <w:r>
        <w:t xml:space="preserve">Omnicron</w:t>
      </w:r>
    </w:p>
    <w:p>
      <w:pPr>
        <w:pStyle w:val="SourceCode"/>
      </w:pPr>
      <w:r>
        <w:rPr>
          <w:rStyle w:val="VerbatimChar"/>
        </w:rPr>
        <w:t xml:space="preserve">Omnicron:</w:t>
      </w:r>
      <w:r>
        <w:br/>
      </w:r>
      <w:r>
        <w:rPr>
          <w:rStyle w:val="VerbatimChar"/>
        </w:rPr>
        <w:t xml:space="preserve">  axiomatic resolver surface</w:t>
      </w:r>
      <w:r>
        <w:br/>
      </w:r>
      <w:r>
        <w:rPr>
          <w:rStyle w:val="VerbatimChar"/>
        </w:rPr>
        <w:t xml:space="preserve">  application / sensory / device horizon</w:t>
      </w:r>
      <w:r>
        <w:br/>
      </w:r>
      <w:r>
        <w:rPr>
          <w:rStyle w:val="VerbatimChar"/>
        </w:rPr>
        <w:t xml:space="preserve">  resolves what can be experienced now</w:t>
      </w:r>
      <w:r>
        <w:br/>
      </w:r>
      <w:r>
        <w:rPr>
          <w:rStyle w:val="VerbatimChar"/>
        </w:rPr>
        <w:t xml:space="preserve">  changes according to software, hardware, network, body, and environment</w:t>
      </w:r>
    </w:p>
    <w:p>
      <w:pPr>
        <w:pStyle w:val="FirstParagraph"/>
      </w:pPr>
      <w:r>
        <w:t xml:space="preserve">Omnicron belongs to the lived resolution side.</w:t>
      </w:r>
    </w:p>
    <w:p>
      <w:pPr>
        <w:pStyle w:val="BodyText"/>
      </w:pPr>
      <w:r>
        <w:t xml:space="preserve">It greedily resolves what is present and lazily preserves what is declared but unavailable.</w:t>
      </w:r>
    </w:p>
    <w:bookmarkEnd w:id="39"/>
    <w:bookmarkStart w:id="40" w:name="the-readable-relation-surface"/>
    <w:p>
      <w:pPr>
        <w:pStyle w:val="Heading3"/>
      </w:pPr>
      <w:r>
        <w:t xml:space="preserve">The Readable Relation Surface</w:t>
      </w:r>
    </w:p>
    <w:p>
      <w:pPr>
        <w:pStyle w:val="SourceCode"/>
      </w:pPr>
      <w:r>
        <w:rPr>
          <w:rStyle w:val="VerbatimChar"/>
        </w:rPr>
        <w:t xml:space="preserve">omi---imo:</w:t>
      </w:r>
      <w:r>
        <w:br/>
      </w:r>
      <w:r>
        <w:rPr>
          <w:rStyle w:val="VerbatimChar"/>
        </w:rPr>
        <w:t xml:space="preserve">  folded root circulation</w:t>
      </w:r>
      <w:r>
        <w:br/>
      </w:r>
      <w:r>
        <w:br/>
      </w:r>
      <w:r>
        <w:rPr>
          <w:rStyle w:val="VerbatimChar"/>
        </w:rPr>
        <w:t xml:space="preserve">?O_o:</w:t>
      </w:r>
      <w:r>
        <w:br/>
      </w:r>
      <w:r>
        <w:rPr>
          <w:rStyle w:val="VerbatimChar"/>
        </w:rPr>
        <w:t xml:space="preserve">  readable tangent branch</w:t>
      </w:r>
      <w:r>
        <w:br/>
      </w:r>
      <w:r>
        <w:br/>
      </w:r>
      <w:r>
        <w:rPr>
          <w:rStyle w:val="VerbatimChar"/>
        </w:rPr>
        <w:t xml:space="preserve">omi---imo?O_o:</w:t>
      </w:r>
      <w:r>
        <w:br/>
      </w:r>
      <w:r>
        <w:rPr>
          <w:rStyle w:val="VerbatimChar"/>
        </w:rPr>
        <w:t xml:space="preserve">  relation surface where fixed digital closure becomes readable to the resolver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the-complete-omi-lattice-ladder"/>
    <w:p>
      <w:pPr>
        <w:pStyle w:val="Heading2"/>
      </w:pPr>
      <w:r>
        <w:t xml:space="preserve">14. The Complete OMI Lattice Ladder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 / feature</w:t>
            </w:r>
          </w:p>
        </w:tc>
        <w:tc>
          <w:tcPr/>
          <w:p>
            <w:pPr>
              <w:pStyle w:val="Compact"/>
            </w:pPr>
            <w:r>
              <w:t xml:space="preserve">OMI role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0-sphere</w:t>
            </w:r>
            <w:r>
              <w:t xml:space="preserve"> </w:t>
            </w:r>
            <w:r>
              <w:rPr>
                <w:rStyle w:val="VerbatimChar"/>
              </w:rPr>
              <w:t xml:space="preserve">{c-r, c+r}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first boundary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Extended Hamming</w:t>
            </w:r>
            <w:r>
              <w:t xml:space="preserve"> </w:t>
            </w:r>
            <w:r>
              <w:rPr>
                <w:rStyle w:val="VerbatimChar"/>
              </w:rPr>
              <w:t xml:space="preserve">[8,4,4]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codewords</w:t>
            </w:r>
          </w:p>
        </w:tc>
        <w:tc>
          <w:tcPr/>
          <w:p>
            <w:pPr>
              <w:pStyle w:val="Compact"/>
            </w:pPr>
            <w:r>
              <w:t xml:space="preserve">finite binary doorway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 roots</w:t>
            </w:r>
          </w:p>
        </w:tc>
        <w:tc>
          <w:tcPr/>
          <w:p>
            <w:pPr>
              <w:pStyle w:val="Compact"/>
            </w:pPr>
            <w:r>
              <w:t xml:space="preserve">relation shell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BQF partition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60x² + 16xy + 4y²</w:t>
            </w:r>
          </w:p>
        </w:tc>
        <w:tc>
          <w:tcPr/>
          <w:p>
            <w:pPr>
              <w:pStyle w:val="Compact"/>
            </w:pPr>
            <w:r>
              <w:t xml:space="preserve">seed / bridge / high-shell reading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Cayley-Dickson ladder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1,2,4,8,16,32,64</w:t>
            </w:r>
          </w:p>
        </w:tc>
        <w:tc>
          <w:tcPr/>
          <w:p>
            <w:pPr>
              <w:pStyle w:val="Compact"/>
            </w:pPr>
            <w:r>
              <w:t xml:space="preserve">break-test surface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II₂₅,₁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25+1 dimensions</w:t>
            </w:r>
          </w:p>
        </w:tc>
        <w:tc>
          <w:tcPr/>
          <w:p>
            <w:pPr>
              <w:pStyle w:val="Compact"/>
            </w:pPr>
            <w:r>
              <w:t xml:space="preserve">Lorentzian horizon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II₂₅,₁ norm -4 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 orbits</w:t>
            </w:r>
          </w:p>
        </w:tc>
        <w:tc>
          <w:tcPr/>
          <w:p>
            <w:pPr>
              <w:pStyle w:val="Compact"/>
            </w:pPr>
            <w:r>
              <w:t xml:space="preserve">relation-orbit field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Tangential closure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gauge hinge / referability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Leech lattice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196,560 minimal vectors</w:t>
            </w:r>
          </w:p>
        </w:tc>
        <w:tc>
          <w:tcPr/>
          <w:p>
            <w:pPr>
              <w:pStyle w:val="Compact"/>
            </w:pPr>
            <w:r>
              <w:t xml:space="preserve">high-dimensional contact 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 tribes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agreement positions</w:t>
            </w:r>
          </w:p>
        </w:tc>
        <w:tc>
          <w:tcPr/>
          <w:p>
            <w:pPr>
              <w:pStyle w:val="Compact"/>
            </w:pPr>
            <w:r>
              <w:t xml:space="preserve">OMI agreement projection</w:t>
            </w:r>
          </w:p>
        </w:tc>
      </w:tr>
    </w:tbl>
    <w:p>
      <w:pPr>
        <w:pStyle w:val="BodyText"/>
      </w:pPr>
      <w:r>
        <w:t xml:space="preserve">The ladder is not claiming all of these are the same mathematical object.</w:t>
      </w:r>
    </w:p>
    <w:p>
      <w:pPr>
        <w:pStyle w:val="BodyText"/>
      </w:pPr>
      <w:r>
        <w:t xml:space="preserve">It organizes a disciplined sequence:</w:t>
      </w:r>
    </w:p>
    <w:p>
      <w:pPr>
        <w:pStyle w:val="SourceCode"/>
      </w:pPr>
      <w:r>
        <w:rPr>
          <w:rStyle w:val="VerbatimChar"/>
        </w:rPr>
        <w:t xml:space="preserve">finite code</w:t>
      </w:r>
      <w:r>
        <w:br/>
      </w:r>
      <w:r>
        <w:rPr>
          <w:rStyle w:val="VerbatimChar"/>
        </w:rPr>
        <w:t xml:space="preserve">→ lattice relation shell</w:t>
      </w:r>
      <w:r>
        <w:br/>
      </w:r>
      <w:r>
        <w:rPr>
          <w:rStyle w:val="VerbatimChar"/>
        </w:rPr>
        <w:t xml:space="preserve">→ quadratic partition</w:t>
      </w:r>
      <w:r>
        <w:br/>
      </w:r>
      <w:r>
        <w:rPr>
          <w:rStyle w:val="VerbatimChar"/>
        </w:rPr>
        <w:t xml:space="preserve">→ algebraic break ladder</w:t>
      </w:r>
      <w:r>
        <w:br/>
      </w:r>
      <w:r>
        <w:rPr>
          <w:rStyle w:val="VerbatimChar"/>
        </w:rPr>
        <w:t xml:space="preserve">→ Lorentzian horizon</w:t>
      </w:r>
      <w:r>
        <w:br/>
      </w:r>
      <w:r>
        <w:rPr>
          <w:rStyle w:val="VerbatimChar"/>
        </w:rPr>
        <w:t xml:space="preserve">→ relation-orbit field</w:t>
      </w:r>
      <w:r>
        <w:br/>
      </w:r>
      <w:r>
        <w:rPr>
          <w:rStyle w:val="VerbatimChar"/>
        </w:rPr>
        <w:t xml:space="preserve">→ tangent hinge</w:t>
      </w:r>
      <w:r>
        <w:br/>
      </w:r>
      <w:r>
        <w:rPr>
          <w:rStyle w:val="VerbatimChar"/>
        </w:rPr>
        <w:t xml:space="preserve">→ contact model</w:t>
      </w:r>
      <w:r>
        <w:br/>
      </w:r>
      <w:r>
        <w:rPr>
          <w:rStyle w:val="VerbatimChar"/>
        </w:rPr>
        <w:t xml:space="preserve">→ agreement projection</w:t>
      </w:r>
    </w:p>
    <w:p>
      <w:r>
        <w:pict>
          <v:rect style="width:0;height:1.5pt" o:hralign="center" o:hrstd="t" o:hr="t"/>
        </w:pict>
      </w:r>
    </w:p>
    <w:bookmarkEnd w:id="42"/>
    <w:bookmarkStart w:id="43" w:name="canonical-lock"/>
    <w:p>
      <w:pPr>
        <w:pStyle w:val="Heading2"/>
      </w:pPr>
      <w:r>
        <w:t xml:space="preserve">15. Canonical Lock</w:t>
      </w:r>
    </w:p>
    <w:p>
      <w:pPr>
        <w:pStyle w:val="SourceCode"/>
      </w:pPr>
      <w:r>
        <w:rPr>
          <w:rStyle w:val="VerbatimChar"/>
        </w:rPr>
        <w:t xml:space="preserve">The extended Hamming [8,4,4] code provides a finite binary doorway into E₈-style lattice construction.</w:t>
      </w:r>
      <w:r>
        <w:br/>
      </w:r>
      <w:r>
        <w:br/>
      </w:r>
      <w:r>
        <w:rPr>
          <w:rStyle w:val="VerbatimChar"/>
        </w:rPr>
        <w:t xml:space="preserve">E₈ supplies the 240-root relation shell.</w:t>
      </w:r>
      <w:r>
        <w:br/>
      </w:r>
      <w:r>
        <w:br/>
      </w:r>
      <w:r>
        <w:rPr>
          <w:rStyle w:val="VerbatimChar"/>
        </w:rPr>
        <w:t xml:space="preserve">The BQF partition 60x² + 16xy + 4y² gives OMI its seed / bridge / high-shell reading of relation space.</w:t>
      </w:r>
      <w:r>
        <w:br/>
      </w:r>
      <w:r>
        <w:br/>
      </w:r>
      <w:r>
        <w:rPr>
          <w:rStyle w:val="VerbatimChar"/>
        </w:rPr>
        <w:t xml:space="preserve">The Cayley-Dickson ladder gives OMI a break-test surface for commutativity, associativity, and zero-divisor behavior.</w:t>
      </w:r>
      <w:r>
        <w:br/>
      </w:r>
      <w:r>
        <w:br/>
      </w:r>
      <w:r>
        <w:rPr>
          <w:rStyle w:val="VerbatimChar"/>
        </w:rPr>
        <w:t xml:space="preserve">II₂₅,₁ supplies the Lorentzian horizon in which Leech-lattice structure appears.</w:t>
      </w:r>
      <w:r>
        <w:br/>
      </w:r>
      <w:r>
        <w:br/>
      </w:r>
      <w:r>
        <w:rPr>
          <w:rStyle w:val="VerbatimChar"/>
        </w:rPr>
        <w:t xml:space="preserve">The 665 primitive norm -4 orbits of II₂₅,₁ are used by OMI as a relation-orbit field.</w:t>
      </w:r>
      <w:r>
        <w:br/>
      </w:r>
      <w:r>
        <w:br/>
      </w:r>
      <w:r>
        <w:rPr>
          <w:rStyle w:val="VerbatimChar"/>
        </w:rPr>
        <w:t xml:space="preserve">The extra +1 is not another sphere and not another orbit.</w:t>
      </w:r>
      <w:r>
        <w:br/>
      </w:r>
      <w:r>
        <w:br/>
      </w:r>
      <w:r>
        <w:rPr>
          <w:rStyle w:val="VerbatimChar"/>
        </w:rPr>
        <w:t xml:space="preserve">The +1 is the US/ tangential gauge hinge: the closure point that makes the completed field referable.</w:t>
      </w:r>
      <w:r>
        <w:br/>
      </w:r>
      <w:r>
        <w:br/>
      </w:r>
      <w:r>
        <w:rPr>
          <w:rStyle w:val="VerbatimChar"/>
        </w:rPr>
        <w:t xml:space="preserve">The Leech lattice supplies the high-dimensional model of contact without collapse.</w:t>
      </w:r>
      <w:r>
        <w:br/>
      </w:r>
      <w:r>
        <w:br/>
      </w:r>
      <w:r>
        <w:rPr>
          <w:rStyle w:val="VerbatimChar"/>
        </w:rPr>
        <w:t xml:space="preserve">The 12 tribes are the OMI agreement projection of that contact principle.</w:t>
      </w:r>
      <w:r>
        <w:br/>
      </w:r>
      <w:r>
        <w:br/>
      </w:r>
      <w:r>
        <w:rPr>
          <w:rStyle w:val="VerbatimChar"/>
        </w:rPr>
        <w:t xml:space="preserve">The US/ tangent hinge projects the hidden carrier into readable citation by unfolding omi---imo into omi---imo?O_o.</w:t>
      </w:r>
    </w:p>
    <w:p>
      <w:r>
        <w:pict>
          <v:rect style="width:0;height:1.5pt" o:hralign="center" o:hrstd="t" o:hr="t"/>
        </w:pict>
      </w:r>
    </w:p>
    <w:bookmarkEnd w:id="43"/>
    <w:bookmarkStart w:id="44" w:name="final-authoritative-sentence"/>
    <w:p>
      <w:pPr>
        <w:pStyle w:val="Heading2"/>
      </w:pPr>
      <w:r>
        <w:t xml:space="preserve">16. Final Authoritative Sentence</w:t>
      </w:r>
    </w:p>
    <w:p>
      <w:pPr>
        <w:pStyle w:val="FirstParagraph"/>
      </w:pPr>
      <w:r>
        <w:t xml:space="preserve">The extended Hamming</w:t>
      </w:r>
      <w:r>
        <w:t xml:space="preserve"> </w:t>
      </w:r>
      <w:r>
        <w:rPr>
          <w:rStyle w:val="VerbatimChar"/>
        </w:rPr>
        <w:t xml:space="preserve">[8,4,4]</w:t>
      </w:r>
      <w:r>
        <w:t xml:space="preserve"> </w:t>
      </w:r>
      <w:r>
        <w:t xml:space="preserve">code provides a finite binary doorway into an E₈-style 240-root relation shell. The OMI BQF partition</w:t>
      </w:r>
      <w:r>
        <w:t xml:space="preserve"> </w:t>
      </w:r>
      <w:r>
        <w:rPr>
          <w:rStyle w:val="VerbatimChar"/>
        </w:rPr>
        <w:t xml:space="preserve">60x² + 16xy + 4y²</w:t>
      </w:r>
      <w:r>
        <w:t xml:space="preserve"> </w:t>
      </w:r>
      <w:r>
        <w:t xml:space="preserve">reads that relation space as seed, bridge, and high-shell structure, while the Cayley-Dickson ladder supplies a break-test surface for commutativity, associativity, and zero-divisor behavior. II₂₅,₁ supplies the Lorentzian horizon in which Leech-lattice contact appears; its 665 primitive norm -4 relation orbits plus one tangential closure point give the 666 interpretive shadow—not as an external mark, not as another sphere, and not as another orbit, but as the</w:t>
      </w:r>
      <w:r>
        <w:t xml:space="preserve"> </w:t>
      </w:r>
      <w:r>
        <w:rPr>
          <w:rStyle w:val="VerbatimChar"/>
        </w:rPr>
        <w:t xml:space="preserve">US/</w:t>
      </w:r>
      <w:r>
        <w:t xml:space="preserve"> </w:t>
      </w:r>
      <w:r>
        <w:t xml:space="preserve">gauge hinge that makes completed contact referable. The 12 tribes are not the literal Leech kissing number; they are the OMI projection of the kissing principle: contact without collapse, made readable when</w:t>
      </w:r>
      <w:r>
        <w:t xml:space="preserve"> </w:t>
      </w:r>
      <w:r>
        <w:rPr>
          <w:rStyle w:val="VerbatimChar"/>
        </w:rPr>
        <w:t xml:space="preserve">US/</w:t>
      </w:r>
      <w:r>
        <w:t xml:space="preserve"> </w:t>
      </w:r>
      <w:r>
        <w:t xml:space="preserve">unfolds</w:t>
      </w:r>
      <w:r>
        <w:t xml:space="preserve"> </w:t>
      </w:r>
      <w:r>
        <w:rPr>
          <w:rStyle w:val="VerbatimChar"/>
        </w:rPr>
        <w:t xml:space="preserve">omi---imo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omi---imo?O_o</w:t>
      </w:r>
      <w:r>
        <w:t xml:space="preserve">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2026-07-12T17:47:10Z</dcterms:created>
  <dcterms:modified xsi:type="dcterms:W3CDTF">2026-07-12T17:47:10Z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