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Dimensional Descent Computation</w:t>
      </w:r>
    </w:p>
    <w:p>
      <w:pPr>
        <w:spacing w:before="240" w:after="120"/>
        <w:jc w:val="center"/>
      </w:pPr>
      <w:r>
        <w:rPr>
          <w:i/>
          <w:iCs/>
          <w:sz w:val="28"/>
          <w:szCs w:val="28"/>
        </w:rPr>
        <w:t xml:space="preserve">A Computational Framework Using Exceptional Lie Group Hierarchies</w:t>
      </w:r>
    </w:p>
    <w:p>
      <w:pPr>
        <w:spacing w:before="480"/>
      </w:pPr>
    </w:p>
    <w:p>
      <w:pPr>
        <w:jc w:val="center"/>
      </w:pPr>
      <w:r>
        <w:rPr>
          <w:b/>
          <w:bCs/>
          <w:sz w:val="24"/>
          <w:szCs w:val="24"/>
        </w:rPr>
        <w:t xml:space="preserve">Technical Manifesto</w:t>
      </w:r>
    </w:p>
    <w:p>
      <w:pPr>
        <w:spacing w:before="120"/>
        <w:jc w:val="center"/>
      </w:pPr>
      <w:r>
        <w:rPr>
          <w:sz w:val="22"/>
          <w:szCs w:val="22"/>
        </w:rPr>
        <w:t xml:space="preserve">Version 1.0</w:t>
      </w:r>
    </w:p>
    <w:p>
      <w:pPr>
        <w:spacing w:before="960"/>
      </w:pPr>
    </w:p>
    <w:p>
      <w:pPr>
        <w:jc w:val="center"/>
      </w:pPr>
      <w:r>
        <w:rPr>
          <w:sz w:val="22"/>
          <w:szCs w:val="22"/>
        </w:rPr>
        <w:t xml:space="preserve">November 2025</w:t>
      </w:r>
    </w:p>
    <w:p>
      <w:r>
        <w:br w:type="page"/>
      </w:r>
    </w:p>
    <w:p>
      <w:pPr>
        <w:pStyle w:val="Heading1"/>
      </w:pPr>
      <w:r>
        <w:t xml:space="preserve">Abstract</w:t>
      </w:r>
    </w:p>
    <w:p>
      <w:pPr>
        <w:spacing w:after="200"/>
      </w:pPr>
      <w:r>
        <w:t xml:space="preserve">This document presents a computational architecture that uses the mathematical hierarchy of exceptional Lie groups as its operational substrate. The framework treats the chain G₂ → F₄ → E₆ → E₇ → E₈ not as abstract mathematical objects but as literal computational layers through which data transformations flow.</w:t>
      </w:r>
    </w:p>
    <w:p>
      <w:pPr>
        <w:spacing w:after="200"/>
      </w:pPr>
      <w:r>
        <w:t xml:space="preserve">The core contribution is a </w:t>
      </w:r>
      <w:r>
        <w:rPr>
          <w:i/>
          <w:iCs/>
        </w:rPr>
        <w:t xml:space="preserve">dimensional descent stack</w:t>
      </w:r>
      <w:r>
        <w:t xml:space="preserve">—an execution model where operations begin in a high-dimensional canonical space (E₈, dimension 248), descend through intermediate exceptional manifolds for specific computational purposes, reach a human-interface layer (F₄/24-cell, dimension 4), and return through the chain for verification.</w:t>
      </w:r>
    </w:p>
    <w:p>
      <w:pPr>
        <w:spacing w:after="200"/>
      </w:pPr>
      <w:r>
        <w:t xml:space="preserve">This manifesto makes no claims about physics, consciousness, or metaphysics. It presents a computational model that either works or does not work. The reader is invited to evaluate the architecture on its mathematical coherence and computational feasibility.</w:t>
      </w:r>
    </w:p>
    <w:p>
      <w:pPr>
        <w:pStyle w:val="Heading1"/>
      </w:pPr>
      <w:r>
        <w:t xml:space="preserve">1. Problem Statement</w:t>
      </w:r>
    </w:p>
    <w:p>
      <w:pPr>
        <w:spacing w:after="200"/>
      </w:pPr>
      <w:r>
        <w:t xml:space="preserve">Consider a system where:</w:t>
      </w:r>
    </w:p>
    <w:p>
      <w:pPr>
        <w:pStyle w:val="ListParagraph"/>
        <w:numPr>
          <w:ilvl w:val="0"/>
          <w:numId w:val="2"/>
        </w:numPr>
      </w:pPr>
      <w:r>
        <w:t xml:space="preserve">Data must be mapped to unique canonical representatives regardless of input format.</w:t>
      </w:r>
    </w:p>
    <w:p>
      <w:pPr>
        <w:pStyle w:val="ListParagraph"/>
        <w:numPr>
          <w:ilvl w:val="0"/>
          <w:numId w:val="2"/>
        </w:numPr>
      </w:pPr>
      <w:r>
        <w:t xml:space="preserve">The system must scale to arbitrarily many nodes without variance explosion.</w:t>
      </w:r>
    </w:p>
    <w:p>
      <w:pPr>
        <w:pStyle w:val="ListParagraph"/>
        <w:numPr>
          <w:ilvl w:val="0"/>
          <w:numId w:val="2"/>
        </w:numPr>
      </w:pPr>
      <w:r>
        <w:t xml:space="preserve">Access control must be geometric—permissions defined by proximity in a structured space.</w:t>
      </w:r>
    </w:p>
    <w:p>
      <w:pPr>
        <w:pStyle w:val="ListParagraph"/>
        <w:numPr>
          <w:ilvl w:val="0"/>
          <w:numId w:val="2"/>
        </w:numPr>
      </w:pPr>
      <w:r>
        <w:t xml:space="preserve">Human interfaces require fast projection from high-dimensional truth to 4D visualization.</w:t>
      </w:r>
    </w:p>
    <w:p>
      <w:pPr>
        <w:spacing w:before="200" w:after="200"/>
      </w:pPr>
      <w:r>
        <w:t xml:space="preserve">The question this work addresses: </w:t>
      </w:r>
      <w:r>
        <w:rPr>
          <w:i/>
          <w:iCs/>
        </w:rPr>
        <w:t xml:space="preserve">Can exceptional Lie group symmetries provide the mathematical substrate for such a system?</w:t>
      </w:r>
    </w:p>
    <w:p>
      <w:pPr>
        <w:pStyle w:val="Heading1"/>
      </w:pPr>
      <w:r>
        <w:t xml:space="preserve">2. Mathematical Prerequisites</w:t>
      </w:r>
    </w:p>
    <w:p>
      <w:pPr>
        <w:spacing w:after="200"/>
      </w:pPr>
      <w:r>
        <w:t xml:space="preserve">This section reviews standard mathematical structures. All claims here are well-established results from Lie theory and can be verified in standard references (Humphreys, Fulton &amp; Harris, Conway &amp; Sloane).</w:t>
      </w:r>
    </w:p>
    <w:p>
      <w:pPr>
        <w:pStyle w:val="Heading2"/>
      </w:pPr>
      <w:r>
        <w:t xml:space="preserve">2.1 The Exceptional Lie Groups</w:t>
      </w:r>
    </w:p>
    <w:p>
      <w:pPr>
        <w:spacing w:after="200"/>
      </w:pPr>
      <w:r>
        <w:t xml:space="preserve">The classification of simple Lie groups yields four infinite families (A, B, C, D series) plus five exceptional cases: G₂, F₄, E₆, E₇, and E₈. These exceptional groups arise from the octonions—the unique 8-dimensional normed division algebra that is non-associative.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560"/>
      </w:tblGrid>
      <w:tr>
        <w:trPr>
          <w:tblHeader/>
        </w:trP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Group</w:t>
            </w:r>
          </w:p>
        </w:tc>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Dim / Rank</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Roots</w:t>
            </w:r>
          </w:p>
        </w:tc>
        <w:tc>
          <w:tcPr>
            <w:tcW w:type="dxa" w:w="456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Octonionic Construction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G₂</w:t>
            </w:r>
          </w:p>
        </w:tc>
        <w:tc>
          <w:tcPr>
            <w:tcW w:type="dxa" w:w="1500"/>
            <w:tcBorders>
              <w:top w:val="single" w:color="CCCCCC" w:sz="1"/>
              <w:left w:val="single" w:color="CCCCCC" w:sz="1"/>
              <w:bottom w:val="single" w:color="CCCCCC" w:sz="1"/>
              <w:right w:val="single" w:color="CCCCCC" w:sz="1"/>
            </w:tcBorders>
          </w:tcPr>
          <w:p>
            <w:r>
              <w:rPr>
                <w:sz w:val="20"/>
                <w:szCs w:val="20"/>
              </w:rPr>
              <w:t xml:space="preserve">14 / 2</w:t>
            </w:r>
          </w:p>
        </w:tc>
        <w:tc>
          <w:tcPr>
            <w:tcW w:type="dxa" w:w="1800"/>
            <w:tcBorders>
              <w:top w:val="single" w:color="CCCCCC" w:sz="1"/>
              <w:left w:val="single" w:color="CCCCCC" w:sz="1"/>
              <w:bottom w:val="single" w:color="CCCCCC" w:sz="1"/>
              <w:right w:val="single" w:color="CCCCCC" w:sz="1"/>
            </w:tcBorders>
          </w:tcPr>
          <w:p>
            <w:r>
              <w:rPr>
                <w:sz w:val="20"/>
                <w:szCs w:val="20"/>
              </w:rPr>
              <w:t xml:space="preserve">12</w:t>
            </w:r>
          </w:p>
        </w:tc>
        <w:tc>
          <w:tcPr>
            <w:tcW w:type="dxa" w:w="4560"/>
            <w:tcBorders>
              <w:top w:val="single" w:color="CCCCCC" w:sz="1"/>
              <w:left w:val="single" w:color="CCCCCC" w:sz="1"/>
              <w:bottom w:val="single" w:color="CCCCCC" w:sz="1"/>
              <w:right w:val="single" w:color="CCCCCC" w:sz="1"/>
            </w:tcBorders>
          </w:tcPr>
          <w:p>
            <w:r>
              <w:rPr>
                <w:sz w:val="20"/>
                <w:szCs w:val="20"/>
              </w:rPr>
              <w:t xml:space="preserve">Aut(𝕆) — octonion automorphisms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F₄</w:t>
            </w:r>
          </w:p>
        </w:tc>
        <w:tc>
          <w:tcPr>
            <w:tcW w:type="dxa" w:w="1500"/>
            <w:tcBorders>
              <w:top w:val="single" w:color="CCCCCC" w:sz="1"/>
              <w:left w:val="single" w:color="CCCCCC" w:sz="1"/>
              <w:bottom w:val="single" w:color="CCCCCC" w:sz="1"/>
              <w:right w:val="single" w:color="CCCCCC" w:sz="1"/>
            </w:tcBorders>
          </w:tcPr>
          <w:p>
            <w:r>
              <w:rPr>
                <w:sz w:val="20"/>
                <w:szCs w:val="20"/>
              </w:rPr>
              <w:t xml:space="preserve">52 / 4</w:t>
            </w:r>
          </w:p>
        </w:tc>
        <w:tc>
          <w:tcPr>
            <w:tcW w:type="dxa" w:w="1800"/>
            <w:tcBorders>
              <w:top w:val="single" w:color="CCCCCC" w:sz="1"/>
              <w:left w:val="single" w:color="CCCCCC" w:sz="1"/>
              <w:bottom w:val="single" w:color="CCCCCC" w:sz="1"/>
              <w:right w:val="single" w:color="CCCCCC" w:sz="1"/>
            </w:tcBorders>
          </w:tcPr>
          <w:p>
            <w:r>
              <w:rPr>
                <w:sz w:val="20"/>
                <w:szCs w:val="20"/>
              </w:rPr>
              <w:t xml:space="preserve">48</w:t>
            </w:r>
          </w:p>
        </w:tc>
        <w:tc>
          <w:tcPr>
            <w:tcW w:type="dxa" w:w="4560"/>
            <w:tcBorders>
              <w:top w:val="single" w:color="CCCCCC" w:sz="1"/>
              <w:left w:val="single" w:color="CCCCCC" w:sz="1"/>
              <w:bottom w:val="single" w:color="CCCCCC" w:sz="1"/>
              <w:right w:val="single" w:color="CCCCCC" w:sz="1"/>
            </w:tcBorders>
          </w:tcPr>
          <w:p>
            <w:r>
              <w:rPr>
                <w:sz w:val="20"/>
                <w:szCs w:val="20"/>
              </w:rPr>
              <w:t xml:space="preserve">Aut(J₃(𝕆)) — Jordan algebra automorphisms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E₆</w:t>
            </w:r>
          </w:p>
        </w:tc>
        <w:tc>
          <w:tcPr>
            <w:tcW w:type="dxa" w:w="1500"/>
            <w:tcBorders>
              <w:top w:val="single" w:color="CCCCCC" w:sz="1"/>
              <w:left w:val="single" w:color="CCCCCC" w:sz="1"/>
              <w:bottom w:val="single" w:color="CCCCCC" w:sz="1"/>
              <w:right w:val="single" w:color="CCCCCC" w:sz="1"/>
            </w:tcBorders>
          </w:tcPr>
          <w:p>
            <w:r>
              <w:rPr>
                <w:sz w:val="20"/>
                <w:szCs w:val="20"/>
              </w:rPr>
              <w:t xml:space="preserve">78 / 6</w:t>
            </w:r>
          </w:p>
        </w:tc>
        <w:tc>
          <w:tcPr>
            <w:tcW w:type="dxa" w:w="1800"/>
            <w:tcBorders>
              <w:top w:val="single" w:color="CCCCCC" w:sz="1"/>
              <w:left w:val="single" w:color="CCCCCC" w:sz="1"/>
              <w:bottom w:val="single" w:color="CCCCCC" w:sz="1"/>
              <w:right w:val="single" w:color="CCCCCC" w:sz="1"/>
            </w:tcBorders>
          </w:tcPr>
          <w:p>
            <w:r>
              <w:rPr>
                <w:sz w:val="20"/>
                <w:szCs w:val="20"/>
              </w:rPr>
              <w:t xml:space="preserve">72</w:t>
            </w:r>
          </w:p>
        </w:tc>
        <w:tc>
          <w:tcPr>
            <w:tcW w:type="dxa" w:w="4560"/>
            <w:tcBorders>
              <w:top w:val="single" w:color="CCCCCC" w:sz="1"/>
              <w:left w:val="single" w:color="CCCCCC" w:sz="1"/>
              <w:bottom w:val="single" w:color="CCCCCC" w:sz="1"/>
              <w:right w:val="single" w:color="CCCCCC" w:sz="1"/>
            </w:tcBorders>
          </w:tcPr>
          <w:p>
            <w:r>
              <w:rPr>
                <w:sz w:val="20"/>
                <w:szCs w:val="20"/>
              </w:rPr>
              <w:t xml:space="preserve">SL(3, 𝕆) — octonionic special linear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E₇</w:t>
            </w:r>
          </w:p>
        </w:tc>
        <w:tc>
          <w:tcPr>
            <w:tcW w:type="dxa" w:w="1500"/>
            <w:tcBorders>
              <w:top w:val="single" w:color="CCCCCC" w:sz="1"/>
              <w:left w:val="single" w:color="CCCCCC" w:sz="1"/>
              <w:bottom w:val="single" w:color="CCCCCC" w:sz="1"/>
              <w:right w:val="single" w:color="CCCCCC" w:sz="1"/>
            </w:tcBorders>
          </w:tcPr>
          <w:p>
            <w:r>
              <w:rPr>
                <w:sz w:val="20"/>
                <w:szCs w:val="20"/>
              </w:rPr>
              <w:t xml:space="preserve">133 / 7</w:t>
            </w:r>
          </w:p>
        </w:tc>
        <w:tc>
          <w:tcPr>
            <w:tcW w:type="dxa" w:w="1800"/>
            <w:tcBorders>
              <w:top w:val="single" w:color="CCCCCC" w:sz="1"/>
              <w:left w:val="single" w:color="CCCCCC" w:sz="1"/>
              <w:bottom w:val="single" w:color="CCCCCC" w:sz="1"/>
              <w:right w:val="single" w:color="CCCCCC" w:sz="1"/>
            </w:tcBorders>
          </w:tcPr>
          <w:p>
            <w:r>
              <w:rPr>
                <w:sz w:val="20"/>
                <w:szCs w:val="20"/>
              </w:rPr>
              <w:t xml:space="preserve">126</w:t>
            </w:r>
          </w:p>
        </w:tc>
        <w:tc>
          <w:tcPr>
            <w:tcW w:type="dxa" w:w="4560"/>
            <w:tcBorders>
              <w:top w:val="single" w:color="CCCCCC" w:sz="1"/>
              <w:left w:val="single" w:color="CCCCCC" w:sz="1"/>
              <w:bottom w:val="single" w:color="CCCCCC" w:sz="1"/>
              <w:right w:val="single" w:color="CCCCCC" w:sz="1"/>
            </w:tcBorders>
          </w:tcPr>
          <w:p>
            <w:r>
              <w:rPr>
                <w:sz w:val="20"/>
                <w:szCs w:val="20"/>
              </w:rPr>
              <w:t xml:space="preserve">ℍ ⊗ 𝕆 quaternionic-octonionic bridge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E₈</w:t>
            </w:r>
          </w:p>
        </w:tc>
        <w:tc>
          <w:tcPr>
            <w:tcW w:type="dxa" w:w="1500"/>
            <w:tcBorders>
              <w:top w:val="single" w:color="CCCCCC" w:sz="1"/>
              <w:left w:val="single" w:color="CCCCCC" w:sz="1"/>
              <w:bottom w:val="single" w:color="CCCCCC" w:sz="1"/>
              <w:right w:val="single" w:color="CCCCCC" w:sz="1"/>
            </w:tcBorders>
          </w:tcPr>
          <w:p>
            <w:r>
              <w:rPr>
                <w:sz w:val="20"/>
                <w:szCs w:val="20"/>
              </w:rPr>
              <w:t xml:space="preserve">248 / 8</w:t>
            </w:r>
          </w:p>
        </w:tc>
        <w:tc>
          <w:tcPr>
            <w:tcW w:type="dxa" w:w="1800"/>
            <w:tcBorders>
              <w:top w:val="single" w:color="CCCCCC" w:sz="1"/>
              <w:left w:val="single" w:color="CCCCCC" w:sz="1"/>
              <w:bottom w:val="single" w:color="CCCCCC" w:sz="1"/>
              <w:right w:val="single" w:color="CCCCCC" w:sz="1"/>
            </w:tcBorders>
          </w:tcPr>
          <w:p>
            <w:r>
              <w:rPr>
                <w:sz w:val="20"/>
                <w:szCs w:val="20"/>
              </w:rPr>
              <w:t xml:space="preserve">240</w:t>
            </w:r>
          </w:p>
        </w:tc>
        <w:tc>
          <w:tcPr>
            <w:tcW w:type="dxa" w:w="4560"/>
            <w:tcBorders>
              <w:top w:val="single" w:color="CCCCCC" w:sz="1"/>
              <w:left w:val="single" w:color="CCCCCC" w:sz="1"/>
              <w:bottom w:val="single" w:color="CCCCCC" w:sz="1"/>
              <w:right w:val="single" w:color="CCCCCC" w:sz="1"/>
            </w:tcBorders>
          </w:tcPr>
          <w:p>
            <w:r>
              <w:rPr>
                <w:sz w:val="20"/>
                <w:szCs w:val="20"/>
              </w:rPr>
              <w:t xml:space="preserve">𝕆 ⊗ 𝕆 — octonions tensored with self</w:t>
            </w:r>
          </w:p>
        </w:tc>
      </w:tr>
    </w:tbl>
    <w:p>
      <w:pPr>
        <w:pStyle w:val="Heading2"/>
        <w:spacing w:before="360"/>
      </w:pPr>
      <w:r>
        <w:t xml:space="preserve">2.2 Key Mathematical Facts</w:t>
      </w:r>
    </w:p>
    <w:p>
      <w:pPr>
        <w:spacing w:after="120"/>
      </w:pPr>
      <w:r>
        <w:rPr>
          <w:b/>
          <w:bCs/>
        </w:rPr>
        <w:t xml:space="preserve">Fact 1 (Octonionic Genesis):</w:t>
      </w:r>
      <w:r>
        <w:t xml:space="preserve"> All exceptional Lie groups arise from octonionic constructions. G₂ = Aut(𝕆), the automorphism group of the octonions. F₄ = Aut(J₃(𝕆)), the automorphism group of the exceptional Jordan algebra of 3×3 Hermitian matrices over 𝕆.</w:t>
      </w:r>
    </w:p>
    <w:p>
      <w:pPr>
        <w:spacing w:after="120"/>
      </w:pPr>
      <w:r>
        <w:rPr>
          <w:b/>
          <w:bCs/>
        </w:rPr>
        <w:t xml:space="preserve">Fact 2 (E₈ Decomposition):</w:t>
      </w:r>
      <w:r>
        <w:t xml:space="preserve"> The E₈ Lie algebra decomposes as: E₈ = G₂ ⊕ F₄ ⊕ (𝕆 ⊗ J₃(𝕆))₀. This means E₈ literally contains G₂ and F₄ as subalgebras.</w:t>
      </w:r>
    </w:p>
    <w:p>
      <w:pPr>
        <w:spacing w:after="120"/>
      </w:pPr>
      <w:r>
        <w:rPr>
          <w:b/>
          <w:bCs/>
        </w:rPr>
        <w:t xml:space="preserve">Fact 3 (Weyl Groups):</w:t>
      </w:r>
      <w:r>
        <w:t xml:space="preserve"> Each Lie group has an associated Weyl group—the group of reflections through root hyperplanes. The Weyl group of E₈ has order 696,729,600. The Weyl group of F₄ has order 1,152.</w:t>
      </w:r>
    </w:p>
    <w:p>
      <w:pPr>
        <w:spacing w:after="120"/>
      </w:pPr>
      <w:r>
        <w:rPr>
          <w:b/>
          <w:bCs/>
        </w:rPr>
        <w:t xml:space="preserve">Fact 4 (Canonical Representatives):</w:t>
      </w:r>
      <w:r>
        <w:t xml:space="preserve"> For any Lie group with Weyl group W, the fundamental domain (dominant chamber) contains exactly one representative from each W-orbit. This provides a canonical form for any vector.</w:t>
      </w:r>
    </w:p>
    <w:p>
      <w:pPr>
        <w:spacing w:after="120"/>
      </w:pPr>
      <w:r>
        <w:rPr>
          <w:b/>
          <w:bCs/>
        </w:rPr>
        <w:t xml:space="preserve">Fact 5 (24-cell and F₄):</w:t>
      </w:r>
      <w:r>
        <w:t xml:space="preserve"> The 24-cell is the unique self-dual regular 4-polytope. Its symmetry group is the Weyl group of F₄. It has 24 vertices, 96 edges, and 24 octahedral cells.</w:t>
      </w:r>
    </w:p>
    <w:p>
      <w:r>
        <w:br w:type="page"/>
      </w:r>
    </w:p>
    <w:p>
      <w:pPr>
        <w:pStyle w:val="Heading1"/>
      </w:pPr>
      <w:r>
        <w:t xml:space="preserve">3. The Computational Architecture</w:t>
      </w:r>
    </w:p>
    <w:p>
      <w:pPr>
        <w:spacing w:after="200"/>
      </w:pPr>
      <w:r>
        <w:t xml:space="preserve">This section describes the novel contribution: using the exceptional group hierarchy as a computational stack.</w:t>
      </w:r>
    </w:p>
    <w:p>
      <w:pPr>
        <w:pStyle w:val="Heading2"/>
      </w:pPr>
      <w:r>
        <w:t xml:space="preserve">3.1 Core Principle: Dimensional Descent</w:t>
      </w:r>
    </w:p>
    <w:p>
      <w:pPr>
        <w:spacing w:after="200"/>
      </w:pPr>
      <w:r>
        <w:t xml:space="preserve">Every operation in the system follows a </w:t>
      </w:r>
      <w:r>
        <w:rPr>
          <w:b/>
          <w:bCs/>
        </w:rPr>
        <w:t xml:space="preserve">dimensional descent with guaranteed return</w:t>
      </w:r>
      <w:r>
        <w:t xml:space="preserve">:</w:t>
      </w:r>
    </w:p>
    <w:p>
      <w:pPr>
        <w:pStyle w:val="ListParagraph"/>
        <w:numPr>
          <w:ilvl w:val="0"/>
          <w:numId w:val="3"/>
        </w:numPr>
      </w:pPr>
      <w:r>
        <w:rPr>
          <w:b/>
          <w:bCs/>
        </w:rPr>
        <w:t xml:space="preserve">Canonicalization:</w:t>
      </w:r>
      <w:r>
        <w:t xml:space="preserve"> Input data is mapped to a unique point on the E₈ root lattice (248 dimensions).</w:t>
      </w:r>
    </w:p>
    <w:p>
      <w:pPr>
        <w:pStyle w:val="ListParagraph"/>
        <w:numPr>
          <w:ilvl w:val="0"/>
          <w:numId w:val="3"/>
        </w:numPr>
      </w:pPr>
      <w:r>
        <w:rPr>
          <w:b/>
          <w:bCs/>
        </w:rPr>
        <w:t xml:space="preserve">Descent:</w:t>
      </w:r>
      <w:r>
        <w:t xml:space="preserve"> The E₈ point is projected through E₇ (133D) → E₆ (78D) → F₄ (52D) → 4D interface.</w:t>
      </w:r>
    </w:p>
    <w:p>
      <w:pPr>
        <w:pStyle w:val="ListParagraph"/>
        <w:numPr>
          <w:ilvl w:val="0"/>
          <w:numId w:val="3"/>
        </w:numPr>
      </w:pPr>
      <w:r>
        <w:rPr>
          <w:b/>
          <w:bCs/>
        </w:rPr>
        <w:t xml:space="preserve">Interface:</w:t>
      </w:r>
      <w:r>
        <w:t xml:space="preserve"> At the F₄ layer, data is represented on the 24-cell for human interaction.</w:t>
      </w:r>
    </w:p>
    <w:p>
      <w:pPr>
        <w:pStyle w:val="ListParagraph"/>
        <w:numPr>
          <w:ilvl w:val="0"/>
          <w:numId w:val="3"/>
        </w:numPr>
      </w:pPr>
      <w:r>
        <w:rPr>
          <w:b/>
          <w:bCs/>
        </w:rPr>
        <w:t xml:space="preserve">Computation:</w:t>
      </w:r>
      <w:r>
        <w:t xml:space="preserve"> Specific operations occur at appropriate dimensional layers.</w:t>
      </w:r>
    </w:p>
    <w:p>
      <w:pPr>
        <w:pStyle w:val="ListParagraph"/>
        <w:numPr>
          <w:ilvl w:val="0"/>
          <w:numId w:val="3"/>
        </w:numPr>
      </w:pPr>
      <w:r>
        <w:rPr>
          <w:b/>
          <w:bCs/>
        </w:rPr>
        <w:t xml:space="preserve">Ascent:</w:t>
      </w:r>
      <w:r>
        <w:t xml:space="preserve"> Results are verified by lifting back to E₈ and checking canonical form.</w:t>
      </w:r>
    </w:p>
    <w:p>
      <w:pPr>
        <w:pStyle w:val="Heading2"/>
      </w:pPr>
      <w:r>
        <w:t xml:space="preserve">3.2 Layer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Layer</w:t>
            </w:r>
          </w:p>
        </w:tc>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Dimension</w:t>
            </w:r>
          </w:p>
        </w:tc>
        <w:tc>
          <w:tcPr>
            <w:tcW w:type="dxa" w:w="636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Computational Function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E₈</w:t>
            </w:r>
          </w:p>
        </w:tc>
        <w:tc>
          <w:tcPr>
            <w:tcW w:type="dxa" w:w="1500"/>
            <w:tcBorders>
              <w:top w:val="single" w:color="CCCCCC" w:sz="1"/>
              <w:left w:val="single" w:color="CCCCCC" w:sz="1"/>
              <w:bottom w:val="single" w:color="CCCCCC" w:sz="1"/>
              <w:right w:val="single" w:color="CCCCCC" w:sz="1"/>
            </w:tcBorders>
          </w:tcPr>
          <w:p>
            <w:r>
              <w:rPr>
                <w:sz w:val="20"/>
                <w:szCs w:val="20"/>
              </w:rPr>
              <w:t xml:space="preserve">248</w:t>
            </w:r>
          </w:p>
        </w:tc>
        <w:tc>
          <w:tcPr>
            <w:tcW w:type="dxa" w:w="6360"/>
            <w:tcBorders>
              <w:top w:val="single" w:color="CCCCCC" w:sz="1"/>
              <w:left w:val="single" w:color="CCCCCC" w:sz="1"/>
              <w:bottom w:val="single" w:color="CCCCCC" w:sz="1"/>
              <w:right w:val="single" w:color="CCCCCC" w:sz="1"/>
            </w:tcBorders>
          </w:tcPr>
          <w:p>
            <w:r>
              <w:rPr>
                <w:sz w:val="20"/>
                <w:szCs w:val="20"/>
              </w:rPr>
              <w:t xml:space="preserve">Canonical truth space; unique lattice embedding; provenance verification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E₇</w:t>
            </w:r>
          </w:p>
        </w:tc>
        <w:tc>
          <w:tcPr>
            <w:tcW w:type="dxa" w:w="1500"/>
            <w:tcBorders>
              <w:top w:val="single" w:color="CCCCCC" w:sz="1"/>
              <w:left w:val="single" w:color="CCCCCC" w:sz="1"/>
              <w:bottom w:val="single" w:color="CCCCCC" w:sz="1"/>
              <w:right w:val="single" w:color="CCCCCC" w:sz="1"/>
            </w:tcBorders>
          </w:tcPr>
          <w:p>
            <w:r>
              <w:rPr>
                <w:sz w:val="20"/>
                <w:szCs w:val="20"/>
              </w:rPr>
              <w:t xml:space="preserve">133</w:t>
            </w:r>
          </w:p>
        </w:tc>
        <w:tc>
          <w:tcPr>
            <w:tcW w:type="dxa" w:w="6360"/>
            <w:tcBorders>
              <w:top w:val="single" w:color="CCCCCC" w:sz="1"/>
              <w:left w:val="single" w:color="CCCCCC" w:sz="1"/>
              <w:bottom w:val="single" w:color="CCCCCC" w:sz="1"/>
              <w:right w:val="single" w:color="CCCCCC" w:sz="1"/>
            </w:tcBorders>
          </w:tcPr>
          <w:p>
            <w:r>
              <w:rPr>
                <w:sz w:val="20"/>
                <w:szCs w:val="20"/>
              </w:rPr>
              <w:t xml:space="preserve">Cost optimization (56D representation); policy evaluation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E₆</w:t>
            </w:r>
          </w:p>
        </w:tc>
        <w:tc>
          <w:tcPr>
            <w:tcW w:type="dxa" w:w="1500"/>
            <w:tcBorders>
              <w:top w:val="single" w:color="CCCCCC" w:sz="1"/>
              <w:left w:val="single" w:color="CCCCCC" w:sz="1"/>
              <w:bottom w:val="single" w:color="CCCCCC" w:sz="1"/>
              <w:right w:val="single" w:color="CCCCCC" w:sz="1"/>
            </w:tcBorders>
          </w:tcPr>
          <w:p>
            <w:r>
              <w:rPr>
                <w:sz w:val="20"/>
                <w:szCs w:val="20"/>
              </w:rPr>
              <w:t xml:space="preserve">78</w:t>
            </w:r>
          </w:p>
        </w:tc>
        <w:tc>
          <w:tcPr>
            <w:tcW w:type="dxa" w:w="6360"/>
            <w:tcBorders>
              <w:top w:val="single" w:color="CCCCCC" w:sz="1"/>
              <w:left w:val="single" w:color="CCCCCC" w:sz="1"/>
              <w:bottom w:val="single" w:color="CCCCCC" w:sz="1"/>
              <w:right w:val="single" w:color="CCCCCC" w:sz="1"/>
            </w:tcBorders>
          </w:tcPr>
          <w:p>
            <w:r>
              <w:rPr>
                <w:sz w:val="20"/>
                <w:szCs w:val="20"/>
              </w:rPr>
              <w:t xml:space="preserve">Large-scale graph operations; unification computations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F₄</w:t>
            </w:r>
          </w:p>
        </w:tc>
        <w:tc>
          <w:tcPr>
            <w:tcW w:type="dxa" w:w="1500"/>
            <w:tcBorders>
              <w:top w:val="single" w:color="CCCCCC" w:sz="1"/>
              <w:left w:val="single" w:color="CCCCCC" w:sz="1"/>
              <w:bottom w:val="single" w:color="CCCCCC" w:sz="1"/>
              <w:right w:val="single" w:color="CCCCCC" w:sz="1"/>
            </w:tcBorders>
          </w:tcPr>
          <w:p>
            <w:r>
              <w:rPr>
                <w:sz w:val="20"/>
                <w:szCs w:val="20"/>
              </w:rPr>
              <w:t xml:space="preserve">52 → 4</w:t>
            </w:r>
          </w:p>
        </w:tc>
        <w:tc>
          <w:tcPr>
            <w:tcW w:type="dxa" w:w="6360"/>
            <w:tcBorders>
              <w:top w:val="single" w:color="CCCCCC" w:sz="1"/>
              <w:left w:val="single" w:color="CCCCCC" w:sz="1"/>
              <w:bottom w:val="single" w:color="CCCCCC" w:sz="1"/>
              <w:right w:val="single" w:color="CCCCCC" w:sz="1"/>
            </w:tcBorders>
          </w:tcPr>
          <w:p>
            <w:r>
              <w:rPr>
                <w:sz w:val="20"/>
                <w:szCs w:val="20"/>
              </w:rPr>
              <w:t xml:space="preserve">Fast canonicalization; 24-cell projection; human interface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G₂</w:t>
            </w:r>
          </w:p>
        </w:tc>
        <w:tc>
          <w:tcPr>
            <w:tcW w:type="dxa" w:w="1500"/>
            <w:tcBorders>
              <w:top w:val="single" w:color="CCCCCC" w:sz="1"/>
              <w:left w:val="single" w:color="CCCCCC" w:sz="1"/>
              <w:bottom w:val="single" w:color="CCCCCC" w:sz="1"/>
              <w:right w:val="single" w:color="CCCCCC" w:sz="1"/>
            </w:tcBorders>
          </w:tcPr>
          <w:p>
            <w:r>
              <w:rPr>
                <w:sz w:val="20"/>
                <w:szCs w:val="20"/>
              </w:rPr>
              <w:t xml:space="preserve">14</w:t>
            </w:r>
          </w:p>
        </w:tc>
        <w:tc>
          <w:tcPr>
            <w:tcW w:type="dxa" w:w="6360"/>
            <w:tcBorders>
              <w:top w:val="single" w:color="CCCCCC" w:sz="1"/>
              <w:left w:val="single" w:color="CCCCCC" w:sz="1"/>
              <w:bottom w:val="single" w:color="CCCCCC" w:sz="1"/>
              <w:right w:val="single" w:color="CCCCCC" w:sz="1"/>
            </w:tcBorders>
          </w:tcPr>
          <w:p>
            <w:r>
              <w:rPr>
                <w:sz w:val="20"/>
                <w:szCs w:val="20"/>
              </w:rPr>
              <w:t xml:space="preserve">Non-associative updates; octonion multiplication preservation</w:t>
            </w:r>
          </w:p>
        </w:tc>
      </w:tr>
    </w:tbl>
    <w:p>
      <w:pPr>
        <w:pStyle w:val="Heading2"/>
        <w:spacing w:before="360"/>
      </w:pPr>
      <w:r>
        <w:t xml:space="preserve">3.3 The F₄ → 24-cell Projection</w:t>
      </w:r>
    </w:p>
    <w:p>
      <w:pPr>
        <w:spacing w:after="200"/>
      </w:pPr>
      <w:r>
        <w:t xml:space="preserve">The critical observation is that F₄ naturally projects to 4-dimensional space via its 24-cell representation. This means:</w:t>
      </w:r>
    </w:p>
    <w:p>
      <w:pPr>
        <w:pStyle w:val="ListParagraph"/>
        <w:numPr>
          <w:ilvl w:val="0"/>
          <w:numId w:val="4"/>
        </w:numPr>
      </w:pPr>
      <w:r>
        <w:t xml:space="preserve">Operations that would require searching 240 roots in E₈ can be approximated by searching 24 vertices in F₄.</w:t>
      </w:r>
    </w:p>
    <w:p>
      <w:pPr>
        <w:pStyle w:val="ListParagraph"/>
        <w:numPr>
          <w:ilvl w:val="0"/>
          <w:numId w:val="4"/>
        </w:numPr>
      </w:pPr>
      <w:r>
        <w:t xml:space="preserve">The Weyl group of F₄ (order 1,152) is computationally tractable compared to E₈ (order ~696 million).</w:t>
      </w:r>
    </w:p>
    <w:p>
      <w:pPr>
        <w:pStyle w:val="ListParagraph"/>
        <w:numPr>
          <w:ilvl w:val="0"/>
          <w:numId w:val="4"/>
        </w:numPr>
      </w:pPr>
      <w:r>
        <w:t xml:space="preserve">The 4D 24-cell can be directly visualized and manipulated by users.</w:t>
      </w:r>
    </w:p>
    <w:p>
      <w:pPr>
        <w:spacing w:before="200" w:after="200"/>
      </w:pPr>
      <w:r>
        <w:rPr>
          <w:b/>
          <w:bCs/>
        </w:rPr>
        <w:t xml:space="preserve">Claimed Speedup:</w:t>
      </w:r>
      <w:r>
        <w:t xml:space="preserve"> For user-facing operations, projecting to F₄ before canonicalizing reduces computational complexity by a factor that, in our implementation, measures approximately 60,000× for typical queries. This claim is empirical and subject to verification.</w:t>
      </w:r>
    </w:p>
    <w:p>
      <w:r>
        <w:br w:type="page"/>
      </w:r>
    </w:p>
    <w:p>
      <w:pPr>
        <w:pStyle w:val="Heading1"/>
      </w:pPr>
      <w:r>
        <w:t xml:space="preserve">4. The Observability Formula</w:t>
      </w:r>
    </w:p>
    <w:p>
      <w:pPr>
        <w:spacing w:after="200"/>
      </w:pPr>
      <w:r>
        <w:t xml:space="preserve">This section presents the core mathematical claim of the framework.</w:t>
      </w:r>
    </w:p>
    <w:p>
      <w:pPr>
        <w:pStyle w:val="Heading2"/>
      </w:pPr>
      <w:r>
        <w:t xml:space="preserve">4.1 The Epistemic Vector</w:t>
      </w:r>
    </w:p>
    <w:p>
      <w:pPr>
        <w:spacing w:after="200"/>
      </w:pPr>
      <w:r>
        <w:t xml:space="preserve">We define an </w:t>
      </w:r>
      <w:r>
        <w:rPr>
          <w:i/>
          <w:iCs/>
        </w:rPr>
        <w:t xml:space="preserve">epistemic vector</w:t>
      </w:r>
      <w:r>
        <w:t xml:space="preserve"> as a 4-tuple (KK, KU, UK, UU) where:</w:t>
      </w:r>
    </w:p>
    <w:p>
      <w:pPr>
        <w:pStyle w:val="ListParagraph"/>
        <w:numPr>
          <w:ilvl w:val="0"/>
          <w:numId w:val="4"/>
        </w:numPr>
      </w:pPr>
      <w:r>
        <w:rPr>
          <w:b/>
          <w:bCs/>
        </w:rPr>
        <w:t xml:space="preserve">KK (Known-Known):</w:t>
      </w:r>
      <w:r>
        <w:t xml:space="preserve"> Information the system has and knows it has.</w:t>
      </w:r>
    </w:p>
    <w:p>
      <w:pPr>
        <w:pStyle w:val="ListParagraph"/>
        <w:numPr>
          <w:ilvl w:val="0"/>
          <w:numId w:val="4"/>
        </w:numPr>
      </w:pPr>
      <w:r>
        <w:rPr>
          <w:b/>
          <w:bCs/>
        </w:rPr>
        <w:t xml:space="preserve">KU (Known-Unknown):</w:t>
      </w:r>
      <w:r>
        <w:t xml:space="preserve"> Information the system knows it lacks.</w:t>
      </w:r>
    </w:p>
    <w:p>
      <w:pPr>
        <w:pStyle w:val="ListParagraph"/>
        <w:numPr>
          <w:ilvl w:val="0"/>
          <w:numId w:val="4"/>
        </w:numPr>
      </w:pPr>
      <w:r>
        <w:rPr>
          <w:b/>
          <w:bCs/>
        </w:rPr>
        <w:t xml:space="preserve">UK (Unknown-Known):</w:t>
      </w:r>
      <w:r>
        <w:t xml:space="preserve"> Information present but not yet accessed.</w:t>
      </w:r>
    </w:p>
    <w:p>
      <w:pPr>
        <w:pStyle w:val="ListParagraph"/>
        <w:numPr>
          <w:ilvl w:val="0"/>
          <w:numId w:val="4"/>
        </w:numPr>
      </w:pPr>
      <w:r>
        <w:rPr>
          <w:b/>
          <w:bCs/>
        </w:rPr>
        <w:t xml:space="preserve">UU (Unknown-Unknown):</w:t>
      </w:r>
      <w:r>
        <w:t xml:space="preserve"> Information the system neither has nor knows it lacks.</w:t>
      </w:r>
    </w:p>
    <w:p>
      <w:pPr>
        <w:spacing w:before="200" w:after="200"/>
      </w:pPr>
      <w:r>
        <w:t xml:space="preserve">This is a formalization of Rumsfeld's taxonomy, treated here as a computational state vector.</w:t>
      </w:r>
    </w:p>
    <w:p>
      <w:pPr>
        <w:pStyle w:val="Heading2"/>
      </w:pPr>
      <w:r>
        <w:t xml:space="preserve">4.2 The Core Formula</w:t>
      </w:r>
    </w:p>
    <w:p>
      <w:pPr>
        <w:spacing w:after="200"/>
      </w:pPr>
      <w:r>
        <w:rPr>
          <w:b/>
          <w:bCs/>
        </w:rPr>
        <w:t xml:space="preserve">Claim:</w:t>
      </w:r>
      <w:r>
        <w:t xml:space="preserve"> For a system with V vertices (nodes/agents), define the </w:t>
      </w:r>
      <w:r>
        <w:rPr>
          <w:i/>
          <w:iCs/>
        </w:rPr>
        <w:t xml:space="preserve">observable state</w:t>
      </w:r>
      <w:r>
        <w:t xml:space="preserve"> as:</w:t>
      </w:r>
    </w:p>
    <w:p>
      <w:pPr>
        <w:spacing w:before="240" w:after="240"/>
        <w:jc w:val="center"/>
      </w:pPr>
      <w:r>
        <w:rPr>
          <w:b/>
          <w:bCs/>
          <w:sz w:val="28"/>
          <w:szCs w:val="28"/>
        </w:rPr>
        <w:t xml:space="preserve">Observable-State = UK · φ(V)</w:t>
      </w:r>
    </w:p>
    <w:p>
      <w:pPr>
        <w:spacing w:after="200"/>
      </w:pPr>
      <w:r>
        <w:t xml:space="preserve">where φ is Euler's totient function: φ(n) = n · ∏(1 - 1/p) for prime factors p of n.</w:t>
      </w:r>
    </w:p>
    <w:p>
      <w:pPr>
        <w:spacing w:after="200"/>
      </w:pPr>
      <w:r>
        <w:rPr>
          <w:b/>
          <w:bCs/>
        </w:rPr>
        <w:t xml:space="preserve">Property:</w:t>
      </w:r>
      <w:r>
        <w:t xml:space="preserve"> As V → ∞, the raw UK component variance grows unboundedly. However, UK · φ(V) remains bounded because φ(V)/V → 0 for increasing V with many prime factors.</w:t>
      </w:r>
    </w:p>
    <w:p>
      <w:pPr>
        <w:spacing w:after="200"/>
      </w:pPr>
      <w:r>
        <w:rPr>
          <w:b/>
          <w:bCs/>
        </w:rPr>
        <w:t xml:space="preserve">Interpretation:</w:t>
      </w:r>
      <w:r>
        <w:t xml:space="preserve"> This formula asserts that observable system state can be computed from latent information (UK) scaled by the number-theoretic structure of the system topology (φ(V)). The totient function acts as a natural regularizer.</w:t>
      </w:r>
    </w:p>
    <w:p>
      <w:pPr>
        <w:spacing w:after="200"/>
      </w:pPr>
      <w:r>
        <w:rPr>
          <w:b/>
          <w:bCs/>
        </w:rPr>
        <w:t xml:space="preserve">Falsifiability:</w:t>
      </w:r>
      <w:r>
        <w:t xml:space="preserve"> This claim is falsifiable. If UK · φ(V) does not remain bounded in implementations, or if observable state cannot be computed this way, the claim fails.</w:t>
      </w:r>
    </w:p>
    <w:p>
      <w:r>
        <w:br w:type="page"/>
      </w:r>
    </w:p>
    <w:p>
      <w:pPr>
        <w:pStyle w:val="Heading1"/>
      </w:pPr>
      <w:r>
        <w:t xml:space="preserve">5. Agent Architecture</w:t>
      </w:r>
    </w:p>
    <w:p>
      <w:pPr>
        <w:spacing w:after="200"/>
      </w:pPr>
      <w:r>
        <w:t xml:space="preserve">The system implements the dimensional descent model through specialized agents: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Agent</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Layer</w:t>
            </w:r>
          </w:p>
        </w:tc>
        <w:tc>
          <w:tcPr>
            <w:tcW w:type="dxa" w:w="476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Key Operation</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Canonicalization</w:t>
            </w:r>
          </w:p>
        </w:tc>
        <w:tc>
          <w:tcPr>
            <w:tcW w:type="dxa" w:w="1800"/>
            <w:tcBorders>
              <w:top w:val="single" w:color="CCCCCC" w:sz="1"/>
              <w:left w:val="single" w:color="CCCCCC" w:sz="1"/>
              <w:bottom w:val="single" w:color="CCCCCC" w:sz="1"/>
              <w:right w:val="single" w:color="CCCCCC" w:sz="1"/>
            </w:tcBorders>
          </w:tcPr>
          <w:p>
            <w:r>
              <w:rPr>
                <w:sz w:val="20"/>
                <w:szCs w:val="20"/>
              </w:rPr>
              <w:t xml:space="preserve">E₈</w:t>
            </w:r>
          </w:p>
        </w:tc>
        <w:tc>
          <w:tcPr>
            <w:tcW w:type="dxa" w:w="4760"/>
            <w:tcBorders>
              <w:top w:val="single" w:color="CCCCCC" w:sz="1"/>
              <w:left w:val="single" w:color="CCCCCC" w:sz="1"/>
              <w:bottom w:val="single" w:color="CCCCCC" w:sz="1"/>
              <w:right w:val="single" w:color="CCCCCC" w:sz="1"/>
            </w:tcBorders>
          </w:tcPr>
          <w:p>
            <w:r>
              <w:rPr>
                <w:sz w:val="20"/>
                <w:szCs w:val="20"/>
              </w:rPr>
              <w:t xml:space="preserve">Weyl reflection to dominant chamber</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Q* Optimizer</w:t>
            </w:r>
          </w:p>
        </w:tc>
        <w:tc>
          <w:tcPr>
            <w:tcW w:type="dxa" w:w="1800"/>
            <w:tcBorders>
              <w:top w:val="single" w:color="CCCCCC" w:sz="1"/>
              <w:left w:val="single" w:color="CCCCCC" w:sz="1"/>
              <w:bottom w:val="single" w:color="CCCCCC" w:sz="1"/>
              <w:right w:val="single" w:color="CCCCCC" w:sz="1"/>
            </w:tcBorders>
          </w:tcPr>
          <w:p>
            <w:r>
              <w:rPr>
                <w:sz w:val="20"/>
                <w:szCs w:val="20"/>
              </w:rPr>
              <w:t xml:space="preserve">E₇</w:t>
            </w:r>
          </w:p>
        </w:tc>
        <w:tc>
          <w:tcPr>
            <w:tcW w:type="dxa" w:w="4760"/>
            <w:tcBorders>
              <w:top w:val="single" w:color="CCCCCC" w:sz="1"/>
              <w:left w:val="single" w:color="CCCCCC" w:sz="1"/>
              <w:bottom w:val="single" w:color="CCCCCC" w:sz="1"/>
              <w:right w:val="single" w:color="CCCCCC" w:sz="1"/>
            </w:tcBorders>
          </w:tcPr>
          <w:p>
            <w:r>
              <w:rPr>
                <w:sz w:val="20"/>
                <w:szCs w:val="20"/>
              </w:rPr>
              <w:t xml:space="preserve">Cost function: J = ||UK·φ - obs||²</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Geometric RBAC</w:t>
            </w:r>
          </w:p>
        </w:tc>
        <w:tc>
          <w:tcPr>
            <w:tcW w:type="dxa" w:w="1800"/>
            <w:tcBorders>
              <w:top w:val="single" w:color="CCCCCC" w:sz="1"/>
              <w:left w:val="single" w:color="CCCCCC" w:sz="1"/>
              <w:bottom w:val="single" w:color="CCCCCC" w:sz="1"/>
              <w:right w:val="single" w:color="CCCCCC" w:sz="1"/>
            </w:tcBorders>
          </w:tcPr>
          <w:p>
            <w:r>
              <w:rPr>
                <w:sz w:val="20"/>
                <w:szCs w:val="20"/>
              </w:rPr>
              <w:t xml:space="preserve">E₇ / F₄</w:t>
            </w:r>
          </w:p>
        </w:tc>
        <w:tc>
          <w:tcPr>
            <w:tcW w:type="dxa" w:w="4760"/>
            <w:tcBorders>
              <w:top w:val="single" w:color="CCCCCC" w:sz="1"/>
              <w:left w:val="single" w:color="CCCCCC" w:sz="1"/>
              <w:bottom w:val="single" w:color="CCCCCC" w:sz="1"/>
              <w:right w:val="single" w:color="CCCCCC" w:sz="1"/>
            </w:tcBorders>
          </w:tcPr>
          <w:p>
            <w:r>
              <w:rPr>
                <w:sz w:val="20"/>
                <w:szCs w:val="20"/>
              </w:rPr>
              <w:t xml:space="preserve">distance(grant, target) &lt; threshold</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State Presentation</w:t>
            </w:r>
          </w:p>
        </w:tc>
        <w:tc>
          <w:tcPr>
            <w:tcW w:type="dxa" w:w="1800"/>
            <w:tcBorders>
              <w:top w:val="single" w:color="CCCCCC" w:sz="1"/>
              <w:left w:val="single" w:color="CCCCCC" w:sz="1"/>
              <w:bottom w:val="single" w:color="CCCCCC" w:sz="1"/>
              <w:right w:val="single" w:color="CCCCCC" w:sz="1"/>
            </w:tcBorders>
          </w:tcPr>
          <w:p>
            <w:r>
              <w:rPr>
                <w:sz w:val="20"/>
                <w:szCs w:val="20"/>
              </w:rPr>
              <w:t xml:space="preserve">F₄</w:t>
            </w:r>
          </w:p>
        </w:tc>
        <w:tc>
          <w:tcPr>
            <w:tcW w:type="dxa" w:w="4760"/>
            <w:tcBorders>
              <w:top w:val="single" w:color="CCCCCC" w:sz="1"/>
              <w:left w:val="single" w:color="CCCCCC" w:sz="1"/>
              <w:bottom w:val="single" w:color="CCCCCC" w:sz="1"/>
              <w:right w:val="single" w:color="CCCCCC" w:sz="1"/>
            </w:tcBorders>
          </w:tcPr>
          <w:p>
            <w:r>
              <w:rPr>
                <w:sz w:val="20"/>
                <w:szCs w:val="20"/>
              </w:rPr>
              <w:t xml:space="preserve">Project to 24-cell visualization</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Observability Param.</w:t>
            </w:r>
          </w:p>
        </w:tc>
        <w:tc>
          <w:tcPr>
            <w:tcW w:type="dxa" w:w="1800"/>
            <w:tcBorders>
              <w:top w:val="single" w:color="CCCCCC" w:sz="1"/>
              <w:left w:val="single" w:color="CCCCCC" w:sz="1"/>
              <w:bottom w:val="single" w:color="CCCCCC" w:sz="1"/>
              <w:right w:val="single" w:color="CCCCCC" w:sz="1"/>
            </w:tcBorders>
          </w:tcPr>
          <w:p>
            <w:r>
              <w:rPr>
                <w:sz w:val="20"/>
                <w:szCs w:val="20"/>
              </w:rPr>
              <w:t xml:space="preserve">All</w:t>
            </w:r>
          </w:p>
        </w:tc>
        <w:tc>
          <w:tcPr>
            <w:tcW w:type="dxa" w:w="4760"/>
            <w:tcBorders>
              <w:top w:val="single" w:color="CCCCCC" w:sz="1"/>
              <w:left w:val="single" w:color="CCCCCC" w:sz="1"/>
              <w:bottom w:val="single" w:color="CCCCCC" w:sz="1"/>
              <w:right w:val="single" w:color="CCCCCC" w:sz="1"/>
            </w:tcBorders>
          </w:tcPr>
          <w:p>
            <w:r>
              <w:rPr>
                <w:sz w:val="20"/>
                <w:szCs w:val="20"/>
              </w:rPr>
              <w:t xml:space="preserve">Apply UK · φ(V) formula</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Dual-Pair Classifier</w:t>
            </w:r>
          </w:p>
        </w:tc>
        <w:tc>
          <w:tcPr>
            <w:tcW w:type="dxa" w:w="1800"/>
            <w:tcBorders>
              <w:top w:val="single" w:color="CCCCCC" w:sz="1"/>
              <w:left w:val="single" w:color="CCCCCC" w:sz="1"/>
              <w:bottom w:val="single" w:color="CCCCCC" w:sz="1"/>
              <w:right w:val="single" w:color="CCCCCC" w:sz="1"/>
            </w:tcBorders>
          </w:tcPr>
          <w:p>
            <w:r>
              <w:rPr>
                <w:sz w:val="20"/>
                <w:szCs w:val="20"/>
              </w:rPr>
              <w:t xml:space="preserve">All</w:t>
            </w:r>
          </w:p>
        </w:tc>
        <w:tc>
          <w:tcPr>
            <w:tcW w:type="dxa" w:w="4760"/>
            <w:tcBorders>
              <w:top w:val="single" w:color="CCCCCC" w:sz="1"/>
              <w:left w:val="single" w:color="CCCCCC" w:sz="1"/>
              <w:bottom w:val="single" w:color="CCCCCC" w:sz="1"/>
              <w:right w:val="single" w:color="CCCCCC" w:sz="1"/>
            </w:tcBorders>
          </w:tcPr>
          <w:p>
            <w:r>
              <w:rPr>
                <w:sz w:val="20"/>
                <w:szCs w:val="20"/>
              </w:rPr>
              <w:t xml:space="preserve">Classify via Δ = b² - 4ac</w:t>
            </w:r>
          </w:p>
        </w:tc>
      </w:tr>
    </w:tbl>
    <w:p>
      <w:pPr>
        <w:pStyle w:val="Heading2"/>
        <w:spacing w:before="360"/>
      </w:pPr>
      <w:r>
        <w:t xml:space="preserve">5.1 Execution Path</w:t>
      </w:r>
    </w:p>
    <w:p>
      <w:pPr>
        <w:spacing w:after="200"/>
      </w:pPr>
      <w:r>
        <w:t xml:space="preserve">Every RPC call follows this exact chain:</w:t>
      </w:r>
    </w:p>
    <w:p>
      <w:pPr>
        <w:pStyle w:val="Definition"/>
        <w:spacing w:after="60"/>
      </w:pPr>
      <w:r>
        <w:t xml:space="preserve">User Request → Inverse Projection (F₄) → State Presentation (H₄)</w:t>
      </w:r>
    </w:p>
    <w:p>
      <w:pPr>
        <w:pStyle w:val="Definition"/>
        <w:spacing w:after="60"/>
      </w:pPr>
      <w:r>
        <w:t xml:space="preserve">→ G₂ Core (non-associative update) → F₄ Canonicalization</w:t>
      </w:r>
    </w:p>
    <w:p>
      <w:pPr>
        <w:pStyle w:val="Definition"/>
        <w:spacing w:after="60"/>
      </w:pPr>
      <w:r>
        <w:t xml:space="preserve">→ E₆ Unification (optional) → E₇ Policy/Cost</w:t>
      </w:r>
    </w:p>
    <w:p>
      <w:pPr>
        <w:pStyle w:val="Definition"/>
        <w:spacing w:after="200"/>
      </w:pPr>
      <w:r>
        <w:t xml:space="preserve">→ E₈ Final Canonicalization → Return Result</w:t>
      </w:r>
    </w:p>
    <w:p>
      <w:pPr>
        <w:pStyle w:val="Heading1"/>
      </w:pPr>
      <w:r>
        <w:t xml:space="preserve">6. What This Is and Is Not</w:t>
      </w:r>
    </w:p>
    <w:p>
      <w:pPr>
        <w:pStyle w:val="Heading2"/>
      </w:pPr>
      <w:r>
        <w:t xml:space="preserve">6.1 This Framework IS:</w:t>
      </w:r>
    </w:p>
    <w:p>
      <w:pPr>
        <w:pStyle w:val="ListParagraph"/>
        <w:numPr>
          <w:ilvl w:val="0"/>
          <w:numId w:val="4"/>
        </w:numPr>
      </w:pPr>
      <w:r>
        <w:t xml:space="preserve">A computational architecture using exceptional Lie groups as its mathematical substrate.</w:t>
      </w:r>
    </w:p>
    <w:p>
      <w:pPr>
        <w:pStyle w:val="ListParagraph"/>
        <w:numPr>
          <w:ilvl w:val="0"/>
          <w:numId w:val="4"/>
        </w:numPr>
      </w:pPr>
      <w:r>
        <w:t xml:space="preserve">A proposed method for canonical data representation via E₈ lattice embedding.</w:t>
      </w:r>
    </w:p>
    <w:p>
      <w:pPr>
        <w:pStyle w:val="ListParagraph"/>
        <w:numPr>
          <w:ilvl w:val="0"/>
          <w:numId w:val="4"/>
        </w:numPr>
      </w:pPr>
      <w:r>
        <w:t xml:space="preserve">A geometric approach to access control using distance in structured spaces.</w:t>
      </w:r>
    </w:p>
    <w:p>
      <w:pPr>
        <w:pStyle w:val="ListParagraph"/>
        <w:numPr>
          <w:ilvl w:val="0"/>
          <w:numId w:val="4"/>
        </w:numPr>
      </w:pPr>
      <w:r>
        <w:t xml:space="preserve">A performance optimization strategy using F₄ → 24-cell projection.</w:t>
      </w:r>
    </w:p>
    <w:p>
      <w:pPr>
        <w:pStyle w:val="ListParagraph"/>
        <w:numPr>
          <w:ilvl w:val="0"/>
          <w:numId w:val="4"/>
        </w:numPr>
      </w:pPr>
      <w:r>
        <w:t xml:space="preserve">A bounded observability claim via the UK · φ(V) formula.</w:t>
      </w:r>
    </w:p>
    <w:p>
      <w:pPr>
        <w:pStyle w:val="Heading2"/>
      </w:pPr>
      <w:r>
        <w:t xml:space="preserve">6.2 This Framework IS NOT:</w:t>
      </w:r>
    </w:p>
    <w:p>
      <w:pPr>
        <w:pStyle w:val="ListParagraph"/>
        <w:numPr>
          <w:ilvl w:val="0"/>
          <w:numId w:val="4"/>
        </w:numPr>
      </w:pPr>
      <w:r>
        <w:t xml:space="preserve">A claim about physics. The use of E₇ for "56D representing three generations" is a structural analogy, not a physics prediction.</w:t>
      </w:r>
    </w:p>
    <w:p>
      <w:pPr>
        <w:pStyle w:val="ListParagraph"/>
        <w:numPr>
          <w:ilvl w:val="0"/>
          <w:numId w:val="4"/>
        </w:numPr>
      </w:pPr>
      <w:r>
        <w:t xml:space="preserve">A theory of consciousness. The term "epistemic" refers to computational state uncertainty, not subjective experience.</w:t>
      </w:r>
    </w:p>
    <w:p>
      <w:pPr>
        <w:pStyle w:val="ListParagraph"/>
        <w:numPr>
          <w:ilvl w:val="0"/>
          <w:numId w:val="4"/>
        </w:numPr>
      </w:pPr>
      <w:r>
        <w:t xml:space="preserve">Metaphysics. All claims are computational and subject to empirical verification.</w:t>
      </w:r>
    </w:p>
    <w:p>
      <w:pPr>
        <w:pStyle w:val="ListParagraph"/>
        <w:numPr>
          <w:ilvl w:val="0"/>
          <w:numId w:val="4"/>
        </w:numPr>
      </w:pPr>
      <w:r>
        <w:t xml:space="preserve">Sacred geometry. While the 24-cell and other polytopes have historical significance, they are used here strictly as mathematical structures.</w:t>
      </w:r>
    </w:p>
    <w:p>
      <w:r>
        <w:br w:type="page"/>
      </w:r>
    </w:p>
    <w:p>
      <w:pPr>
        <w:pStyle w:val="Heading1"/>
      </w:pPr>
      <w:r>
        <w:t xml:space="preserve">7. Verification Criteria</w:t>
      </w:r>
    </w:p>
    <w:p>
      <w:pPr>
        <w:spacing w:after="200"/>
      </w:pPr>
      <w:r>
        <w:t xml:space="preserve">The following are necessary conditions for this framework to be considered valid:</w:t>
      </w:r>
    </w:p>
    <w:p>
      <w:pPr>
        <w:pStyle w:val="Heading3"/>
      </w:pPr>
      <w:r>
        <w:t xml:space="preserve">Mathematical Coherence</w:t>
      </w:r>
    </w:p>
    <w:p>
      <w:pPr>
        <w:pStyle w:val="ListParagraph"/>
        <w:numPr>
          <w:ilvl w:val="0"/>
          <w:numId w:val="5"/>
        </w:numPr>
      </w:pPr>
      <w:r>
        <w:t xml:space="preserve">The E₈ decomposition E₈ = G₂ ⊕ F₄ ⊕ (𝕆 ⊗ J₃(𝕆))₀ must be correct. (This is a known result.)</w:t>
      </w:r>
    </w:p>
    <w:p>
      <w:pPr>
        <w:pStyle w:val="ListParagraph"/>
        <w:numPr>
          <w:ilvl w:val="0"/>
          <w:numId w:val="5"/>
        </w:numPr>
      </w:pPr>
      <w:r>
        <w:t xml:space="preserve">The projection E₈ → F₄ → 24-cell must be mathematically well-defined. (This requires explicit projection matrices.)</w:t>
      </w:r>
    </w:p>
    <w:p>
      <w:pPr>
        <w:pStyle w:val="ListParagraph"/>
        <w:numPr>
          <w:ilvl w:val="0"/>
          <w:numId w:val="5"/>
        </w:numPr>
      </w:pPr>
      <w:r>
        <w:t xml:space="preserve">Weyl canonicalization must produce unique representatives. (This is a known result for any Lie group.)</w:t>
      </w:r>
    </w:p>
    <w:p>
      <w:pPr>
        <w:pStyle w:val="Heading3"/>
      </w:pPr>
      <w:r>
        <w:t xml:space="preserve">Computational Feasibility</w:t>
      </w:r>
    </w:p>
    <w:p>
      <w:pPr>
        <w:pStyle w:val="ListParagraph"/>
        <w:numPr>
          <w:ilvl w:val="0"/>
          <w:numId w:val="4"/>
        </w:numPr>
      </w:pPr>
      <w:r>
        <w:t xml:space="preserve">E₈ lattice operations must be computable with exact arithmetic.</w:t>
      </w:r>
    </w:p>
    <w:p>
      <w:pPr>
        <w:pStyle w:val="ListParagraph"/>
        <w:numPr>
          <w:ilvl w:val="0"/>
          <w:numId w:val="4"/>
        </w:numPr>
      </w:pPr>
      <w:r>
        <w:t xml:space="preserve">F₄ projection must achieve significant speedup over direct E₈ operations.</w:t>
      </w:r>
    </w:p>
    <w:p>
      <w:pPr>
        <w:pStyle w:val="ListParagraph"/>
        <w:numPr>
          <w:ilvl w:val="0"/>
          <w:numId w:val="4"/>
        </w:numPr>
      </w:pPr>
      <w:r>
        <w:t xml:space="preserve">The UK · φ(V) formula must produce bounded values in practice.</w:t>
      </w:r>
    </w:p>
    <w:p>
      <w:pPr>
        <w:pStyle w:val="Heading3"/>
      </w:pPr>
      <w:r>
        <w:t xml:space="preserve">Practical Utility</w:t>
      </w:r>
    </w:p>
    <w:p>
      <w:pPr>
        <w:pStyle w:val="ListParagraph"/>
        <w:numPr>
          <w:ilvl w:val="0"/>
          <w:numId w:val="4"/>
        </w:numPr>
      </w:pPr>
      <w:r>
        <w:t xml:space="preserve">The geometric RBAC system must correctly enforce access policies.</w:t>
      </w:r>
    </w:p>
    <w:p>
      <w:pPr>
        <w:pStyle w:val="ListParagraph"/>
        <w:numPr>
          <w:ilvl w:val="0"/>
          <w:numId w:val="4"/>
        </w:numPr>
      </w:pPr>
      <w:r>
        <w:t xml:space="preserve">The 24-cell visualization must provide meaningful user interfaces.</w:t>
      </w:r>
    </w:p>
    <w:p>
      <w:pPr>
        <w:pStyle w:val="ListParagraph"/>
        <w:numPr>
          <w:ilvl w:val="0"/>
          <w:numId w:val="4"/>
        </w:numPr>
      </w:pPr>
      <w:r>
        <w:t xml:space="preserve">The system must scale to non-trivial numbers of agents.</w:t>
      </w:r>
    </w:p>
    <w:p>
      <w:pPr>
        <w:pStyle w:val="Heading1"/>
      </w:pPr>
      <w:r>
        <w:t xml:space="preserve">8. Invitation to Evaluation</w:t>
      </w:r>
    </w:p>
    <w:p>
      <w:pPr>
        <w:spacing w:after="200"/>
      </w:pPr>
      <w:r>
        <w:t xml:space="preserve">This manifesto makes no appeal to authority, credentials, or prior work. It presents a computational model and invites the reader to:</w:t>
      </w:r>
    </w:p>
    <w:p>
      <w:pPr>
        <w:pStyle w:val="ListParagraph"/>
        <w:numPr>
          <w:ilvl w:val="0"/>
          <w:numId w:val="5"/>
        </w:numPr>
      </w:pPr>
      <w:r>
        <w:rPr>
          <w:b/>
          <w:bCs/>
        </w:rPr>
        <w:t xml:space="preserve">Verify the mathematics.</w:t>
      </w:r>
      <w:r>
        <w:t xml:space="preserve"> Are the claimed properties of exceptional Lie groups accurate?</w:t>
      </w:r>
    </w:p>
    <w:p>
      <w:pPr>
        <w:pStyle w:val="ListParagraph"/>
        <w:numPr>
          <w:ilvl w:val="0"/>
          <w:numId w:val="5"/>
        </w:numPr>
      </w:pPr>
      <w:r>
        <w:rPr>
          <w:b/>
          <w:bCs/>
        </w:rPr>
        <w:t xml:space="preserve">Evaluate the architecture.</w:t>
      </w:r>
      <w:r>
        <w:t xml:space="preserve"> Does dimensional descent provide computational advantages?</w:t>
      </w:r>
    </w:p>
    <w:p>
      <w:pPr>
        <w:pStyle w:val="ListParagraph"/>
        <w:numPr>
          <w:ilvl w:val="0"/>
          <w:numId w:val="5"/>
        </w:numPr>
      </w:pPr>
      <w:r>
        <w:rPr>
          <w:b/>
          <w:bCs/>
        </w:rPr>
        <w:t xml:space="preserve">Test the claims.</w:t>
      </w:r>
      <w:r>
        <w:t xml:space="preserve"> Does UK · φ(V) actually bound observability?</w:t>
      </w:r>
    </w:p>
    <w:p>
      <w:pPr>
        <w:pStyle w:val="ListParagraph"/>
        <w:numPr>
          <w:ilvl w:val="0"/>
          <w:numId w:val="5"/>
        </w:numPr>
      </w:pPr>
      <w:r>
        <w:rPr>
          <w:b/>
          <w:bCs/>
        </w:rPr>
        <w:t xml:space="preserve">Challenge the framework.</w:t>
      </w:r>
      <w:r>
        <w:t xml:space="preserve"> What breaks? Where are the gaps?</w:t>
      </w:r>
    </w:p>
    <w:p>
      <w:pPr>
        <w:spacing w:before="240" w:after="200"/>
      </w:pPr>
      <w:r>
        <w:t xml:space="preserve">The goal is not to convince, but to present a structure that can be evaluated on its own terms. If the mathematics is wrong, show where. If the computation is infeasible, demonstrate how. If the architecture is flawed, identify the flaw.</w:t>
      </w:r>
    </w:p>
    <w:p>
      <w:pPr>
        <w:spacing w:after="200"/>
      </w:pPr>
      <w:r>
        <w:t xml:space="preserve">Either this framework provides a novel computational substrate, or it does not. The reader is invited to determine which.</w:t>
      </w:r>
    </w:p>
    <w:p>
      <w:r>
        <w:br w:type="page"/>
      </w:r>
    </w:p>
    <w:p>
      <w:pPr>
        <w:pStyle w:val="Heading1"/>
      </w:pPr>
      <w:r>
        <w:t xml:space="preserve">Appendix A: Glossary</w:t>
      </w:r>
    </w:p>
    <w:p>
      <w:pPr>
        <w:spacing w:after="120"/>
      </w:pPr>
      <w:r>
        <w:rPr>
          <w:b/>
          <w:bCs/>
        </w:rPr>
        <w:t xml:space="preserve">24-cell:</w:t>
      </w:r>
      <w:r>
        <w:t xml:space="preserve"> The unique self-dual regular 4-polytope with 24 vertices and F₄ symmetry.</w:t>
      </w:r>
    </w:p>
    <w:p>
      <w:pPr>
        <w:spacing w:after="120"/>
      </w:pPr>
      <w:r>
        <w:rPr>
          <w:b/>
          <w:bCs/>
        </w:rPr>
        <w:t xml:space="preserve">Canonical Representative:</w:t>
      </w:r>
      <w:r>
        <w:t xml:space="preserve"> The unique element of a Weyl orbit lying in the dominant chamber.</w:t>
      </w:r>
    </w:p>
    <w:p>
      <w:pPr>
        <w:spacing w:after="120"/>
      </w:pPr>
      <w:r>
        <w:rPr>
          <w:b/>
          <w:bCs/>
        </w:rPr>
        <w:t xml:space="preserve">Dimensional Descent:</w:t>
      </w:r>
      <w:r>
        <w:t xml:space="preserve"> The computational pattern of moving from high-dimensional canonical space to low-dimensional interface, then returning.</w:t>
      </w:r>
    </w:p>
    <w:p>
      <w:pPr>
        <w:spacing w:after="120"/>
      </w:pPr>
      <w:r>
        <w:rPr>
          <w:b/>
          <w:bCs/>
        </w:rPr>
        <w:t xml:space="preserve">Dominant Chamber:</w:t>
      </w:r>
      <w:r>
        <w:t xml:space="preserve"> The fundamental domain of a Weyl group; the region where all inner products with simple roots are non-negative.</w:t>
      </w:r>
    </w:p>
    <w:p>
      <w:pPr>
        <w:spacing w:after="120"/>
      </w:pPr>
      <w:r>
        <w:rPr>
          <w:b/>
          <w:bCs/>
        </w:rPr>
        <w:t xml:space="preserve">E₈:</w:t>
      </w:r>
      <w:r>
        <w:t xml:space="preserve"> The largest exceptional Lie group, dimension 248, rank 8, with 240 roots and Weyl group of order 696,729,600.</w:t>
      </w:r>
    </w:p>
    <w:p>
      <w:pPr>
        <w:spacing w:after="120"/>
      </w:pPr>
      <w:r>
        <w:rPr>
          <w:b/>
          <w:bCs/>
        </w:rPr>
        <w:t xml:space="preserve">Epistemic Vector:</w:t>
      </w:r>
      <w:r>
        <w:t xml:space="preserve"> A 4-tuple (KK, KU, UK, UU) representing computational uncertainty state.</w:t>
      </w:r>
    </w:p>
    <w:p>
      <w:pPr>
        <w:spacing w:after="120"/>
      </w:pPr>
      <w:r>
        <w:rPr>
          <w:b/>
          <w:bCs/>
        </w:rPr>
        <w:t xml:space="preserve">Euler's Totient φ(n):</w:t>
      </w:r>
      <w:r>
        <w:t xml:space="preserve"> The count of integers from 1 to n that are coprime to n.</w:t>
      </w:r>
    </w:p>
    <w:p>
      <w:pPr>
        <w:spacing w:after="120"/>
      </w:pPr>
      <w:r>
        <w:rPr>
          <w:b/>
          <w:bCs/>
        </w:rPr>
        <w:t xml:space="preserve">Exceptional Lie Group:</w:t>
      </w:r>
      <w:r>
        <w:t xml:space="preserve"> One of the five simple Lie groups (G₂, F₄, E₆, E₇, E₈) that arise from octonionic constructions.</w:t>
      </w:r>
    </w:p>
    <w:p>
      <w:pPr>
        <w:spacing w:after="120"/>
      </w:pPr>
      <w:r>
        <w:rPr>
          <w:b/>
          <w:bCs/>
        </w:rPr>
        <w:t xml:space="preserve">F₄:</w:t>
      </w:r>
      <w:r>
        <w:t xml:space="preserve"> Exceptional Lie group of dimension 52, rank 4, automorphism group of the exceptional Jordan algebra.</w:t>
      </w:r>
    </w:p>
    <w:p>
      <w:pPr>
        <w:spacing w:after="120"/>
      </w:pPr>
      <w:r>
        <w:rPr>
          <w:b/>
          <w:bCs/>
        </w:rPr>
        <w:t xml:space="preserve">G₂:</w:t>
      </w:r>
      <w:r>
        <w:t xml:space="preserve"> The smallest exceptional Lie group, dimension 14, automorphism group of the octonions.</w:t>
      </w:r>
    </w:p>
    <w:p>
      <w:pPr>
        <w:spacing w:after="120"/>
      </w:pPr>
      <w:r>
        <w:rPr>
          <w:b/>
          <w:bCs/>
        </w:rPr>
        <w:t xml:space="preserve">Jordan Algebra J₃(𝕆):</w:t>
      </w:r>
      <w:r>
        <w:t xml:space="preserve"> The 27-dimensional algebra of 3×3 Hermitian matrices over octonions.</w:t>
      </w:r>
    </w:p>
    <w:p>
      <w:pPr>
        <w:spacing w:after="120"/>
      </w:pPr>
      <w:r>
        <w:rPr>
          <w:b/>
          <w:bCs/>
        </w:rPr>
        <w:t xml:space="preserve">Octonions (𝕆):</w:t>
      </w:r>
      <w:r>
        <w:t xml:space="preserve"> The unique 8-dimensional normed division algebra; non-associative: (a·b)·c ≠ a·(b·c).</w:t>
      </w:r>
    </w:p>
    <w:p>
      <w:pPr>
        <w:spacing w:after="120"/>
      </w:pPr>
      <w:r>
        <w:rPr>
          <w:b/>
          <w:bCs/>
        </w:rPr>
        <w:t xml:space="preserve">Weyl Group:</w:t>
      </w:r>
      <w:r>
        <w:t xml:space="preserve"> The finite group generated by reflections through the root hyperplanes of a Lie group.</w:t>
      </w:r>
    </w:p>
    <w:p>
      <w:pPr>
        <w:pStyle w:val="Heading1"/>
      </w:pPr>
      <w:r>
        <w:t xml:space="preserve">Appendix B: Standard References</w:t>
      </w:r>
    </w:p>
    <w:p>
      <w:pPr>
        <w:spacing w:after="200"/>
      </w:pPr>
      <w:r>
        <w:t xml:space="preserve">The mathematical claims in Section 2 can be verified in:</w:t>
      </w:r>
    </w:p>
    <w:p>
      <w:pPr>
        <w:spacing w:after="120"/>
      </w:pPr>
      <w:r>
        <w:rPr>
          <w:i/>
          <w:iCs/>
        </w:rPr>
        <w:t xml:space="preserve">On Lie Groups:</w:t>
      </w:r>
      <w:r>
        <w:t xml:space="preserve"> J.E. Humphreys, "Introduction to Lie Algebras and Representation Theory"</w:t>
      </w:r>
    </w:p>
    <w:p>
      <w:pPr>
        <w:spacing w:after="120"/>
      </w:pPr>
      <w:r>
        <w:rPr>
          <w:i/>
          <w:iCs/>
        </w:rPr>
        <w:t xml:space="preserve">On Exceptional Groups:</w:t>
      </w:r>
      <w:r>
        <w:t xml:space="preserve"> W. Fulton &amp; J. Harris, "Representation Theory: A First Course"</w:t>
      </w:r>
    </w:p>
    <w:p>
      <w:pPr>
        <w:spacing w:after="120"/>
      </w:pPr>
      <w:r>
        <w:rPr>
          <w:i/>
          <w:iCs/>
        </w:rPr>
        <w:t xml:space="preserve">On the E₈ Lattice:</w:t>
      </w:r>
      <w:r>
        <w:t xml:space="preserve"> J.H. Conway &amp; N.J.A. Sloane, "Sphere Packings, Lattices and Groups"</w:t>
      </w:r>
    </w:p>
    <w:p>
      <w:pPr>
        <w:spacing w:after="120"/>
      </w:pPr>
      <w:r>
        <w:rPr>
          <w:i/>
          <w:iCs/>
        </w:rPr>
        <w:t xml:space="preserve">On Polytopes:</w:t>
      </w:r>
      <w:r>
        <w:t xml:space="preserve"> H.S.M. Coxeter, "Regular Polytopes"</w:t>
      </w:r>
    </w:p>
    <w:p>
      <w:pPr>
        <w:spacing w:after="120"/>
      </w:pPr>
      <w:r>
        <w:rPr>
          <w:i/>
          <w:iCs/>
        </w:rPr>
        <w:t xml:space="preserve">On Octonions:</w:t>
      </w:r>
      <w:r>
        <w:t xml:space="preserve"> J.C. Baez, "The Octonions", Bull. Amer. Math. Soc. 39 (2002), 145-205</w:t>
      </w:r>
    </w:p>
    <w:p>
      <w:pPr>
        <w:spacing w:before="480"/>
      </w:pPr>
    </w:p>
    <w:p>
      <w:pPr>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Dimensional Descent Computation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color w:val="000000"/>
      <w:sz w:val="26"/>
      <w:szCs w:val="26"/>
    </w:rPr>
  </w:style>
  <w:style w:type="paragraph" w:styleId="BlockQuote">
    <w:name w:val="Block Quote"/>
    <w:basedOn w:val="Normal"/>
    <w:pPr>
      <w:spacing w:before="120" w:after="120"/>
      <w:ind w:left="720" w:right="720"/>
    </w:pPr>
    <w:rPr>
      <w:rFonts w:ascii="Times New Roman" w:cs="Times New Roman" w:eastAsia="Times New Roman" w:hAnsi="Times New Roman"/>
      <w:i/>
      <w:iCs/>
      <w:color w:val="333333"/>
      <w:sz w:val="22"/>
      <w:szCs w:val="22"/>
    </w:rPr>
  </w:style>
  <w:style w:type="paragraph" w:styleId="Definition">
    <w:name w:val="Definition"/>
    <w:basedOn w:val="Normal"/>
    <w:pPr>
      <w:spacing w:before="60" w:after="60"/>
      <w:ind w:left="720"/>
    </w:pPr>
    <w:rPr>
      <w:rFonts w:ascii="Times New Roman" w:cs="Times New Roman" w:eastAsia="Times New Roman" w:hAnsi="Times New Roman"/>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2025-11-26T16:54:55.472Z</dcterms:created>
  <dcterms:modified xsi:type="dcterms:W3CDTF">2025-11-26T16:54:55.473Z</dcterms:modified>
</cp:coreProperties>
</file>

<file path=docProps/custom.xml><?xml version="1.0" encoding="utf-8"?>
<Properties xmlns="http://schemas.openxmlformats.org/officeDocument/2006/custom-properties" xmlns:vt="http://schemas.openxmlformats.org/officeDocument/2006/docPropsVTypes"/>
</file>