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40"/>
        <w:jc w:val="center"/>
      </w:pPr>
      <w:r>
        <w:rPr>
          <w:rFonts w:ascii="Arial" w:cs="Arial" w:eastAsia="Arial" w:hAnsi="Arial"/>
          <w:b/>
          <w:bCs/>
          <w:color w:val="1F4E79"/>
          <w:sz w:val="52"/>
          <w:szCs w:val="52"/>
        </w:rPr>
        <w:t xml:space="preserve">SEMANTIC BASIS PROTOCOL</w:t>
      </w:r>
    </w:p>
    <w:p>
      <w:pPr>
        <w:spacing w:after="120"/>
        <w:jc w:val="center"/>
      </w:pPr>
      <w:r>
        <w:rPr>
          <w:rFonts w:ascii="Arial" w:cs="Arial" w:eastAsia="Arial" w:hAnsi="Arial"/>
          <w:i/>
          <w:iCs/>
          <w:color w:val="2E75B6"/>
          <w:sz w:val="26"/>
          <w:szCs w:val="26"/>
        </w:rPr>
        <w:t xml:space="preserve">A Universal Coordinate System for Meaning, Narrative Drift, and Computable Semantics</w:t>
      </w:r>
    </w:p>
    <w:p>
      <w:pPr>
        <w:spacing w:after="720"/>
        <w:jc w:val="center"/>
      </w:pPr>
      <w:r>
        <w:rPr>
          <w:rFonts w:ascii="Arial" w:cs="Arial" w:eastAsia="Arial" w:hAnsi="Arial"/>
          <w:color w:val="888888"/>
          <w:sz w:val="22"/>
          <w:szCs w:val="22"/>
        </w:rPr>
        <w:t xml:space="preserve">Version 0.1 — Draft Specification</w:t>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Abstract</w:t>
      </w:r>
    </w:p>
    <w:p>
      <w:pPr>
        <w:spacing w:after="160"/>
      </w:pPr>
      <w:r>
        <w:rPr>
          <w:rFonts w:ascii="Arial" w:cs="Arial" w:eastAsia="Arial" w:hAnsi="Arial"/>
          <w:sz w:val="24"/>
          <w:szCs w:val="24"/>
        </w:rPr>
        <w:t xml:space="preserve">This document specifies a protocol for expressing, measuring, and computing semantic meaning using a fixed geometric basis. The basis consists of twelve golden words arranged as the vertices of an icosahedron, partitioned into three groups of four corresponding to Agency, Ethics, and Logic/Control. Their dual dodecahedron defines a complete enumeration space for all Subject-Predicate-Object triples. Semantic drift across canonical definitions, inter-document variation, and intra-narrative trajectory is measured using the hierarchy of Platonic, Archimedean, and Catalan solids over the same simplex. The protocol is self-describing: its Logic/Control face encodes the epistemic states of the system itself, and every semantic triple has a computable dual in terms of data types, REPL operations, and Rumsfeldian knowledge constraints.</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1. The Golden Twelve — Icosahedron Vertices</w:t>
      </w:r>
    </w:p>
    <w:p>
      <w:pPr>
        <w:spacing w:after="160"/>
      </w:pPr>
      <w:r>
        <w:rPr>
          <w:rFonts w:ascii="Arial" w:cs="Arial" w:eastAsia="Arial" w:hAnsi="Arial"/>
          <w:sz w:val="24"/>
          <w:szCs w:val="24"/>
        </w:rPr>
        <w:t xml:space="preserve">The protocol is anchored by twelve words chosen such that their WordNet synset tries, when expanded recursively via hypernym chains to closure, produce a balanced centroid at the semantic origin (0, 0, 0, 0). These twelve words are the vertices of a regular icosahedron. They are fixed, published once, and serve as the universal coordinate axes for any document in any domain.</w:t>
      </w:r>
    </w:p>
    <w:p>
      <w:r>
        <w:t xml:space="preserve"/>
      </w:r>
    </w:p>
    <w:p>
      <w:pPr>
        <w:pStyle w:val="Heading2"/>
      </w:pPr>
      <w:r>
        <w:rPr>
          <w:rFonts w:ascii="Arial" w:cs="Arial" w:eastAsia="Arial" w:hAnsi="Arial"/>
          <w:b/>
          <w:bCs/>
          <w:sz w:val="28"/>
          <w:szCs w:val="28"/>
        </w:rPr>
        <w:t xml:space="preserve">1.1 The Three Faces of Four</w:t>
      </w:r>
    </w:p>
    <w:p>
      <w:pPr>
        <w:spacing w:after="160"/>
      </w:pPr>
      <w:r>
        <w:rPr>
          <w:rFonts w:ascii="Arial" w:cs="Arial" w:eastAsia="Arial" w:hAnsi="Arial"/>
          <w:sz w:val="24"/>
          <w:szCs w:val="24"/>
        </w:rPr>
        <w:t xml:space="preserve">The twelve vertices partition naturally into three groups of four. Each group of four forms its own local icosahedron, and the centroid of all three local icosahedra defines the global origin of the semantic space.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Face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Words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Dimension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Principle</w:t>
            </w:r>
          </w:p>
        </w:tc>
      </w:tr>
      <w:tr>
        <w:trPr>
          <w:tblHeader w:val="false"/>
        </w:trP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Agency</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Freedom · Autonomy · Sovereignty · Reciprocity</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Political / Will</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The axis of intent — who acts and from what standing</w:t>
            </w:r>
          </w:p>
        </w:tc>
      </w:tr>
      <w:tr>
        <w:trPr>
          <w:tblHeader w:val="false"/>
        </w:trP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Ethics</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Grace · Love · Understanding · Empathy</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Relational / Care</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The axis of event — how subjects meet objects</w:t>
            </w:r>
          </w:p>
        </w:tc>
      </w:tr>
      <w:tr>
        <w:trPr>
          <w:tblHeader w:val="false"/>
        </w:trP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Logic/Control</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Stop · No · Yes · Maybe</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Epistemic / Resolution</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The axis of incidence — what the system knows about itself</w:t>
            </w:r>
          </w:p>
        </w:tc>
      </w:tr>
    </w:tbl>
    <w:p>
      <w:r>
        <w:t xml:space="preserve"/>
      </w:r>
    </w:p>
    <w:p>
      <w:pPr>
        <w:pStyle w:val="Heading2"/>
      </w:pPr>
      <w:r>
        <w:rPr>
          <w:rFonts w:ascii="Arial" w:cs="Arial" w:eastAsia="Arial" w:hAnsi="Arial"/>
          <w:b/>
          <w:bCs/>
          <w:sz w:val="28"/>
          <w:szCs w:val="28"/>
        </w:rPr>
        <w:t xml:space="preserve">1.2 Negative Resolvers and the Basis Constraint</w:t>
      </w:r>
    </w:p>
    <w:p>
      <w:pPr>
        <w:spacing w:after="160"/>
      </w:pPr>
      <w:r>
        <w:rPr>
          <w:rFonts w:ascii="Arial" w:cs="Arial" w:eastAsia="Arial" w:hAnsi="Arial"/>
          <w:sz w:val="24"/>
          <w:szCs w:val="24"/>
        </w:rPr>
        <w:t xml:space="preserve">The selection criterion for the golden twelve is the negative resolve condition: the sum of all twelve synset centroid vectors must cancel to zero. This is analogous to finding a closed chord in harmonic analysis. Words are not chosen for aesthetic or cultural reasons but because they satisfy this algebraic constraint over the WordNet hypernym lattice. The negative of each word is its resolver — the semantic inverse that enforces cancellation.</w:t>
      </w:r>
    </w:p>
    <w:p>
      <w:pPr>
        <w:spacing w:after="160"/>
      </w:pPr>
      <w:r>
        <w:rPr>
          <w:rFonts w:ascii="Arial" w:cs="Arial" w:eastAsia="Arial" w:hAnsi="Arial"/>
          <w:sz w:val="24"/>
          <w:szCs w:val="24"/>
        </w:rPr>
        <w:t xml:space="preserve">When a researcher finds their own set of twelve words satisfying this constraint, those words are valid as a private basis. The golden twelve are a proposed universal standard, not a mandate. Any negative-resolve set of twelve can serve as a basis protocol, and documents encoded in different bases can be transformed between them via the dual dodecahedron.</w:t>
      </w:r>
    </w:p>
    <w:p>
      <w:r>
        <w:t xml:space="preserve"/>
      </w:r>
    </w:p>
    <w:p>
      <w:pPr>
        <w:pStyle w:val="Heading2"/>
      </w:pPr>
      <w:r>
        <w:rPr>
          <w:rFonts w:ascii="Arial" w:cs="Arial" w:eastAsia="Arial" w:hAnsi="Arial"/>
          <w:b/>
          <w:bCs/>
          <w:sz w:val="28"/>
          <w:szCs w:val="28"/>
        </w:rPr>
        <w:t xml:space="preserve">1.3 The Word Is the Simplex</w:t>
      </w:r>
    </w:p>
    <w:p>
      <w:pPr>
        <w:spacing w:after="160"/>
      </w:pPr>
      <w:r>
        <w:rPr>
          <w:rFonts w:ascii="Arial" w:cs="Arial" w:eastAsia="Arial" w:hAnsi="Arial"/>
          <w:sz w:val="24"/>
          <w:szCs w:val="24"/>
        </w:rPr>
        <w:t xml:space="preserve">This is the foundational axiom of the protocol: a word does not point to a simplex — a word is its simplex.</w:t>
      </w:r>
    </w:p>
    <w:p>
      <w:pPr>
        <w:spacing w:after="160"/>
      </w:pPr>
      <w:r>
        <w:rPr>
          <w:rFonts w:ascii="Arial" w:cs="Arial" w:eastAsia="Arial" w:hAnsi="Arial"/>
          <w:sz w:val="24"/>
          <w:szCs w:val="24"/>
        </w:rPr>
        <w:t xml:space="preserve">Every word in the protocol is fully identified by its synset simplex: the complete structure of its synset tree, its hypernym closure chain, its hyponym branches, and its usage edges within a given WordNet instance. These are not metadata attached to the word. They are the word's geometric identity. The label — the string of characters — is merely a human-readable handle for the simplex. Two identical strings in two different WordNet versions may refer to different simplices, and are therefore different words in the protocol.</w:t>
      </w:r>
    </w:p>
    <w:p>
      <w:pPr>
        <w:spacing w:after="160"/>
      </w:pPr>
      <w:r>
        <w:rPr>
          <w:rFonts w:ascii="Arial" w:cs="Arial" w:eastAsia="Arial" w:hAnsi="Arial"/>
          <w:sz w:val="24"/>
          <w:szCs w:val="24"/>
        </w:rPr>
        <w:t xml:space="preserve">This has a direct consequence: the meaning of any word in the protocol is inseparable from the versioned WordNet database or signed document corpus in which its synset simplex is defined. A word without a versioned basis is not a protocol-compliant word. It is an unanchored string.</w:t>
      </w:r>
    </w:p>
    <w:p>
      <w:r>
        <w:t xml:space="preserve"/>
      </w:r>
    </w:p>
    <w:p>
      <w:pPr>
        <w:pStyle w:val="Heading2"/>
      </w:pPr>
      <w:r>
        <w:rPr>
          <w:rFonts w:ascii="Arial" w:cs="Arial" w:eastAsia="Arial" w:hAnsi="Arial"/>
          <w:b/>
          <w:bCs/>
          <w:sz w:val="28"/>
          <w:szCs w:val="28"/>
        </w:rPr>
        <w:t xml:space="preserve">1.4 Versioned WordNet and Signed Document Basis</w:t>
      </w:r>
    </w:p>
    <w:p>
      <w:pPr>
        <w:spacing w:after="160"/>
      </w:pPr>
      <w:r>
        <w:rPr>
          <w:rFonts w:ascii="Arial" w:cs="Arial" w:eastAsia="Arial" w:hAnsi="Arial"/>
          <w:sz w:val="24"/>
          <w:szCs w:val="24"/>
        </w:rPr>
        <w:t xml:space="preserve">Because the word is its simplex, and the simplex is defined within a WordNet instance, every deployment of the protocol must declare its basis. The basis consists of two components.</w:t>
      </w:r>
    </w:p>
    <w:p>
      <w:pPr>
        <w:spacing w:after="160"/>
      </w:pPr>
      <w:r>
        <w:rPr>
          <w:rFonts w:ascii="Arial" w:cs="Arial" w:eastAsia="Arial" w:hAnsi="Arial"/>
          <w:sz w:val="24"/>
          <w:szCs w:val="24"/>
        </w:rPr>
        <w:t xml:space="preserve">First, the versioned WordNet database — identified by version number, language, and a cryptographic hash of the full synset graph. Any change to the WordNet data produces a different hash and therefore a different basis. Synset definitions that evolve between WordNet versions change the geometry of the simplex, and therefore change the word.</w:t>
      </w:r>
    </w:p>
    <w:p>
      <w:pPr>
        <w:spacing w:after="160"/>
      </w:pPr>
      <w:r>
        <w:rPr>
          <w:rFonts w:ascii="Arial" w:cs="Arial" w:eastAsia="Arial" w:hAnsi="Arial"/>
          <w:sz w:val="24"/>
          <w:szCs w:val="24"/>
        </w:rPr>
        <w:t xml:space="preserve">Second, the signed document corpus — for words that are sparse or absent in WordNet (proper nouns, domain-specific terms, esoteric vocabulary), the simplex is defined by a signed corpus of documents whose SPO triples anchor the word's synset stub. The corpus is signed so that the simplex definition is attributable, auditable, and immutable. A Merkle root over the corpus provides the cryptographic anchor.</w:t>
      </w:r>
    </w:p>
    <w:p>
      <w:pPr>
        <w:spacing w:after="160"/>
      </w:pPr>
      <w:r>
        <w:rPr>
          <w:rFonts w:ascii="Arial" w:cs="Arial" w:eastAsia="Arial" w:hAnsi="Arial"/>
          <w:sz w:val="24"/>
          <w:szCs w:val="24"/>
        </w:rPr>
        <w:t xml:space="preserve">Together, these two components constitute the basis declaration. Any document encoded in the protocol must reference a specific basis declaration. Two documents with different basis declarations are not directly comparable — their words may share labels but inhabit different simplices. Transformation between bases is possible via the dual dodecahedron only when the centroids of both bases have been independently verified against the negative resolve condition.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Basis Component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Identifies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Cryptographic Anchor</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Changes When</w:t>
            </w:r>
          </w:p>
        </w:tc>
      </w:tr>
      <w:tr>
        <w:trPr>
          <w:tblHeader w:val="false"/>
        </w:trP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Versioned WordNet DB</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All standard synset simplices</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SHA-256 of full synset graph</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WordNet version increments or any synset definition is edited</w:t>
            </w:r>
          </w:p>
        </w:tc>
      </w:tr>
      <w:tr>
        <w:trPr>
          <w:tblHeader w:val="false"/>
        </w:trP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Signed Document Corpus</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Sparse and proper noun simplices</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Merkle root over signed SPO triple corpus</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Any document in the corpus is added, removed, or modified</w:t>
            </w:r>
          </w:p>
        </w:tc>
      </w:tr>
      <w:tr>
        <w:trPr>
          <w:tblHeader w:val="false"/>
        </w:trP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Basis Declaration</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The complete semantic coordinate system for a deployment</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Hash of (WordNet hash + Merkle root)</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Either component changes</w:t>
            </w:r>
          </w:p>
        </w:tc>
      </w:tr>
    </w:tbl>
    <w:p>
      <w:r>
        <w:t xml:space="preserve"/>
      </w:r>
    </w:p>
    <w:p>
      <w:pPr>
        <w:spacing w:after="160"/>
      </w:pPr>
      <w:r>
        <w:rPr>
          <w:rFonts w:ascii="Arial" w:cs="Arial" w:eastAsia="Arial" w:hAnsi="Arial"/>
          <w:sz w:val="24"/>
          <w:szCs w:val="24"/>
        </w:rPr>
        <w:t xml:space="preserve">The protocol version number alone is not sufficient to identify a basis. Two deployments of the same protocol version with different WordNet instances or different signed corpora are operating in different semantic spaces, even if they use the same twelve golden words as labels.</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2. Geometric Structure — Icosahedron, Dodecahedron, and Drift</w:t>
      </w:r>
    </w:p>
    <w:p>
      <w:pPr>
        <w:pStyle w:val="Heading2"/>
      </w:pPr>
      <w:r>
        <w:rPr>
          <w:rFonts w:ascii="Arial" w:cs="Arial" w:eastAsia="Arial" w:hAnsi="Arial"/>
          <w:b/>
          <w:bCs/>
          <w:sz w:val="28"/>
          <w:szCs w:val="28"/>
        </w:rPr>
        <w:t xml:space="preserve">2.1 The Icosahedron as Synset Trie</w:t>
      </w:r>
    </w:p>
    <w:p>
      <w:pPr>
        <w:spacing w:after="160"/>
      </w:pPr>
      <w:r>
        <w:rPr>
          <w:rFonts w:ascii="Arial" w:cs="Arial" w:eastAsia="Arial" w:hAnsi="Arial"/>
          <w:sz w:val="24"/>
          <w:szCs w:val="24"/>
        </w:rPr>
        <w:t xml:space="preserve">Each of the twelve vertices hosts a word synset trie rooted at that word. The trie is built by recursive WordNet hypernym and hyponym expansion to a maximum depth of seven levels. The closure condition — where a hypernym chain from one vertex trie reaches a node already present in another vertex trie — defines a shared semantic node. The centroid of all twelve closure points is the geometric and semantic origin (0, 0, 0, 0).</w:t>
      </w:r>
    </w:p>
    <w:p>
      <w:pPr>
        <w:spacing w:after="160"/>
      </w:pPr>
      <w:r>
        <w:rPr>
          <w:rFonts w:ascii="Arial" w:cs="Arial" w:eastAsia="Arial" w:hAnsi="Arial"/>
          <w:sz w:val="24"/>
          <w:szCs w:val="24"/>
        </w:rPr>
        <w:t xml:space="preserve">The golden ratio φ = (1 + √5) / 2 that defines icosahedron vertex coordinates provides the natural metric for semantic distance. Distances in the synset trie are not arbitrary but inherit this metric, giving the protocol a principled geometry rather than an ad hoc vector space.</w:t>
      </w:r>
    </w:p>
    <w:p>
      <w:r>
        <w:t xml:space="preserve"/>
      </w:r>
    </w:p>
    <w:p>
      <w:pPr>
        <w:pStyle w:val="Heading2"/>
      </w:pPr>
      <w:r>
        <w:rPr>
          <w:rFonts w:ascii="Arial" w:cs="Arial" w:eastAsia="Arial" w:hAnsi="Arial"/>
          <w:b/>
          <w:bCs/>
          <w:sz w:val="28"/>
          <w:szCs w:val="28"/>
        </w:rPr>
        <w:t xml:space="preserve">2.2 The Dodecahedron as Predicate Space</w:t>
      </w:r>
    </w:p>
    <w:p>
      <w:pPr>
        <w:spacing w:after="160"/>
      </w:pPr>
      <w:r>
        <w:rPr>
          <w:rFonts w:ascii="Arial" w:cs="Arial" w:eastAsia="Arial" w:hAnsi="Arial"/>
          <w:sz w:val="24"/>
          <w:szCs w:val="24"/>
        </w:rPr>
        <w:t xml:space="preserve">The dodecahedron is the dual of the icosahedron: each of its twelve pentagonal faces corresponds to one of the twelve icosahedron vertices, and therefore to one of the twelve golden words. A Subject-Object-Predicate triple is a path across three dodecahedron faces: the subject face, the predicate face, and the object face. Because the dodecahedron is closed and each face connects to exactly five others, the set of valid SPO triples is finite and enumerable — validity is defined by geometric adjacency, not by declaration.</w:t>
      </w:r>
    </w:p>
    <w:p>
      <w:r>
        <w:t xml:space="preserve"/>
      </w:r>
    </w:p>
    <w:p>
      <w:pPr>
        <w:pStyle w:val="Heading2"/>
      </w:pPr>
      <w:r>
        <w:rPr>
          <w:rFonts w:ascii="Arial" w:cs="Arial" w:eastAsia="Arial" w:hAnsi="Arial"/>
          <w:b/>
          <w:bCs/>
          <w:sz w:val="28"/>
          <w:szCs w:val="28"/>
        </w:rPr>
        <w:t xml:space="preserve">2.3 The Three Levels of Semantic Drift</w:t>
      </w:r>
    </w:p>
    <w:p>
      <w:pPr>
        <w:spacing w:after="160"/>
      </w:pPr>
      <w:r>
        <w:rPr>
          <w:rFonts w:ascii="Arial" w:cs="Arial" w:eastAsia="Arial" w:hAnsi="Arial"/>
          <w:sz w:val="24"/>
          <w:szCs w:val="24"/>
        </w:rPr>
        <w:t xml:space="preserve">Semantic drift — the deviation of a noun from its canonical meaning as it moves through usage — is measured using three levels of geometric regularity, corresponding to the three families of convex polyhedra derived from the icosahedron/dodecahedron simplex.</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Drift Level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Solid Family</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Geometric Property</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Linguistic Meaning</w:t>
            </w:r>
          </w:p>
        </w:tc>
      </w:tr>
      <w:tr>
        <w:trPr>
          <w:tblHeader w:val="false"/>
        </w:trP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Canonical</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Platonic</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All faces identical, all vertices identical — maximum symmetry</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The ground-truth definition. Every predicate face equivalent, every subject/object vertex equivalent.</w:t>
            </w:r>
          </w:p>
        </w:tc>
      </w:tr>
      <w:tr>
        <w:trPr>
          <w:tblHeader w:val="false"/>
        </w:trP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Inter-Document</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Archimedean</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Regular vertices, mixed faces — controlled asymmetry</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Same entity (centroid preserved) but predicate faces vary by document context. The solid is still recognizable but no longer perfectly regular.</w:t>
            </w:r>
          </w:p>
        </w:tc>
      </w:tr>
      <w:tr>
        <w:trPr>
          <w:tblHeader w:val="false"/>
        </w:trP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Intra-Narrative</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Catalan (dual of Archimedean)</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Regular faces, irregular vertices — vertex asymmetry</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Predicate relationships stay consistent within a narrative but the grammatical positions (subject/object slots) become irregular as the story repositions the noun.</w:t>
            </w:r>
          </w:p>
        </w:tc>
      </w:tr>
    </w:tbl>
    <w:p>
      <w:r>
        <w:t xml:space="preserve"/>
      </w:r>
    </w:p>
    <w:p>
      <w:pPr>
        <w:spacing w:after="160"/>
      </w:pPr>
      <w:r>
        <w:rPr>
          <w:rFonts w:ascii="Arial" w:cs="Arial" w:eastAsia="Arial" w:hAnsi="Arial"/>
          <w:sz w:val="24"/>
          <w:szCs w:val="24"/>
        </w:rPr>
        <w:t xml:space="preserve">The dual relationship between Archimedean and Catalan solids is linguistically significant: document-level drift and narrative-level drift are geometric duals of each other. One varies the faces (predicates), the other varies the vertices (positions). Both preserve the centroid — the entity remains itself throughout its drift.</w:t>
      </w:r>
    </w:p>
    <w:p>
      <w:r>
        <w:t xml:space="preserve"/>
      </w:r>
    </w:p>
    <w:p>
      <w:pPr>
        <w:pStyle w:val="Heading2"/>
      </w:pPr>
      <w:r>
        <w:rPr>
          <w:rFonts w:ascii="Arial" w:cs="Arial" w:eastAsia="Arial" w:hAnsi="Arial"/>
          <w:b/>
          <w:bCs/>
          <w:sz w:val="28"/>
          <w:szCs w:val="28"/>
        </w:rPr>
        <w:t xml:space="preserve">2.4 Octree Navigation for Computer Vision Integration</w:t>
      </w:r>
    </w:p>
    <w:p>
      <w:pPr>
        <w:spacing w:after="160"/>
      </w:pPr>
      <w:r>
        <w:rPr>
          <w:rFonts w:ascii="Arial" w:cs="Arial" w:eastAsia="Arial" w:hAnsi="Arial"/>
          <w:sz w:val="24"/>
          <w:szCs w:val="24"/>
        </w:rPr>
        <w:t xml:space="preserve">Because computer vision pipelines operate on triangle mesh faces, the semantic solid is represented as a triangle mesh and navigated via an octree. Each octant subdivision corresponds to a refinement of semantic drift measurement. The root octant contains the Platonic solid (canonical meaning). First-level splits introduce Archimedean asymmetry (inter-document drift). Deepest subdivisions encode Catalan irregularity (intra-narrative drift).</w:t>
      </w:r>
    </w:p>
    <w:p>
      <w:pPr>
        <w:spacing w:after="160"/>
      </w:pPr>
      <w:r>
        <w:rPr>
          <w:rFonts w:ascii="Arial" w:cs="Arial" w:eastAsia="Arial" w:hAnsi="Arial"/>
          <w:sz w:val="24"/>
          <w:szCs w:val="24"/>
        </w:rPr>
        <w:t xml:space="preserve">An SPO triple becomes a triangle: the subject vertex, the object vertex, and the predicate as the face normal. Ray casting against this mesh finds the nearest predicate face, enabling real-time semantic proximity queries. Octree culling for relevance mirrors frustum culling in rendering: only the octants visible from a given narrative viewpoint are loaded, corresponding to only retrieving predicate relationships relevant to that document or narrative position.</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3. The Unified SPO-Computation Mapping</w:t>
      </w:r>
    </w:p>
    <w:p>
      <w:pPr>
        <w:pStyle w:val="Heading2"/>
      </w:pPr>
      <w:r>
        <w:rPr>
          <w:rFonts w:ascii="Arial" w:cs="Arial" w:eastAsia="Arial" w:hAnsi="Arial"/>
          <w:b/>
          <w:bCs/>
          <w:sz w:val="28"/>
          <w:szCs w:val="28"/>
        </w:rPr>
        <w:t xml:space="preserve">3.1 Intent, Event, and Incidence</w:t>
      </w:r>
    </w:p>
    <w:p>
      <w:pPr>
        <w:spacing w:after="160"/>
      </w:pPr>
      <w:r>
        <w:rPr>
          <w:rFonts w:ascii="Arial" w:cs="Arial" w:eastAsia="Arial" w:hAnsi="Arial"/>
          <w:sz w:val="24"/>
          <w:szCs w:val="24"/>
        </w:rPr>
        <w:t xml:space="preserve">The three SPO roles map onto three fundamental categories that unify semantic, computational, and epistemic description: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SPO Role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Universal Category</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Epistemic State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Word Face</w:t>
            </w:r>
          </w:p>
        </w:tc>
      </w:tr>
      <w:tr>
        <w:trPr>
          <w:tblHeader w:val="false"/>
        </w:trP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Subject</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Intent</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Known Known — actor acts from known position</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Agency: Freedom · Autonomy · Sovereignty · Reciprocity</w:t>
            </w:r>
          </w:p>
        </w:tc>
      </w:tr>
      <w:tr>
        <w:trPr>
          <w:tblHeader w:val="false"/>
        </w:trP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Predicate</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Event</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Known Unknown — the relational encounter</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Ethics: Grace · Love · Understanding · Empathy</w:t>
            </w:r>
          </w:p>
        </w:tc>
      </w:tr>
      <w:tr>
        <w:trPr>
          <w:tblHeader w:val="false"/>
        </w:trP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Object</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Incidence</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Unknown Known — knowable only after the event</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Logic/Control: Stop · No · Yes · Maybe</w:t>
            </w:r>
          </w:p>
        </w:tc>
      </w:tr>
      <w:tr>
        <w:trPr>
          <w:tblHeader w:val="false"/>
        </w:trP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Centroid (0,0,0,0)</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Meaning</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Unknown Unknown — emergent, not encodable in any single face</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The dual dodecahedron itself</w:t>
            </w:r>
          </w:p>
        </w:tc>
      </w:tr>
    </w:tbl>
    <w:p>
      <w:r>
        <w:t xml:space="preserve"/>
      </w:r>
    </w:p>
    <w:p>
      <w:pPr>
        <w:spacing w:after="160"/>
      </w:pPr>
      <w:r>
        <w:rPr>
          <w:rFonts w:ascii="Arial" w:cs="Arial" w:eastAsia="Arial" w:hAnsi="Arial"/>
          <w:sz w:val="24"/>
          <w:szCs w:val="24"/>
        </w:rPr>
        <w:t xml:space="preserve">The unknown unknown — the fourth Rumsfeldian quadrant — is not a failure of the system but its completion. It is the centroid: the meaning that only exists as the relationship between all three faces, expressed as the dual solid, not as any vertex or face in isolation.</w:t>
      </w:r>
    </w:p>
    <w:p>
      <w:r>
        <w:t xml:space="preserve"/>
      </w:r>
    </w:p>
    <w:p>
      <w:pPr>
        <w:pStyle w:val="Heading2"/>
      </w:pPr>
      <w:r>
        <w:rPr>
          <w:rFonts w:ascii="Arial" w:cs="Arial" w:eastAsia="Arial" w:hAnsi="Arial"/>
          <w:b/>
          <w:bCs/>
          <w:sz w:val="28"/>
          <w:szCs w:val="28"/>
        </w:rPr>
        <w:t xml:space="preserve">3.2 Computational Dual — Data Types and REPL</w:t>
      </w:r>
    </w:p>
    <w:p>
      <w:pPr>
        <w:spacing w:after="160"/>
      </w:pPr>
      <w:r>
        <w:rPr>
          <w:rFonts w:ascii="Arial" w:cs="Arial" w:eastAsia="Arial" w:hAnsi="Arial"/>
          <w:sz w:val="24"/>
          <w:szCs w:val="24"/>
        </w:rPr>
        <w:t xml:space="preserve">Every semantic triple has a computable dual. The Logic/Control face maps onto REPL operations and platform-agnostic data types, making the protocol executable as well as descriptive: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Semantic</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Epistemic</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REPL Operation</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I/O Primitive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AWK Data Type Slot</w:t>
            </w:r>
          </w:p>
        </w:tc>
      </w:tr>
      <w:tr>
        <w:trPr>
          <w:tblHeader w:val="false"/>
        </w:trP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Yes</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Known Known</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Read</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StdIn</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String (input stream)</w:t>
            </w:r>
          </w:p>
        </w:tc>
      </w:tr>
      <w:tr>
        <w:trPr>
          <w:tblHeader w:val="false"/>
        </w:trP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No</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Known Unknown</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Eval</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StdOut</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Number (evaluated result)</w:t>
            </w:r>
          </w:p>
        </w:tc>
      </w:tr>
      <w:tr>
        <w:trPr>
          <w:tblHeader w:val="false"/>
        </w:trP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Maybe</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Unknown Known</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Print</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Port</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Pattern (conditional match)</w:t>
            </w:r>
          </w:p>
        </w:tc>
      </w:tr>
      <w:tr>
        <w:trPr>
          <w:tblHeader w:val="false"/>
        </w:trP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Stop</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Unknown Unknown</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Loop</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File</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Array (accumulated state)</w:t>
            </w:r>
          </w:p>
        </w:tc>
      </w:tr>
    </w:tbl>
    <w:p>
      <w:r>
        <w:t xml:space="preserve"/>
      </w:r>
    </w:p>
    <w:p>
      <w:pPr>
        <w:spacing w:after="160"/>
      </w:pPr>
      <w:r>
        <w:rPr>
          <w:rFonts w:ascii="Arial" w:cs="Arial" w:eastAsia="Arial" w:hAnsi="Arial"/>
          <w:sz w:val="24"/>
          <w:szCs w:val="24"/>
        </w:rPr>
        <w:t xml:space="preserve">AWK data types are used here as placeholders for any documentable data type in any platform. The mapping is platform-agnostic: replace StdIn/StdOut/Port/File with the equivalent primitives of any computation environment and the structure holds. The Rumsfeldian quadrant provides the epistemic framing that makes the protocol self-aware of its own knowledge constraints.</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4. The Four-Dimensional Basis — x, y, z, w</w:t>
      </w:r>
    </w:p>
    <w:p>
      <w:pPr>
        <w:pStyle w:val="Heading2"/>
      </w:pPr>
      <w:r>
        <w:rPr>
          <w:rFonts w:ascii="Arial" w:cs="Arial" w:eastAsia="Arial" w:hAnsi="Arial"/>
          <w:b/>
          <w:bCs/>
          <w:sz w:val="28"/>
          <w:szCs w:val="28"/>
        </w:rPr>
        <w:t xml:space="preserve">4.1 The x, y, z Axes from SPO Closure</w:t>
      </w:r>
    </w:p>
    <w:p>
      <w:pPr>
        <w:spacing w:after="160"/>
      </w:pPr>
      <w:r>
        <w:rPr>
          <w:rFonts w:ascii="Arial" w:cs="Arial" w:eastAsia="Arial" w:hAnsi="Arial"/>
          <w:sz w:val="24"/>
          <w:szCs w:val="24"/>
        </w:rPr>
        <w:t xml:space="preserve">The three spatial coordinates of the semantic basis are defined by the magnitude of closure across the three SPO dimensions:</w:t>
      </w:r>
    </w:p>
    <w:p>
      <w:pPr>
        <w:spacing w:after="160"/>
      </w:pPr>
      <w:r>
        <w:rPr>
          <w:rFonts w:ascii="Arial" w:cs="Arial" w:eastAsia="Arial" w:hAnsi="Arial"/>
          <w:sz w:val="24"/>
          <w:szCs w:val="24"/>
        </w:rPr>
        <w:t xml:space="preserve">x — magnitude of Intent closure: how fully the subject's synset trie closes against the canonical basis.</w:t>
      </w:r>
    </w:p>
    <w:p>
      <w:pPr>
        <w:spacing w:after="160"/>
      </w:pPr>
      <w:r>
        <w:rPr>
          <w:rFonts w:ascii="Arial" w:cs="Arial" w:eastAsia="Arial" w:hAnsi="Arial"/>
          <w:sz w:val="24"/>
          <w:szCs w:val="24"/>
        </w:rPr>
        <w:t xml:space="preserve">y — magnitude of Event closure: how fully the predicate relationship resolves across the synset lattice.</w:t>
      </w:r>
    </w:p>
    <w:p>
      <w:pPr>
        <w:spacing w:after="160"/>
      </w:pPr>
      <w:r>
        <w:rPr>
          <w:rFonts w:ascii="Arial" w:cs="Arial" w:eastAsia="Arial" w:hAnsi="Arial"/>
          <w:sz w:val="24"/>
          <w:szCs w:val="24"/>
        </w:rPr>
        <w:t xml:space="preserve">z — magnitude of Incidence closure: how fully the object's position is determined after the event.</w:t>
      </w:r>
    </w:p>
    <w:p>
      <w:pPr>
        <w:spacing w:after="160"/>
      </w:pPr>
      <w:r>
        <w:rPr>
          <w:rFonts w:ascii="Arial" w:cs="Arial" w:eastAsia="Arial" w:hAnsi="Arial"/>
          <w:sz w:val="24"/>
          <w:szCs w:val="24"/>
        </w:rPr>
        <w:t xml:space="preserve">Closure magnitude is computed as the inverse of the graph distance from the trie's deepest node to the nearest shared hypernym node in the basis lattice. A fully closed trie (distance 0) contributes magnitude 1; a non-closing trie contributes magnitude 0.</w:t>
      </w:r>
    </w:p>
    <w:p>
      <w:r>
        <w:t xml:space="preserve"/>
      </w:r>
    </w:p>
    <w:p>
      <w:pPr>
        <w:pStyle w:val="Heading2"/>
      </w:pPr>
      <w:r>
        <w:rPr>
          <w:rFonts w:ascii="Arial" w:cs="Arial" w:eastAsia="Arial" w:hAnsi="Arial"/>
          <w:b/>
          <w:bCs/>
          <w:sz w:val="28"/>
          <w:szCs w:val="28"/>
        </w:rPr>
        <w:t xml:space="preserve">4.2 The w Coefficient — Floating Point WordNet Scale and Sharding</w:t>
      </w:r>
    </w:p>
    <w:p>
      <w:pPr>
        <w:spacing w:after="160"/>
      </w:pPr>
      <w:r>
        <w:rPr>
          <w:rFonts w:ascii="Arial" w:cs="Arial" w:eastAsia="Arial" w:hAnsi="Arial"/>
          <w:sz w:val="24"/>
          <w:szCs w:val="24"/>
        </w:rPr>
        <w:t xml:space="preserve">The fourth coordinate w is a floating point coefficient on the WordNet scale. It encodes the depth of the synset trie at which closure occurred, normalized by the maximum WordNet depth (approximately 16 levels for nouns). A shallow closure (w near 0) indicates a highly general, abstract semantic match. A deep closure (w near 1) indicates a highly specific, concrete match.</w:t>
      </w:r>
    </w:p>
    <w:p>
      <w:pPr>
        <w:spacing w:after="160"/>
      </w:pPr>
      <w:r>
        <w:rPr>
          <w:rFonts w:ascii="Arial" w:cs="Arial" w:eastAsia="Arial" w:hAnsi="Arial"/>
          <w:sz w:val="24"/>
          <w:szCs w:val="24"/>
        </w:rPr>
        <w:t xml:space="preserve">w also serves as the sharding key for distributed storage of the semantic graph. Nodes with similar w values are stored in the same shard, ensuring that semantically proximate terms (those that close at similar depth levels) are co-located for efficient query. This makes the protocol scalable: the WordNet lattice can be partitioned by w without breaking the geometric structure of the icosahedron, since w is orthogonal to the x, y, z closure axes.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Coordinate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Measures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Range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Role in Protocol</w:t>
            </w:r>
          </w:p>
        </w:tc>
      </w:tr>
      <w:tr>
        <w:trPr>
          <w:tblHeader w:val="false"/>
        </w:trP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x</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Intent / Subject closure magnitude</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0.0 – 1.0</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Agency face projection</w:t>
            </w:r>
          </w:p>
        </w:tc>
      </w:tr>
      <w:tr>
        <w:trPr>
          <w:tblHeader w:val="false"/>
        </w:trP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y</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Event / Predicate closure magnitude</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0.0 – 1.0</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Ethics face projection</w:t>
            </w:r>
          </w:p>
        </w:tc>
      </w:tr>
      <w:tr>
        <w:trPr>
          <w:tblHeader w:val="false"/>
        </w:trP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z</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Incidence / Object closure magnitude</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0.0 – 1.0</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Logic/Control face projection</w:t>
            </w:r>
          </w:p>
        </w:tc>
      </w:tr>
      <w:tr>
        <w:trPr>
          <w:tblHeader w:val="false"/>
        </w:trP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w</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WordNet depth at closure (specificity)</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0.0 – 1.0</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2"/>
                <w:szCs w:val="22"/>
              </w:rPr>
              <w:t xml:space="preserve">Sharding key + abstraction level coefficient</w:t>
            </w:r>
          </w:p>
        </w:tc>
      </w:tr>
    </w:tbl>
    <w:p>
      <w:r>
        <w:t xml:space="preserve"/>
      </w:r>
    </w:p>
    <w:p>
      <w:pPr>
        <w:spacing w:after="160"/>
      </w:pPr>
      <w:r>
        <w:rPr>
          <w:rFonts w:ascii="Arial" w:cs="Arial" w:eastAsia="Arial" w:hAnsi="Arial"/>
          <w:sz w:val="24"/>
          <w:szCs w:val="24"/>
        </w:rPr>
        <w:t xml:space="preserve">A point (x, y, z, w) in this space uniquely identifies the semantic position of any SPO triple relative to the golden twelve basis. Two triples with the same (x, y, z) but different w values express the same abstract meaning at different levels of specificity — like two descriptions of the same event, one general and one detailed.</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5. Protocol Implementation Notes</w:t>
      </w:r>
    </w:p>
    <w:p>
      <w:pPr>
        <w:pStyle w:val="Heading2"/>
      </w:pPr>
      <w:r>
        <w:rPr>
          <w:rFonts w:ascii="Arial" w:cs="Arial" w:eastAsia="Arial" w:hAnsi="Arial"/>
          <w:b/>
          <w:bCs/>
          <w:sz w:val="28"/>
          <w:szCs w:val="28"/>
        </w:rPr>
        <w:t xml:space="preserve">5.1 Building the Synset Tries</w:t>
      </w:r>
    </w:p>
    <w:p>
      <w:pPr>
        <w:spacing w:after="160"/>
      </w:pPr>
      <w:r>
        <w:rPr>
          <w:rFonts w:ascii="Arial" w:cs="Arial" w:eastAsia="Arial" w:hAnsi="Arial"/>
          <w:sz w:val="24"/>
          <w:szCs w:val="24"/>
        </w:rPr>
        <w:t xml:space="preserve">Each of the twelve golden words is expanded recursively via a WordNet hypernym and hyponym traversal to a maximum depth of seven levels. Sparse entries (proper nouns, esoteric terms) become stub nodes enriched by domain-specific corpora. The closure search finds the lowest common hypernym (LCH) between every pair of vertex tries. The centroid is the mean of all pairwise LCH positions in the WordNet lattice.</w:t>
      </w:r>
    </w:p>
    <w:p>
      <w:pPr>
        <w:pStyle w:val="Heading2"/>
      </w:pPr>
      <w:r>
        <w:rPr>
          <w:rFonts w:ascii="Arial" w:cs="Arial" w:eastAsia="Arial" w:hAnsi="Arial"/>
          <w:b/>
          <w:bCs/>
          <w:sz w:val="28"/>
          <w:szCs w:val="28"/>
        </w:rPr>
        <w:t xml:space="preserve">5.2 Verifying the Negative Resolve Condition</w:t>
      </w:r>
    </w:p>
    <w:p>
      <w:pPr>
        <w:spacing w:after="160"/>
      </w:pPr>
      <w:r>
        <w:rPr>
          <w:rFonts w:ascii="Arial" w:cs="Arial" w:eastAsia="Arial" w:hAnsi="Arial"/>
          <w:sz w:val="24"/>
          <w:szCs w:val="24"/>
        </w:rPr>
        <w:t xml:space="preserve">The golden twelve are valid as a universal basis if and only if the sum of all twelve synset centroid vectors equals zero within a tolerance of ε = 0.01 (normalized). This is an empirically testable condition. Candidate sets that do not satisfy it are valid private bases but should not be proposed as protocol standards.</w:t>
      </w:r>
    </w:p>
    <w:p>
      <w:pPr>
        <w:pStyle w:val="Heading2"/>
      </w:pPr>
      <w:r>
        <w:rPr>
          <w:rFonts w:ascii="Arial" w:cs="Arial" w:eastAsia="Arial" w:hAnsi="Arial"/>
          <w:b/>
          <w:bCs/>
          <w:sz w:val="28"/>
          <w:szCs w:val="28"/>
        </w:rPr>
        <w:t xml:space="preserve">5.3 Encoding Documents</w:t>
      </w:r>
    </w:p>
    <w:p>
      <w:pPr>
        <w:spacing w:after="160"/>
      </w:pPr>
      <w:r>
        <w:rPr>
          <w:rFonts w:ascii="Arial" w:cs="Arial" w:eastAsia="Arial" w:hAnsi="Arial"/>
          <w:sz w:val="24"/>
          <w:szCs w:val="24"/>
        </w:rPr>
        <w:t xml:space="preserve">To encode a document in the protocol: extract all SPO triples using a dependency parser; for each triple, find the nearest icosahedron vertex to the subject, predicate, and object terms via WordNet LCH distance; compute (x, y, z, w) for the triple; store as a node in the semantic multigraph with its grid position in the 16x16 SharedArrayBuffer projection for real-time visualization.</w:t>
      </w:r>
    </w:p>
    <w:p>
      <w:pPr>
        <w:pStyle w:val="Heading2"/>
      </w:pPr>
      <w:r>
        <w:rPr>
          <w:rFonts w:ascii="Arial" w:cs="Arial" w:eastAsia="Arial" w:hAnsi="Arial"/>
          <w:b/>
          <w:bCs/>
          <w:sz w:val="28"/>
          <w:szCs w:val="28"/>
        </w:rPr>
        <w:t xml:space="preserve">5.4 Measuring Drift</w:t>
      </w:r>
    </w:p>
    <w:p>
      <w:pPr>
        <w:spacing w:after="160"/>
      </w:pPr>
      <w:r>
        <w:rPr>
          <w:rFonts w:ascii="Arial" w:cs="Arial" w:eastAsia="Arial" w:hAnsi="Arial"/>
          <w:sz w:val="24"/>
          <w:szCs w:val="24"/>
        </w:rPr>
        <w:t xml:space="preserve">Canonical drift (Platonic deviation) is the Euclidean distance from a triple's (x, y, z, w) position to the centroid (0, 0, 0, 0). Inter-document drift (Archimedean deviation) is the variance in predicate face assignments for the same noun across multiple documents. Intra-narrative drift (Catalan deviation) is the variance in vertex positions for the same noun across narrative positions within a single document.</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6. Summary — One Sentence</w:t>
      </w:r>
    </w:p>
    <w:p>
      <w:pPr>
        <w:spacing w:before="480" w:after="480"/>
        <w:jc w:val="center"/>
      </w:pPr>
      <w:r>
        <w:rPr>
          <w:rFonts w:ascii="Arial" w:cs="Arial" w:eastAsia="Arial" w:hAnsi="Arial"/>
          <w:b/>
          <w:bCs/>
          <w:i/>
          <w:iCs/>
          <w:color w:val="1F4E79"/>
          <w:sz w:val="28"/>
          <w:szCs w:val="28"/>
        </w:rPr>
        <w:t xml:space="preserve">Intent acts through Event to produce Incidence, and the centroid of all three is the meaning.</w:t>
      </w:r>
    </w:p>
    <w:p>
      <w:pPr>
        <w:spacing w:after="160"/>
      </w:pPr>
      <w:r>
        <w:rPr>
          <w:rFonts w:ascii="Arial" w:cs="Arial" w:eastAsia="Arial" w:hAnsi="Arial"/>
          <w:sz w:val="24"/>
          <w:szCs w:val="24"/>
        </w:rPr>
        <w:t xml:space="preserve">Every story, every computation, every SPO triple is an instance of this three-body structure. The icosahedron/dodecahedron geometry makes it enumerable. The Platonic/Archimedean/Catalan hierarchy makes drift measurable. The four-dimensional basis (x, y, z, w) makes it computable and distributable. The twelve golden words make it universal.</w:t>
      </w:r>
    </w:p>
    <w:p>
      <w:r>
        <w:t xml:space="preserve"/>
      </w:r>
    </w:p>
    <w:p>
      <w:pPr>
        <w:pBdr>
          <w:bottom w:val="single" w:color="2E75B6" w:sz="6" w:space="1"/>
        </w:pBdr>
      </w:pPr>
      <w:r>
        <w:t xml:space="preserve"/>
      </w:r>
    </w:p>
    <w:p>
      <w:r>
        <w:t xml:space="preserve"/>
      </w:r>
    </w:p>
    <w:p>
      <w:pPr>
        <w:jc w:val="center"/>
      </w:pPr>
      <w:r>
        <w:rPr>
          <w:rFonts w:ascii="Arial" w:cs="Arial" w:eastAsia="Arial" w:hAnsi="Arial"/>
          <w:i/>
          <w:iCs/>
          <w:color w:val="888888"/>
          <w:sz w:val="20"/>
          <w:szCs w:val="20"/>
        </w:rPr>
        <w:t xml:space="preserve">— End of Specification v0.1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Semantic Basis Protocol v0.1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2026-02-24T04:46:36.513Z</dcterms:created>
  <dcterms:modified xsi:type="dcterms:W3CDTF">2026-02-24T04:46:36.514Z</dcterms:modified>
</cp:coreProperties>
</file>

<file path=docProps/custom.xml><?xml version="1.0" encoding="utf-8"?>
<Properties xmlns="http://schemas.openxmlformats.org/officeDocument/2006/custom-properties" xmlns:vt="http://schemas.openxmlformats.org/officeDocument/2006/docPropsVTypes"/>
</file>