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he-omi-collapse"/>
    <w:p>
      <w:pPr>
        <w:pStyle w:val="Heading1"/>
      </w:pPr>
      <w:r>
        <w:t xml:space="preserve">The OMI Collapse</w:t>
      </w:r>
    </w:p>
    <w:bookmarkStart w:id="20" w:name="program-file-rewrite"/>
    <w:p>
      <w:pPr>
        <w:pStyle w:val="Heading2"/>
      </w:pPr>
      <w:r>
        <w:t xml:space="preserve">Program, File, Rewrite</w:t>
      </w:r>
    </w:p>
    <w:p>
      <w:pPr>
        <w:pStyle w:val="FirstParagraph"/>
      </w:pPr>
      <w:r>
        <w:t xml:space="preserve">Every mature computational doctrine collapses a distinction that earlier systems treated as fundamental.</w:t>
      </w:r>
    </w:p>
    <w:p>
      <w:pPr>
        <w:pStyle w:val="BodyText"/>
      </w:pPr>
      <w:r>
        <w:t xml:space="preserve">Lisp collapses program and object.</w:t>
      </w:r>
    </w:p>
    <w:p>
      <w:pPr>
        <w:pStyle w:val="BodyText"/>
      </w:pPr>
      <w:r>
        <w:t xml:space="preserve">POSIX collapses storage and communication.</w:t>
      </w:r>
    </w:p>
    <w:p>
      <w:pPr>
        <w:pStyle w:val="BodyText"/>
      </w:pPr>
      <w:r>
        <w:t xml:space="preserve">OMI collapses representation and interpretation.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Canonical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Lisp</w:t>
            </w:r>
          </w:p>
        </w:tc>
        <w:tc>
          <w:tcPr/>
          <w:p>
            <w:pPr>
              <w:pStyle w:val="Compact"/>
            </w:pPr>
            <w:r>
              <w:t xml:space="preserve">program ↔ object</w:t>
            </w:r>
          </w:p>
        </w:tc>
        <w:tc>
          <w:tcPr/>
          <w:p>
            <w:pPr>
              <w:pStyle w:val="Compact"/>
            </w:pPr>
            <w:r>
              <w:t xml:space="preserve">S-expression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POSIX</w:t>
            </w:r>
          </w:p>
        </w:tc>
        <w:tc>
          <w:tcPr/>
          <w:p>
            <w:pPr>
              <w:pStyle w:val="Compact"/>
            </w:pPr>
            <w:r>
              <w:t xml:space="preserve">storage ↔ communication</w:t>
            </w:r>
          </w:p>
        </w:tc>
        <w:tc>
          <w:tcPr/>
          <w:p>
            <w:pPr>
              <w:pStyle w:val="Compact"/>
            </w:pPr>
            <w:r>
              <w:t xml:space="preserve">file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</w:t>
            </w:r>
          </w:p>
        </w:tc>
        <w:tc>
          <w:tcPr/>
          <w:p>
            <w:pPr>
              <w:pStyle w:val="Compact"/>
            </w:pPr>
            <w:r>
              <w:t xml:space="preserve">representation ↔ interpretation</w:t>
            </w:r>
          </w:p>
        </w:tc>
        <w:tc>
          <w:tcPr/>
          <w:p>
            <w:pPr>
              <w:pStyle w:val="Compact"/>
            </w:pPr>
            <w:r>
              <w:t xml:space="preserve">rewrite surface</w:t>
            </w:r>
          </w:p>
        </w:tc>
      </w:tr>
    </w:tbl>
    <w:p>
      <w:pPr>
        <w:pStyle w:val="BodyText"/>
      </w:pPr>
      <w:r>
        <w:t xml:space="preserve">The OMI artifact is not a record, file, object, glyph, packet, or database row.</w:t>
      </w:r>
    </w:p>
    <w:p>
      <w:pPr>
        <w:pStyle w:val="BodyText"/>
      </w:pPr>
      <w:r>
        <w:t xml:space="preserve">The OMI artifact is the</w:t>
      </w:r>
      <w:r>
        <w:t xml:space="preserve"> </w:t>
      </w:r>
      <w:r>
        <w:rPr>
          <w:b/>
          <w:bCs/>
        </w:rPr>
        <w:t xml:space="preserve">rewrite surface</w:t>
      </w:r>
      <w:r>
        <w:t xml:space="preserve">: a bounded binary surface whose meaning is determined by the active interpretation.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distinction"/>
    <w:p>
      <w:pPr>
        <w:pStyle w:val="Heading2"/>
      </w:pPr>
      <w:r>
        <w:t xml:space="preserve">The Core Distinction</w:t>
      </w:r>
    </w:p>
    <w:p>
      <w:pPr>
        <w:pStyle w:val="FirstParagraph"/>
      </w:pPr>
      <w:r>
        <w:t xml:space="preserve">Traditional systems say:</w:t>
      </w:r>
    </w:p>
    <w:p>
      <w:pPr>
        <w:pStyle w:val="SourceCode"/>
      </w:pPr>
      <w:r>
        <w:rPr>
          <w:rStyle w:val="VerbatimChar"/>
        </w:rPr>
        <w:t xml:space="preserve">data changes</w:t>
      </w:r>
    </w:p>
    <w:p>
      <w:pPr>
        <w:pStyle w:val="FirstParagraph"/>
      </w:pPr>
      <w:r>
        <w:t xml:space="preserve">OMI says:</w:t>
      </w:r>
    </w:p>
    <w:p>
      <w:pPr>
        <w:pStyle w:val="SourceCode"/>
      </w:pPr>
      <w:r>
        <w:rPr>
          <w:rStyle w:val="VerbatimChar"/>
        </w:rPr>
        <w:t xml:space="preserve">the source remains; the reading changes</w:t>
      </w:r>
    </w:p>
    <w:p>
      <w:pPr>
        <w:pStyle w:val="FirstParagraph"/>
      </w:pPr>
      <w:r>
        <w:t xml:space="preserve">The same binary surface can be read as: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receipt</w:t>
      </w:r>
      <w:r>
        <w:br/>
      </w:r>
      <w:r>
        <w:rPr>
          <w:rStyle w:val="VerbatimChar"/>
        </w:rPr>
        <w:t xml:space="preserve">graph</w:t>
      </w:r>
      <w:r>
        <w:br/>
      </w:r>
      <w:r>
        <w:rPr>
          <w:rStyle w:val="VerbatimChar"/>
        </w:rPr>
        <w:t xml:space="preserve">nomogram</w:t>
      </w:r>
      <w:r>
        <w:br/>
      </w:r>
      <w:r>
        <w:rPr>
          <w:rStyle w:val="VerbatimChar"/>
        </w:rPr>
        <w:t xml:space="preserve">rewrite table</w:t>
      </w:r>
      <w:r>
        <w:br/>
      </w:r>
      <w:r>
        <w:rPr>
          <w:rStyle w:val="VerbatimChar"/>
        </w:rPr>
        <w:t xml:space="preserve">projection</w:t>
      </w:r>
    </w:p>
    <w:p>
      <w:pPr>
        <w:pStyle w:val="FirstParagraph"/>
      </w:pPr>
      <w:r>
        <w:t xml:space="preserve">The bits are not necessarily mutated.</w:t>
      </w:r>
    </w:p>
    <w:p>
      <w:pPr>
        <w:pStyle w:val="BodyText"/>
      </w:pPr>
      <w:r>
        <w:t xml:space="preserve">The interpretation surface is rewritten.</w:t>
      </w:r>
    </w:p>
    <w:p>
      <w:pPr>
        <w:pStyle w:val="BodyText"/>
      </w:pPr>
      <w:r>
        <w:t xml:space="preserve">That rewrite is computation.</w:t>
      </w:r>
    </w:p>
    <w:p>
      <w:r>
        <w:pict>
          <v:rect style="width:0;height:1.5pt" o:hralign="center" o:hrstd="t" o:hr="t"/>
        </w:pict>
      </w:r>
    </w:p>
    <w:bookmarkEnd w:id="21"/>
    <w:bookmarkStart w:id="22" w:name="notation-as-cipher"/>
    <w:p>
      <w:pPr>
        <w:pStyle w:val="Heading2"/>
      </w:pPr>
      <w:r>
        <w:t xml:space="preserve">Notation as Cipher</w:t>
      </w:r>
    </w:p>
    <w:p>
      <w:pPr>
        <w:pStyle w:val="FirstParagraph"/>
      </w:pPr>
      <w:r>
        <w:t xml:space="preserve">OMI’s shortest doctrine is:</w:t>
      </w:r>
    </w:p>
    <w:p>
      <w:pPr>
        <w:pStyle w:val="SourceCode"/>
      </w:pPr>
      <w:r>
        <w:rPr>
          <w:rStyle w:val="VerbatimChar"/>
        </w:rPr>
        <w:t xml:space="preserve">notation as cipher</w:t>
      </w:r>
      <w:r>
        <w:br/>
      </w:r>
      <w:r>
        <w:rPr>
          <w:rStyle w:val="VerbatimChar"/>
        </w:rPr>
        <w:t xml:space="preserve">cipher as notation</w:t>
      </w:r>
    </w:p>
    <w:p>
      <w:pPr>
        <w:pStyle w:val="FirstParagraph"/>
      </w:pPr>
      <w:r>
        <w:t xml:space="preserve">A notation is not merely a display convention.</w:t>
      </w:r>
    </w:p>
    <w:p>
      <w:pPr>
        <w:pStyle w:val="BodyText"/>
      </w:pPr>
      <w:r>
        <w:t xml:space="preserve">A notation is a rule for reading a binary surface.</w:t>
      </w:r>
    </w:p>
    <w:p>
      <w:pPr>
        <w:pStyle w:val="BodyText"/>
      </w:pPr>
      <w:r>
        <w:t xml:space="preserve">A cipher is not only a secrecy mechanism.</w:t>
      </w:r>
    </w:p>
    <w:p>
      <w:pPr>
        <w:pStyle w:val="BodyText"/>
      </w:pPr>
      <w:r>
        <w:t xml:space="preserve">A cipher is a structural transformation of interpretation.</w:t>
      </w:r>
    </w:p>
    <w:p>
      <w:pPr>
        <w:pStyle w:val="BodyText"/>
      </w:pPr>
      <w:r>
        <w:t xml:space="preserve">Therefore, in OMI:</w:t>
      </w:r>
    </w:p>
    <w:p>
      <w:pPr>
        <w:pStyle w:val="SourceCode"/>
      </w:pPr>
      <w:r>
        <w:rPr>
          <w:rStyle w:val="VerbatimChar"/>
        </w:rPr>
        <w:t xml:space="preserve">notation = declared cipher surface</w:t>
      </w:r>
      <w:r>
        <w:br/>
      </w:r>
      <w:r>
        <w:rPr>
          <w:rStyle w:val="VerbatimChar"/>
        </w:rPr>
        <w:t xml:space="preserve">cipher = operational notation surface</w:t>
      </w:r>
    </w:p>
    <w:p>
      <w:pPr>
        <w:pStyle w:val="FirstParagraph"/>
      </w:pPr>
      <w:r>
        <w:t xml:space="preserve">The purpose is not to hide meaning.</w:t>
      </w:r>
    </w:p>
    <w:p>
      <w:pPr>
        <w:pStyle w:val="BodyText"/>
      </w:pPr>
      <w:r>
        <w:t xml:space="preserve">The purpose is to declare a lawful reading.</w:t>
      </w:r>
    </w:p>
    <w:p>
      <w:r>
        <w:pict>
          <v:rect style="width:0;height:1.5pt" o:hralign="center" o:hrstd="t" o:hr="t"/>
        </w:pict>
      </w:r>
    </w:p>
    <w:bookmarkEnd w:id="22"/>
    <w:bookmarkStart w:id="23" w:name="control-codes-as-rewrite-operators"/>
    <w:p>
      <w:pPr>
        <w:pStyle w:val="Heading2"/>
      </w:pPr>
      <w:r>
        <w:t xml:space="preserve">Control Codes as Rewrite Operators</w:t>
      </w:r>
    </w:p>
    <w:p>
      <w:pPr>
        <w:pStyle w:val="FirstParagraph"/>
      </w:pPr>
      <w:r>
        <w:t xml:space="preserve">Traditional computing treats ASCII control codes as non-printing characters.</w:t>
      </w:r>
    </w:p>
    <w:p>
      <w:pPr>
        <w:pStyle w:val="BodyText"/>
      </w:pPr>
      <w:r>
        <w:t xml:space="preserve">OMI treats them as rewrite operators.</w:t>
      </w:r>
    </w:p>
    <w:p>
      <w:pPr>
        <w:pStyle w:val="SourceCode"/>
      </w:pPr>
      <w:r>
        <w:rPr>
          <w:rStyle w:val="VerbatimChar"/>
        </w:rPr>
        <w:t xml:space="preserve">0x00..0x1F</w:t>
      </w:r>
    </w:p>
    <w:p>
      <w:pPr>
        <w:pStyle w:val="FirstParagraph"/>
      </w:pPr>
      <w:r>
        <w:t xml:space="preserve">does not primarily mean</w:t>
      </w:r>
      <w:r>
        <w:t xml:space="preserve"> </w:t>
      </w:r>
      <w:r>
        <w:t xml:space="preserve">“invisible symbols.”</w:t>
      </w:r>
    </w:p>
    <w:p>
      <w:pPr>
        <w:pStyle w:val="BodyText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shift</w:t>
      </w:r>
      <w:r>
        <w:br/>
      </w:r>
      <w:r>
        <w:rPr>
          <w:rStyle w:val="VerbatimChar"/>
        </w:rPr>
        <w:t xml:space="preserve">escape</w:t>
      </w:r>
      <w:r>
        <w:br/>
      </w:r>
      <w:r>
        <w:rPr>
          <w:rStyle w:val="VerbatimChar"/>
        </w:rPr>
        <w:t xml:space="preserve">acknowledge</w:t>
      </w:r>
      <w:r>
        <w:br/>
      </w:r>
      <w:r>
        <w:rPr>
          <w:rStyle w:val="VerbatimChar"/>
        </w:rPr>
        <w:t xml:space="preserve">separate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advance</w:t>
      </w:r>
      <w:r>
        <w:br/>
      </w:r>
      <w:r>
        <w:rPr>
          <w:rStyle w:val="VerbatimChar"/>
        </w:rPr>
        <w:t xml:space="preserve">interrupt</w:t>
      </w:r>
      <w:r>
        <w:br/>
      </w: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incorporate</w:t>
      </w:r>
      <w:r>
        <w:br/>
      </w:r>
      <w:r>
        <w:rPr>
          <w:rStyle w:val="VerbatimChar"/>
        </w:rPr>
        <w:t xml:space="preserve">invalidate</w:t>
      </w:r>
    </w:p>
    <w:p>
      <w:pPr>
        <w:pStyle w:val="FirstParagraph"/>
      </w:pPr>
      <w:r>
        <w:t xml:space="preserve">These are not glyphs.</w:t>
      </w:r>
    </w:p>
    <w:p>
      <w:pPr>
        <w:pStyle w:val="BodyText"/>
      </w:pPr>
      <w:r>
        <w:t xml:space="preserve">They are interpretation transitions.</w:t>
      </w:r>
    </w:p>
    <w:p>
      <w:pPr>
        <w:pStyle w:val="BodyText"/>
      </w:pPr>
      <w:r>
        <w:t xml:space="preserve">They are cipher operators.</w:t>
      </w:r>
    </w:p>
    <w:p>
      <w:r>
        <w:pict>
          <v:rect style="width:0;height:1.5pt" o:hralign="center" o:hrstd="t" o:hr="t"/>
        </w:pict>
      </w:r>
    </w:p>
    <w:bookmarkEnd w:id="23"/>
    <w:bookmarkStart w:id="24" w:name="ascii-and-unicode-reinterpreted"/>
    <w:p>
      <w:pPr>
        <w:pStyle w:val="Heading2"/>
      </w:pPr>
      <w:r>
        <w:t xml:space="preserve">ASCII and Unicode Reinterpreted</w:t>
      </w:r>
    </w:p>
    <w:p>
      <w:pPr>
        <w:pStyle w:val="FirstParagraph"/>
      </w:pPr>
      <w:r>
        <w:t xml:space="preserve">Traditional view:</w:t>
      </w:r>
    </w:p>
    <w:p>
      <w:pPr>
        <w:pStyle w:val="SourceCode"/>
      </w:pPr>
      <w:r>
        <w:rPr>
          <w:rStyle w:val="VerbatimChar"/>
        </w:rPr>
        <w:t xml:space="preserve">ASCII = lookup table</w:t>
      </w:r>
      <w:r>
        <w:br/>
      </w:r>
      <w:r>
        <w:rPr>
          <w:rStyle w:val="VerbatimChar"/>
        </w:rPr>
        <w:t xml:space="preserve">Unicode = character set</w:t>
      </w:r>
    </w:p>
    <w:p>
      <w:pPr>
        <w:pStyle w:val="FirstParagraph"/>
      </w:pPr>
      <w:r>
        <w:t xml:space="preserve">OMI view:</w:t>
      </w:r>
    </w:p>
    <w:p>
      <w:pPr>
        <w:pStyle w:val="SourceCode"/>
      </w:pPr>
      <w:r>
        <w:rPr>
          <w:rStyle w:val="VerbatimChar"/>
        </w:rPr>
        <w:t xml:space="preserve">ASCII = incidence geometry</w:t>
      </w:r>
      <w:r>
        <w:br/>
      </w:r>
      <w:r>
        <w:rPr>
          <w:rStyle w:val="VerbatimChar"/>
        </w:rPr>
        <w:t xml:space="preserve">Unicode = rewrite manifold</w:t>
      </w:r>
    </w:p>
    <w:p>
      <w:pPr>
        <w:pStyle w:val="FirstParagraph"/>
      </w:pPr>
      <w:r>
        <w:t xml:space="preserve">Rows, columns, planes, private-use regions, sentinels, surrogates, and control ranges are not only storage ranges.</w:t>
      </w:r>
    </w:p>
    <w:p>
      <w:pPr>
        <w:pStyle w:val="BodyText"/>
      </w:pPr>
      <w:r>
        <w:t xml:space="preserve">They are possible interpretation boundaries.</w:t>
      </w:r>
    </w:p>
    <w:p>
      <w:pPr>
        <w:pStyle w:val="BodyText"/>
      </w:pPr>
      <w:r>
        <w:t xml:space="preserve">A codepoint is not only a character.</w:t>
      </w:r>
    </w:p>
    <w:p>
      <w:pPr>
        <w:pStyle w:val="BodyText"/>
      </w:pPr>
      <w:r>
        <w:t xml:space="preserve">A codepoint may be:</w:t>
      </w:r>
    </w:p>
    <w:p>
      <w:pPr>
        <w:pStyle w:val="SourceCode"/>
      </w:pPr>
      <w:r>
        <w:rPr>
          <w:rStyle w:val="VerbatimChar"/>
        </w:rPr>
        <w:t xml:space="preserve">point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selector</w:t>
      </w:r>
      <w:r>
        <w:br/>
      </w:r>
      <w:r>
        <w:rPr>
          <w:rStyle w:val="VerbatimChar"/>
        </w:rPr>
        <w:t xml:space="preserve">boundary</w:t>
      </w:r>
      <w:r>
        <w:br/>
      </w:r>
      <w:r>
        <w:rPr>
          <w:rStyle w:val="VerbatimChar"/>
        </w:rPr>
        <w:t xml:space="preserve">sentinel</w:t>
      </w:r>
      <w:r>
        <w:br/>
      </w:r>
      <w:r>
        <w:rPr>
          <w:rStyle w:val="VerbatimChar"/>
        </w:rPr>
        <w:t xml:space="preserve">carrier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closure witness</w:t>
      </w:r>
    </w:p>
    <w:p>
      <w:pPr>
        <w:pStyle w:val="FirstParagraph"/>
      </w:pPr>
      <w:r>
        <w:t xml:space="preserve">Thus character space becomes rewrite space.</w:t>
      </w:r>
    </w:p>
    <w:p>
      <w:r>
        <w:pict>
          <v:rect style="width:0;height:1.5pt" o:hralign="center" o:hrstd="t" o:hr="t"/>
        </w:pict>
      </w:r>
    </w:p>
    <w:bookmarkEnd w:id="24"/>
    <w:bookmarkStart w:id="25" w:name="the-arithmetic-of-closure"/>
    <w:p>
      <w:pPr>
        <w:pStyle w:val="Heading2"/>
      </w:pPr>
      <w:r>
        <w:t xml:space="preserve">The Arithmetic of Closure</w:t>
      </w:r>
    </w:p>
    <w:p>
      <w:pPr>
        <w:pStyle w:val="FirstParagraph"/>
      </w:pPr>
      <w:r>
        <w:t xml:space="preserve">OMI begins from finite wheels.</w:t>
      </w:r>
    </w:p>
    <w:p>
      <w:pPr>
        <w:pStyle w:val="BodyText"/>
      </w:pPr>
      <w:r>
        <w:t xml:space="preserve">A 4-bit wheel has:</w:t>
      </w:r>
    </w:p>
    <w:p>
      <w:pPr>
        <w:pStyle w:val="SourceCode"/>
      </w:pPr>
      <w:r>
        <w:rPr>
          <w:rStyle w:val="VerbatimChar"/>
        </w:rPr>
        <w:t xml:space="preserve">16 states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15 active states + 1 closure state</w:t>
      </w:r>
    </w:p>
    <w:p>
      <w:pPr>
        <w:pStyle w:val="FirstParagraph"/>
      </w:pPr>
      <w:r>
        <w:t xml:space="preserve">This is the canonical:</w:t>
      </w:r>
    </w:p>
    <w:p>
      <w:pPr>
        <w:pStyle w:val="SourceCode"/>
      </w:pPr>
      <w:r>
        <w:rPr>
          <w:rStyle w:val="VerbatimChar"/>
        </w:rPr>
        <w:t xml:space="preserve">15-of-16</w:t>
      </w:r>
    </w:p>
    <w:p>
      <w:pPr>
        <w:pStyle w:val="FirstParagraph"/>
      </w:pPr>
      <w:r>
        <w:t xml:space="preserve">A 3-bit wheel has:</w:t>
      </w:r>
    </w:p>
    <w:p>
      <w:pPr>
        <w:pStyle w:val="SourceCode"/>
      </w:pPr>
      <w:r>
        <w:rPr>
          <w:rStyle w:val="VerbatimChar"/>
        </w:rPr>
        <w:t xml:space="preserve">8 states</w:t>
      </w:r>
    </w:p>
    <w:p>
      <w:pPr>
        <w:pStyle w:val="FirstParagraph"/>
      </w:pPr>
      <w:r>
        <w:t xml:space="preserve">OMI reads this as:</w:t>
      </w:r>
    </w:p>
    <w:p>
      <w:pPr>
        <w:pStyle w:val="SourceCode"/>
      </w:pPr>
      <w:r>
        <w:rPr>
          <w:rStyle w:val="VerbatimChar"/>
        </w:rPr>
        <w:t xml:space="preserve">7 active states + 1 closure state</w:t>
      </w:r>
    </w:p>
    <w:p>
      <w:pPr>
        <w:pStyle w:val="FirstParagraph"/>
      </w:pPr>
      <w:r>
        <w:t xml:space="preserve">This is the canonical:</w:t>
      </w:r>
    </w:p>
    <w:p>
      <w:pPr>
        <w:pStyle w:val="SourceCode"/>
      </w:pPr>
      <w:r>
        <w:rPr>
          <w:rStyle w:val="VerbatimChar"/>
        </w:rPr>
        <w:t xml:space="preserve">7-of-8</w:t>
      </w:r>
    </w:p>
    <w:p>
      <w:pPr>
        <w:pStyle w:val="FirstParagraph"/>
      </w:pPr>
      <w:r>
        <w:t xml:space="preserve">The missing state is not lost.</w:t>
      </w:r>
    </w:p>
    <w:p>
      <w:pPr>
        <w:pStyle w:val="BodyText"/>
      </w:pPr>
      <w:r>
        <w:t xml:space="preserve">It is the projective center.</w:t>
      </w:r>
    </w:p>
    <w:p>
      <w:pPr>
        <w:pStyle w:val="BodyText"/>
      </w:pPr>
      <w:r>
        <w:t xml:space="preserve">The closure state is both: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reset</w:t>
      </w:r>
      <w:r>
        <w:br/>
      </w:r>
      <w:r>
        <w:rPr>
          <w:rStyle w:val="VerbatimChar"/>
        </w:rPr>
        <w:t xml:space="preserve">witness</w:t>
      </w:r>
    </w:p>
    <w:p>
      <w:pPr>
        <w:pStyle w:val="FirstParagraph"/>
      </w:pPr>
      <w:r>
        <w:t xml:space="preserve">It is the point where the wheel folds back into itself.</w:t>
      </w:r>
    </w:p>
    <w:p>
      <w:r>
        <w:pict>
          <v:rect style="width:0;height:1.5pt" o:hralign="center" o:hrstd="t" o:hr="t"/>
        </w:pict>
      </w:r>
    </w:p>
    <w:bookmarkEnd w:id="25"/>
    <w:bookmarkStart w:id="26" w:name="rotation-preserves-what-shift-discards"/>
    <w:p>
      <w:pPr>
        <w:pStyle w:val="Heading2"/>
      </w:pPr>
      <w:r>
        <w:t xml:space="preserve">Rotation Preserves What Shift Discards</w:t>
      </w:r>
    </w:p>
    <w:p>
      <w:pPr>
        <w:pStyle w:val="FirstParagraph"/>
      </w:pPr>
      <w:r>
        <w:t xml:space="preserve">Traditional bit manipulation often uses shifts.</w:t>
      </w:r>
    </w:p>
    <w:p>
      <w:pPr>
        <w:pStyle w:val="BodyText"/>
      </w:pPr>
      <w:r>
        <w:t xml:space="preserve">A shift discards information.</w:t>
      </w:r>
    </w:p>
    <w:p>
      <w:pPr>
        <w:pStyle w:val="BodyText"/>
      </w:pPr>
      <w:r>
        <w:t xml:space="preserve">OMI uses rotations.</w:t>
      </w:r>
    </w:p>
    <w:p>
      <w:pPr>
        <w:pStyle w:val="BodyText"/>
      </w:pPr>
      <w:r>
        <w:t xml:space="preserve">A rotation preserves information.</w:t>
      </w:r>
    </w:p>
    <w:p>
      <w:pPr>
        <w:pStyle w:val="BodyText"/>
      </w:pPr>
      <w:r>
        <w:t xml:space="preserve">The state does not fall off the edge.</w:t>
      </w:r>
    </w:p>
    <w:p>
      <w:pPr>
        <w:pStyle w:val="BodyText"/>
      </w:pPr>
      <w:r>
        <w:t xml:space="preserve">The state moves around the wheel.</w:t>
      </w:r>
    </w:p>
    <w:p>
      <w:pPr>
        <w:pStyle w:val="BodyText"/>
      </w:pPr>
      <w:r>
        <w:t xml:space="preserve">The canonical motion law is:</w:t>
      </w:r>
    </w:p>
    <w:p>
      <w:pPr>
        <w:pStyle w:val="SourceCode"/>
      </w:pPr>
      <w:r>
        <w:rPr>
          <w:rStyle w:val="VerbatimChar"/>
        </w:rPr>
        <w:t xml:space="preserve">ΔC(x) = rotl(x,1) ⊕ rotl(x,3) ⊕ rotr(x,2) ⊕ C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C = carried closure of the orbit</w:t>
      </w:r>
    </w:p>
    <w:p>
      <w:pPr>
        <w:pStyle w:val="FirstParagraph"/>
      </w:pPr>
      <w:r>
        <w:t xml:space="preserve">The closure variable is not just a constant.</w:t>
      </w:r>
    </w:p>
    <w:p>
      <w:pPr>
        <w:pStyle w:val="BodyText"/>
      </w:pPr>
      <w:r>
        <w:t xml:space="preserve">It is the witness left by the previous rewrite.</w:t>
      </w:r>
    </w:p>
    <w:p>
      <w:pPr>
        <w:pStyle w:val="BodyText"/>
      </w:pPr>
      <w:r>
        <w:t xml:space="preserve">Every orbit contributes to future interpretation.</w:t>
      </w:r>
    </w:p>
    <w:p>
      <w:pPr>
        <w:pStyle w:val="BodyText"/>
      </w:pPr>
      <w:r>
        <w:t xml:space="preserve">Memory is accumulated closure.</w:t>
      </w:r>
    </w:p>
    <w:p>
      <w:r>
        <w:pict>
          <v:rect style="width:0;height:1.5pt" o:hralign="center" o:hrstd="t" o:hr="t"/>
        </w:pict>
      </w:r>
    </w:p>
    <w:bookmarkEnd w:id="26"/>
    <w:bookmarkStart w:id="27" w:name="rewrite-registered-at-address"/>
    <w:p>
      <w:pPr>
        <w:pStyle w:val="Heading2"/>
      </w:pPr>
      <w:r>
        <w:t xml:space="preserve">Rewrite Registered at Address</w:t>
      </w:r>
    </w:p>
    <w:p>
      <w:pPr>
        <w:pStyle w:val="FirstParagraph"/>
      </w:pPr>
      <w:r>
        <w:t xml:space="preserve">Traditional memory says:</w:t>
      </w:r>
    </w:p>
    <w:p>
      <w:pPr>
        <w:pStyle w:val="SourceCode"/>
      </w:pPr>
      <w:r>
        <w:rPr>
          <w:rStyle w:val="VerbatimChar"/>
        </w:rPr>
        <w:t xml:space="preserve">address → stored value</w:t>
      </w:r>
    </w:p>
    <w:p>
      <w:pPr>
        <w:pStyle w:val="FirstParagraph"/>
      </w:pPr>
      <w:r>
        <w:t xml:space="preserve">OMI says:</w:t>
      </w:r>
    </w:p>
    <w:p>
      <w:pPr>
        <w:pStyle w:val="SourceCode"/>
      </w:pPr>
      <w:r>
        <w:rPr>
          <w:rStyle w:val="VerbatimChar"/>
        </w:rPr>
        <w:t xml:space="preserve">address → registered rewrite</w:t>
      </w:r>
    </w:p>
    <w:p>
      <w:pPr>
        <w:pStyle w:val="FirstParagraph"/>
      </w:pPr>
      <w:r>
        <w:t xml:space="preserve">An OMI address does not merely locate data.</w:t>
      </w:r>
    </w:p>
    <w:p>
      <w:pPr>
        <w:pStyle w:val="BodyText"/>
      </w:pPr>
      <w:r>
        <w:t xml:space="preserve">It locates a lawful transformation of interpretation.</w:t>
      </w:r>
    </w:p>
    <w:p>
      <w:pPr>
        <w:pStyle w:val="BodyText"/>
      </w:pPr>
      <w:r>
        <w:t xml:space="preserve">The object is not the value stored at an address.</w:t>
      </w:r>
    </w:p>
    <w:p>
      <w:pPr>
        <w:pStyle w:val="BodyText"/>
      </w:pPr>
      <w:r>
        <w:t xml:space="preserve">The object is the receipted rewrite registered at that address.</w:t>
      </w:r>
    </w:p>
    <w:p>
      <w:r>
        <w:pict>
          <v:rect style="width:0;height:1.5pt" o:hralign="center" o:hrstd="t" o:hr="t"/>
        </w:pict>
      </w:r>
    </w:p>
    <w:bookmarkEnd w:id="27"/>
    <w:bookmarkStart w:id="28" w:name="projection-is-not-authority"/>
    <w:p>
      <w:pPr>
        <w:pStyle w:val="Heading2"/>
      </w:pPr>
      <w:r>
        <w:t xml:space="preserve">Projection Is Not Authority</w:t>
      </w:r>
    </w:p>
    <w:p>
      <w:pPr>
        <w:pStyle w:val="FirstParagraph"/>
      </w:pPr>
      <w:r>
        <w:t xml:space="preserve">A projection may show:</w:t>
      </w:r>
    </w:p>
    <w:p>
      <w:pPr>
        <w:pStyle w:val="SourceCode"/>
      </w:pPr>
      <w:r>
        <w:rPr>
          <w:rStyle w:val="VerbatimChar"/>
        </w:rPr>
        <w:t xml:space="preserve">glyph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graph</w:t>
      </w:r>
      <w:r>
        <w:br/>
      </w:r>
      <w:r>
        <w:rPr>
          <w:rStyle w:val="VerbatimChar"/>
        </w:rPr>
        <w:t xml:space="preserve">DOM node</w:t>
      </w:r>
      <w:r>
        <w:br/>
      </w:r>
      <w:r>
        <w:rPr>
          <w:rStyle w:val="VerbatimChar"/>
        </w:rPr>
        <w:t xml:space="preserve">CSS transform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emoji</w:t>
      </w:r>
      <w:r>
        <w:br/>
      </w:r>
      <w:r>
        <w:rPr>
          <w:rStyle w:val="VerbatimChar"/>
        </w:rPr>
        <w:t xml:space="preserve">canvas object</w:t>
      </w:r>
      <w:r>
        <w:br/>
      </w:r>
      <w:r>
        <w:rPr>
          <w:rStyle w:val="VerbatimChar"/>
        </w:rPr>
        <w:t xml:space="preserve">portal view</w:t>
      </w:r>
    </w:p>
    <w:p>
      <w:pPr>
        <w:pStyle w:val="FirstParagraph"/>
      </w:pPr>
      <w:r>
        <w:t xml:space="preserve">But projection is not authority.</w:t>
      </w:r>
    </w:p>
    <w:p>
      <w:pPr>
        <w:pStyle w:val="BodyText"/>
      </w:pPr>
      <w:r>
        <w:t xml:space="preserve">The reader may recognize a projection.</w:t>
      </w:r>
    </w:p>
    <w:p>
      <w:pPr>
        <w:pStyle w:val="BodyText"/>
      </w:pPr>
      <w:r>
        <w:t xml:space="preserve">The resolver may promote a projection.</w:t>
      </w:r>
    </w:p>
    <w:p>
      <w:pPr>
        <w:pStyle w:val="BodyText"/>
      </w:pPr>
      <w:r>
        <w:t xml:space="preserve">Only receipt accepts lawful interpretation.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reader recognizes</w:t>
      </w:r>
      <w:r>
        <w:br/>
      </w:r>
      <w:r>
        <w:rPr>
          <w:rStyle w:val="VerbatimChar"/>
        </w:rPr>
        <w:t xml:space="preserve">resolver promotes</w:t>
      </w:r>
      <w:r>
        <w:br/>
      </w:r>
      <w:r>
        <w:rPr>
          <w:rStyle w:val="VerbatimChar"/>
        </w:rPr>
        <w:t xml:space="preserve">receipt accepts</w:t>
      </w:r>
    </w:p>
    <w:p>
      <w:pPr>
        <w:pStyle w:val="FirstParagraph"/>
      </w:pPr>
      <w:r>
        <w:t xml:space="preserve">This prevents rendered appearance from becoming false authority.</w:t>
      </w:r>
    </w:p>
    <w:p>
      <w:r>
        <w:pict>
          <v:rect style="width:0;height:1.5pt" o:hralign="center" o:hrstd="t" o:hr="t"/>
        </w:pict>
      </w:r>
    </w:p>
    <w:bookmarkEnd w:id="28"/>
    <w:bookmarkStart w:id="29" w:name="the-omi-collapse-1"/>
    <w:p>
      <w:pPr>
        <w:pStyle w:val="Heading2"/>
      </w:pPr>
      <w:r>
        <w:t xml:space="preserve">The OMI Collapse</w:t>
      </w:r>
    </w:p>
    <w:p>
      <w:pPr>
        <w:pStyle w:val="FirstParagraph"/>
      </w:pPr>
      <w:r>
        <w:t xml:space="preserve">Lisp discovered that program and object are the same surface under different readings.</w:t>
      </w:r>
    </w:p>
    <w:p>
      <w:pPr>
        <w:pStyle w:val="BodyText"/>
      </w:pPr>
      <w:r>
        <w:t xml:space="preserve">POSIX discovered that storage and communication are the same surface under different handles.</w:t>
      </w:r>
    </w:p>
    <w:p>
      <w:pPr>
        <w:pStyle w:val="BodyText"/>
      </w:pPr>
      <w:r>
        <w:t xml:space="preserve">OMI discovers that representation and interpretation are the same binary surface under different rewrite routes.</w:t>
      </w:r>
    </w:p>
    <w:p>
      <w:pPr>
        <w:pStyle w:val="BodyText"/>
      </w:pPr>
      <w:r>
        <w:t xml:space="preserve">The same surface can be notation.</w:t>
      </w:r>
    </w:p>
    <w:p>
      <w:pPr>
        <w:pStyle w:val="BodyText"/>
      </w:pPr>
      <w:r>
        <w:t xml:space="preserve">The same surface can be cipher.</w:t>
      </w:r>
    </w:p>
    <w:p>
      <w:pPr>
        <w:pStyle w:val="BodyText"/>
      </w:pPr>
      <w:r>
        <w:t xml:space="preserve">The distinction is not in the bits.</w:t>
      </w:r>
    </w:p>
    <w:p>
      <w:pPr>
        <w:pStyle w:val="BodyText"/>
      </w:pPr>
      <w:r>
        <w:t xml:space="preserve">The distinction is in the active reading.</w:t>
      </w:r>
    </w:p>
    <w:p>
      <w:r>
        <w:pict>
          <v:rect style="width:0;height:1.5pt" o:hralign="center" o:hrstd="t" o:hr="t"/>
        </w:pict>
      </w:r>
    </w:p>
    <w:bookmarkEnd w:id="29"/>
    <w:bookmarkStart w:id="30" w:name="one-line-canon"/>
    <w:p>
      <w:pPr>
        <w:pStyle w:val="Heading2"/>
      </w:pPr>
      <w:r>
        <w:t xml:space="preserve">One-Line Canon</w:t>
      </w:r>
    </w:p>
    <w:p>
      <w:pPr>
        <w:pStyle w:val="FirstParagraph"/>
      </w:pPr>
      <w:r>
        <w:t xml:space="preserve">Lisp collapsed program and object. POSIX collapsed storage and communication. OMI collapses representation and interpretation: the same binary surface is both notation and cipher, distinguished only by the active reading, because computation is the rewrite of interpretation, not the mutation of data.</w:t>
      </w:r>
    </w:p>
    <w:p>
      <w:r>
        <w:pict>
          <v:rect style="width:0;height:1.5pt" o:hralign="center" o:hrstd="t" o:hr="t"/>
        </w:pict>
      </w:r>
    </w:p>
    <w:bookmarkEnd w:id="30"/>
    <w:bookmarkStart w:id="31" w:name="shortest-form"/>
    <w:p>
      <w:pPr>
        <w:pStyle w:val="Heading2"/>
      </w:pPr>
      <w:r>
        <w:t xml:space="preserve">Shortest Form</w:t>
      </w:r>
    </w:p>
    <w:p>
      <w:pPr>
        <w:pStyle w:val="SourceCode"/>
      </w:pPr>
      <w:r>
        <w:rPr>
          <w:rStyle w:val="VerbatimChar"/>
        </w:rPr>
        <w:t xml:space="preserve">OMI is notation as cipher and cipher as notation.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2026-06-12T16:13:46Z</dcterms:created>
  <dcterms:modified xsi:type="dcterms:W3CDTF">2026-06-12T16:13:46Z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