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edc1b98a1e7c66ece4fb3823890e98bce6100d"/>
    <w:p>
      <w:pPr>
        <w:pStyle w:val="Heading1"/>
      </w:pPr>
      <w:r>
        <w:t xml:space="preserve">LL as Ket: Scope Selection and the Folded 0xE_ Manifold</w:t>
      </w:r>
    </w:p>
    <w:bookmarkStart w:id="20" w:name="purpose"/>
    <w:p>
      <w:pPr>
        <w:pStyle w:val="Heading2"/>
      </w:pPr>
      <w:r>
        <w:t xml:space="preserve">0. Purpose</w:t>
      </w:r>
    </w:p>
    <w:p>
      <w:pPr>
        <w:pStyle w:val="FirstParagraph"/>
      </w:pPr>
      <w:r>
        <w:t xml:space="preserve">This document defines the role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inside the OMI truth row.</w:t>
      </w:r>
    </w:p>
    <w:p>
      <w:pPr>
        <w:pStyle w:val="BodyText"/>
      </w:pPr>
      <w:r>
        <w:t xml:space="preserve">The truth row is: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Earlier descriptions treated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mainly as a lens or modulator. That remains correct, but the completed</w:t>
      </w:r>
      <w:r>
        <w:t xml:space="preserve"> </w:t>
      </w:r>
      <w:r>
        <w:rPr>
          <w:rStyle w:val="VerbatimChar"/>
        </w:rPr>
        <w:t xml:space="preserve">0xE_</w:t>
      </w:r>
      <w:r>
        <w:t xml:space="preserve"> </w:t>
      </w:r>
      <w:r>
        <w:t xml:space="preserve">execution band gives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a sharper role:</w:t>
      </w:r>
    </w:p>
    <w:p>
      <w:pPr>
        <w:pStyle w:val="SourceCode"/>
      </w:pPr>
      <w:r>
        <w:rPr>
          <w:rStyle w:val="VerbatimChar"/>
        </w:rPr>
        <w:t xml:space="preserve">LL is the ket-like scope selector of the frame.</w:t>
      </w:r>
    </w:p>
    <w:p>
      <w:pPr>
        <w:pStyle w:val="FirstParagraph"/>
      </w:pPr>
      <w:r>
        <w:t xml:space="preserve">It does not contain the object.</w:t>
      </w:r>
    </w:p>
    <w:p>
      <w:pPr>
        <w:pStyle w:val="BodyText"/>
      </w:pPr>
      <w:r>
        <w:t xml:space="preserve">It does not contain geometry.</w:t>
      </w:r>
    </w:p>
    <w:p>
      <w:pPr>
        <w:pStyle w:val="BodyText"/>
      </w:pPr>
      <w:r>
        <w:t xml:space="preserve">It does not contain application policy.</w:t>
      </w:r>
    </w:p>
    <w:p>
      <w:pPr>
        <w:pStyle w:val="BodyText"/>
      </w:pPr>
      <w:r>
        <w:t xml:space="preserve">It selects how a proven transition lands inside the accepted execution manifold.</w:t>
      </w:r>
    </w:p>
    <w:p>
      <w:pPr>
        <w:pStyle w:val="BodyText"/>
      </w:pPr>
      <w:r>
        <w:t xml:space="preserve">In OMI terms:</w:t>
      </w:r>
    </w:p>
    <w:p>
      <w:pPr>
        <w:pStyle w:val="SourceCode"/>
      </w:pPr>
      <w:r>
        <w:rPr>
          <w:rStyle w:val="VerbatimChar"/>
        </w:rPr>
        <w:t xml:space="preserve">LL scopes.</w:t>
      </w:r>
      <w:r>
        <w:br/>
      </w: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authorizes.</w:t>
      </w:r>
      <w:r>
        <w:br/>
      </w:r>
      <w:r>
        <w:rPr>
          <w:rStyle w:val="VerbatimChar"/>
        </w:rPr>
        <w:t xml:space="preserve">Rule block materializes.</w:t>
      </w:r>
      <w:r>
        <w:br/>
      </w:r>
      <w:r>
        <w:rPr>
          <w:rStyle w:val="VerbatimChar"/>
        </w:rPr>
        <w:t xml:space="preserve">Projection displays.</w:t>
      </w:r>
    </w:p>
    <w:p>
      <w:r>
        <w:pict>
          <v:rect style="width:0;height:1.5pt" o:hralign="center" o:hrstd="t" o:hr="t"/>
        </w:pict>
      </w:r>
    </w:p>
    <w:bookmarkEnd w:id="20"/>
    <w:bookmarkStart w:id="21" w:name="the-truth-row"/>
    <w:p>
      <w:pPr>
        <w:pStyle w:val="Heading2"/>
      </w:pPr>
      <w:r>
        <w:t xml:space="preserve">1. The Truth Row</w:t>
      </w:r>
    </w:p>
    <w:p>
      <w:pPr>
        <w:pStyle w:val="FirstParagraph"/>
      </w:pPr>
      <w:r>
        <w:t xml:space="preserve">Every accepted OMI frame yields one truth row: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LL = scope / lens / ket selector</w:t>
      </w:r>
      <w:r>
        <w:br/>
      </w:r>
      <w:r>
        <w:rPr>
          <w:rStyle w:val="VerbatimChar"/>
        </w:rPr>
        <w:t xml:space="preserve">NN = antecedent state</w:t>
      </w:r>
      <w:r>
        <w:br/>
      </w:r>
      <w:r>
        <w:rPr>
          <w:rStyle w:val="VerbatimChar"/>
        </w:rPr>
        <w:t xml:space="preserve">MM = consequent state</w:t>
      </w:r>
    </w:p>
    <w:p>
      <w:pPr>
        <w:pStyle w:val="FirstParagraph"/>
      </w:pPr>
      <w:r>
        <w:t xml:space="preserve">The transition being proven is:</w:t>
      </w:r>
    </w:p>
    <w:p>
      <w:pPr>
        <w:pStyle w:val="SourceCode"/>
      </w:pPr>
      <w:r>
        <w:rPr>
          <w:rStyle w:val="VerbatimChar"/>
        </w:rPr>
        <w:t xml:space="preserve">NN -&gt; MM</w:t>
      </w:r>
    </w:p>
    <w:p>
      <w:pPr>
        <w:pStyle w:val="FirstParagraph"/>
      </w:pPr>
      <w:r>
        <w:t xml:space="preserve">That transition is not accepted because it renders, parses, or appears in a portal.</w:t>
      </w:r>
    </w:p>
    <w:p>
      <w:pPr>
        <w:pStyle w:val="BodyText"/>
      </w:pPr>
      <w:r>
        <w:t xml:space="preserve">It is accepted only when:</w:t>
      </w:r>
    </w:p>
    <w:p>
      <w:pPr>
        <w:pStyle w:val="SourceCode"/>
      </w:pPr>
      <w:r>
        <w:rPr>
          <w:rStyle w:val="VerbatimChar"/>
        </w:rPr>
        <w:t xml:space="preserve">Q_frame(S) = 0</w:t>
      </w:r>
      <w:r>
        <w:br/>
      </w:r>
      <w:r>
        <w:rPr>
          <w:rStyle w:val="VerbatimChar"/>
        </w:rPr>
        <w:t xml:space="preserve">Delta/Fano resolves NN -&gt; MM</w:t>
      </w:r>
      <w:r>
        <w:br/>
      </w:r>
      <w:r>
        <w:rPr>
          <w:rStyle w:val="VerbatimChar"/>
        </w:rPr>
        <w:t xml:space="preserve">receipt records the accepted envelope</w:t>
      </w:r>
    </w:p>
    <w:p>
      <w:pPr>
        <w:pStyle w:val="FirstParagraph"/>
      </w:pPr>
      <w:r>
        <w:t xml:space="preserve">After that,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determines where the accepted transition materializes.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NN/MM prove the transition.</w:t>
      </w:r>
      <w:r>
        <w:br/>
      </w:r>
      <w:r>
        <w:rPr>
          <w:rStyle w:val="VerbatimChar"/>
        </w:rPr>
        <w:t xml:space="preserve">LL routes the accepted transition.</w:t>
      </w:r>
    </w:p>
    <w:p>
      <w:r>
        <w:pict>
          <v:rect style="width:0;height:1.5pt" o:hralign="center" o:hrstd="t" o:hr="t"/>
        </w:pict>
      </w:r>
    </w:p>
    <w:bookmarkEnd w:id="21"/>
    <w:bookmarkStart w:id="22" w:name="ll-as-ket"/>
    <w:p>
      <w:pPr>
        <w:pStyle w:val="Heading2"/>
      </w:pPr>
      <w:r>
        <w:t xml:space="preserve">2. LL as Ket</w:t>
      </w:r>
    </w:p>
    <w:p>
      <w:pPr>
        <w:pStyle w:val="FirstParagraph"/>
      </w:pPr>
      <w:r>
        <w:t xml:space="preserve">In quantum notation, a ket such as:</w:t>
      </w:r>
    </w:p>
    <w:p>
      <w:pPr>
        <w:pStyle w:val="SourceCode"/>
      </w:pPr>
      <w:r>
        <w:rPr>
          <w:rStyle w:val="VerbatimChar"/>
        </w:rPr>
        <w:t xml:space="preserve">|ψ⟩</w:t>
      </w:r>
    </w:p>
    <w:p>
      <w:pPr>
        <w:pStyle w:val="FirstParagraph"/>
      </w:pPr>
      <w:r>
        <w:t xml:space="preserve">represents a state vector.</w:t>
      </w:r>
    </w:p>
    <w:p>
      <w:pPr>
        <w:pStyle w:val="BodyText"/>
      </w:pPr>
      <w:r>
        <w:t xml:space="preserve">OMI does not need to import quantum mechanics literally, but the analogy is useful.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behaves like a small bounded ket:</w:t>
      </w:r>
    </w:p>
    <w:p>
      <w:pPr>
        <w:pStyle w:val="SourceCode"/>
      </w:pPr>
      <w:r>
        <w:rPr>
          <w:rStyle w:val="VerbatimChar"/>
        </w:rPr>
        <w:t xml:space="preserve">|LL⟩</w:t>
      </w:r>
    </w:p>
    <w:p>
      <w:pPr>
        <w:pStyle w:val="FirstParagraph"/>
      </w:pPr>
      <w:r>
        <w:t xml:space="preserve">It is the selector state that scopes how the frame is encountered by the materializer.</w:t>
      </w:r>
    </w:p>
    <w:p>
      <w:pPr>
        <w:pStyle w:val="BodyText"/>
      </w:pPr>
      <w:r>
        <w:t xml:space="preserve">The OMI truth row can therefore be read as:</w:t>
      </w:r>
    </w:p>
    <w:p>
      <w:pPr>
        <w:pStyle w:val="SourceCode"/>
      </w:pPr>
      <w:r>
        <w:rPr>
          <w:rStyle w:val="VerbatimChar"/>
        </w:rPr>
        <w:t xml:space="preserve">(|LL⟩, NN, MM)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scope ket + antecedent + consequent</w:t>
      </w:r>
    </w:p>
    <w:p>
      <w:pPr>
        <w:pStyle w:val="FirstParagraph"/>
      </w:pPr>
      <w:r>
        <w:rPr>
          <w:rStyle w:val="VerbatimChar"/>
        </w:rPr>
        <w:t xml:space="preserve">LL</w:t>
      </w:r>
      <w:r>
        <w:t xml:space="preserve"> </w:t>
      </w:r>
      <w:r>
        <w:t xml:space="preserve">is not the whole state.</w:t>
      </w:r>
      <w:r>
        <w:br/>
      </w:r>
      <w:r>
        <w:rPr>
          <w:rStyle w:val="VerbatimChar"/>
        </w:rPr>
        <w:t xml:space="preserve">LL</w:t>
      </w:r>
      <w:r>
        <w:t xml:space="preserve"> </w:t>
      </w:r>
      <w:r>
        <w:t xml:space="preserve">is not the object body.</w:t>
      </w:r>
      <w:r>
        <w:br/>
      </w:r>
      <w:r>
        <w:rPr>
          <w:rStyle w:val="VerbatimChar"/>
        </w:rPr>
        <w:t xml:space="preserve">LL</w:t>
      </w:r>
      <w:r>
        <w:t xml:space="preserve"> </w:t>
      </w:r>
      <w:r>
        <w:t xml:space="preserve">is not the semantic meaning.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is the scoped selector that tells the accepted frame where to land.</w:t>
      </w:r>
    </w:p>
    <w:p>
      <w:r>
        <w:pict>
          <v:rect style="width:0;height:1.5pt" o:hralign="center" o:hrstd="t" o:hr="t"/>
        </w:pict>
      </w:r>
    </w:p>
    <w:bookmarkEnd w:id="22"/>
    <w:bookmarkStart w:id="23" w:name="the-nibble-split"/>
    <w:p>
      <w:pPr>
        <w:pStyle w:val="Heading2"/>
      </w:pPr>
      <w:r>
        <w:t xml:space="preserve">3. The Nibble Split</w:t>
      </w:r>
    </w:p>
    <w:p>
      <w:pPr>
        <w:pStyle w:val="FirstParagraph"/>
      </w:pPr>
      <w:r>
        <w:rPr>
          <w:rStyle w:val="VerbatimChar"/>
        </w:rPr>
        <w:t xml:space="preserve">LL</w:t>
      </w:r>
      <w:r>
        <w:t xml:space="preserve"> </w:t>
      </w:r>
      <w:r>
        <w:t xml:space="preserve">is interpreted as two nibbles:</w:t>
      </w:r>
    </w:p>
    <w:p>
      <w:pPr>
        <w:pStyle w:val="SourceCode"/>
      </w:pPr>
      <w:r>
        <w:rPr>
          <w:rStyle w:val="VerbatimChar"/>
        </w:rPr>
        <w:t xml:space="preserve">LL = 0xAB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A = high nibble</w:t>
      </w:r>
      <w:r>
        <w:br/>
      </w:r>
      <w:r>
        <w:rPr>
          <w:rStyle w:val="VerbatimChar"/>
        </w:rPr>
        <w:t xml:space="preserve">B = low nibble</w:t>
      </w:r>
    </w:p>
    <w:p>
      <w:pPr>
        <w:pStyle w:val="FirstParagraph"/>
      </w:pPr>
      <w:r>
        <w:t xml:space="preserve">OMI reads them as:</w:t>
      </w:r>
    </w:p>
    <w:p>
      <w:pPr>
        <w:pStyle w:val="SourceCode"/>
      </w:pPr>
      <w:r>
        <w:rPr>
          <w:rStyle w:val="VerbatimChar"/>
        </w:rPr>
        <w:t xml:space="preserve">high nibble = context / lens family / carry-forward scope</w:t>
      </w:r>
      <w:r>
        <w:br/>
      </w:r>
      <w:r>
        <w:rPr>
          <w:rStyle w:val="VerbatimChar"/>
        </w:rPr>
        <w:t xml:space="preserve">low nibble  = execution slot selector</w:t>
      </w:r>
    </w:p>
    <w:p>
      <w:pPr>
        <w:pStyle w:val="FirstParagraph"/>
      </w:pPr>
      <w:r>
        <w:t xml:space="preserve">The POSIX gate computes:</w:t>
      </w:r>
    </w:p>
    <w:p>
      <w:pPr>
        <w:pStyle w:val="SourceCode"/>
      </w:pPr>
      <w:r>
        <w:rPr>
          <w:rStyle w:val="VariableTok"/>
        </w:rPr>
        <w:t xml:space="preserve">slot_index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VariableTok"/>
        </w:rPr>
        <w:t xml:space="preserve">))</w:t>
      </w:r>
      <w:r>
        <w:br/>
      </w:r>
      <w:r>
        <w:rPr>
          <w:rStyle w:val="VariableTok"/>
        </w:rPr>
        <w:t xml:space="preserve">rule_slot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BaseNTok"/>
        </w:rPr>
        <w:t xml:space="preserve">0xe0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slot_index))</w:t>
      </w:r>
      <w:r>
        <w:br/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VariableTok"/>
        </w:rPr>
        <w:t xml:space="preserve">))</w:t>
      </w:r>
    </w:p>
    <w:p>
      <w:pPr>
        <w:pStyle w:val="FirstParagraph"/>
      </w:pPr>
      <w:r>
        <w:t xml:space="preserve">This gives the execution envelope a clean orthogonal structure:</w:t>
      </w:r>
    </w:p>
    <w:p>
      <w:pPr>
        <w:pStyle w:val="SourceCode"/>
      </w:pPr>
      <w:r>
        <w:rPr>
          <w:rStyle w:val="VerbatimChar"/>
        </w:rPr>
        <w:t xml:space="preserve">context    = high-nibble scope</w:t>
      </w:r>
      <w:r>
        <w:br/>
      </w:r>
      <w:r>
        <w:rPr>
          <w:rStyle w:val="VerbatimChar"/>
        </w:rPr>
        <w:t xml:space="preserve">slot_index = low-nibble selector</w:t>
      </w:r>
      <w:r>
        <w:br/>
      </w:r>
      <w:r>
        <w:rPr>
          <w:rStyle w:val="VerbatimChar"/>
        </w:rPr>
        <w:t xml:space="preserve">rule_slot  = 0xE0 + slot_index</w:t>
      </w:r>
    </w:p>
    <w:p>
      <w:pPr>
        <w:pStyle w:val="FirstParagraph"/>
      </w:pPr>
      <w:r>
        <w:t xml:space="preserve">The shell does not branch on meaning.</w:t>
      </w:r>
    </w:p>
    <w:p>
      <w:pPr>
        <w:pStyle w:val="BodyText"/>
      </w:pPr>
      <w:r>
        <w:t xml:space="preserve">It only extracts structure.</w:t>
      </w:r>
    </w:p>
    <w:p>
      <w:r>
        <w:pict>
          <v:rect style="width:0;height:1.5pt" o:hralign="center" o:hrstd="t" o:hr="t"/>
        </w:pict>
      </w:r>
    </w:p>
    <w:bookmarkEnd w:id="23"/>
    <w:bookmarkStart w:id="24" w:name="the-folded-0xe_-manifold"/>
    <w:p>
      <w:pPr>
        <w:pStyle w:val="Heading2"/>
      </w:pPr>
      <w:r>
        <w:t xml:space="preserve">4. The Folded 0xE_ Manifold</w:t>
      </w:r>
    </w:p>
    <w:p>
      <w:pPr>
        <w:pStyle w:val="FirstParagraph"/>
      </w:pPr>
      <w:r>
        <w:t xml:space="preserve">The low nibble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addresses the complete</w:t>
      </w:r>
      <w:r>
        <w:t xml:space="preserve"> </w:t>
      </w:r>
      <w:r>
        <w:rPr>
          <w:rStyle w:val="VerbatimChar"/>
        </w:rPr>
        <w:t xml:space="preserve">0xE_</w:t>
      </w:r>
      <w:r>
        <w:t xml:space="preserve"> </w:t>
      </w:r>
      <w:r>
        <w:t xml:space="preserve">execution band:</w:t>
      </w:r>
    </w:p>
    <w:p>
      <w:pPr>
        <w:pStyle w:val="SourceCode"/>
      </w:pPr>
      <w:r>
        <w:rPr>
          <w:rStyle w:val="VerbatimChar"/>
        </w:rPr>
        <w:t xml:space="preserve">0xE0-0xEB = twelve inner materializers</w:t>
      </w:r>
      <w:r>
        <w:br/>
      </w:r>
      <w:r>
        <w:rPr>
          <w:rStyle w:val="VerbatimChar"/>
        </w:rPr>
        <w:t xml:space="preserve">0xEC-0xEF = four outer controller vertices</w:t>
      </w:r>
    </w:p>
    <w:p>
      <w:pPr>
        <w:pStyle w:val="FirstParagraph"/>
      </w:pPr>
      <w:r>
        <w:t xml:space="preserve">The old</w:t>
      </w:r>
      <w:r>
        <w:t xml:space="preserve"> </w:t>
      </w:r>
      <w:r>
        <w:rPr>
          <w:rStyle w:val="VerbatimChar"/>
        </w:rPr>
        <w:t xml:space="preserve">LL mod 12</w:t>
      </w:r>
      <w:r>
        <w:t xml:space="preserve"> </w:t>
      </w:r>
      <w:r>
        <w:t xml:space="preserve">reading was useful for the inner kissing-sphere metaphor:</w:t>
      </w:r>
    </w:p>
    <w:p>
      <w:pPr>
        <w:pStyle w:val="SourceCode"/>
      </w:pPr>
      <w:r>
        <w:rPr>
          <w:rStyle w:val="VerbatimChar"/>
        </w:rPr>
        <w:t xml:space="preserve">0xE0-0xEB = 12 packed inner operations</w:t>
      </w:r>
    </w:p>
    <w:p>
      <w:pPr>
        <w:pStyle w:val="FirstParagraph"/>
      </w:pPr>
      <w:r>
        <w:t xml:space="preserve">But the completed execution manifold requires the full nibble:</w:t>
      </w:r>
    </w:p>
    <w:p>
      <w:pPr>
        <w:pStyle w:val="SourceCode"/>
      </w:pPr>
      <w:r>
        <w:rPr>
          <w:rStyle w:val="VerbatimChar"/>
        </w:rPr>
        <w:t xml:space="preserve">LL &amp; 0x0F</w:t>
      </w:r>
    </w:p>
    <w:p>
      <w:pPr>
        <w:pStyle w:val="FirstParagraph"/>
      </w:pPr>
      <w:r>
        <w:t xml:space="preserve">This saturates all sixteen slots:</w:t>
      </w:r>
    </w:p>
    <w:p>
      <w:pPr>
        <w:pStyle w:val="SourceCode"/>
      </w:pPr>
      <w:r>
        <w:rPr>
          <w:rStyle w:val="VerbatimChar"/>
        </w:rPr>
        <w:t xml:space="preserve">0x0 -&gt; 0xE0</w:t>
      </w:r>
      <w:r>
        <w:br/>
      </w:r>
      <w:r>
        <w:rPr>
          <w:rStyle w:val="VerbatimChar"/>
        </w:rPr>
        <w:t xml:space="preserve">0x1 -&gt; 0xE1</w:t>
      </w:r>
      <w:r>
        <w:br/>
      </w:r>
      <w:r>
        <w:rPr>
          <w:rStyle w:val="VerbatimChar"/>
        </w:rPr>
        <w:t xml:space="preserve">0x2 -&gt; 0xE2</w:t>
      </w:r>
      <w:r>
        <w:br/>
      </w:r>
      <w:r>
        <w:rPr>
          <w:rStyle w:val="VerbatimChar"/>
        </w:rPr>
        <w:t xml:space="preserve">0x3 -&gt; 0xE3</w:t>
      </w:r>
      <w:r>
        <w:br/>
      </w:r>
      <w:r>
        <w:rPr>
          <w:rStyle w:val="VerbatimChar"/>
        </w:rPr>
        <w:t xml:space="preserve">0x4 -&gt; 0xE4</w:t>
      </w:r>
      <w:r>
        <w:br/>
      </w:r>
      <w:r>
        <w:rPr>
          <w:rStyle w:val="VerbatimChar"/>
        </w:rPr>
        <w:t xml:space="preserve">0x5 -&gt; 0xE5</w:t>
      </w:r>
      <w:r>
        <w:br/>
      </w:r>
      <w:r>
        <w:rPr>
          <w:rStyle w:val="VerbatimChar"/>
        </w:rPr>
        <w:t xml:space="preserve">0x6 -&gt; 0xE6</w:t>
      </w:r>
      <w:r>
        <w:br/>
      </w:r>
      <w:r>
        <w:rPr>
          <w:rStyle w:val="VerbatimChar"/>
        </w:rPr>
        <w:t xml:space="preserve">0x7 -&gt; 0xE7</w:t>
      </w:r>
      <w:r>
        <w:br/>
      </w:r>
      <w:r>
        <w:rPr>
          <w:rStyle w:val="VerbatimChar"/>
        </w:rPr>
        <w:t xml:space="preserve">0x8 -&gt; 0xE8</w:t>
      </w:r>
      <w:r>
        <w:br/>
      </w:r>
      <w:r>
        <w:rPr>
          <w:rStyle w:val="VerbatimChar"/>
        </w:rPr>
        <w:t xml:space="preserve">0x9 -&gt; 0xE9</w:t>
      </w:r>
      <w:r>
        <w:br/>
      </w:r>
      <w:r>
        <w:rPr>
          <w:rStyle w:val="VerbatimChar"/>
        </w:rPr>
        <w:t xml:space="preserve">0xA -&gt; 0xEA</w:t>
      </w:r>
      <w:r>
        <w:br/>
      </w:r>
      <w:r>
        <w:rPr>
          <w:rStyle w:val="VerbatimChar"/>
        </w:rPr>
        <w:t xml:space="preserve">0xB -&gt; 0xEB</w:t>
      </w:r>
      <w:r>
        <w:br/>
      </w:r>
      <w:r>
        <w:rPr>
          <w:rStyle w:val="VerbatimChar"/>
        </w:rPr>
        <w:t xml:space="preserve">0xC -&gt; 0xEC</w:t>
      </w:r>
      <w:r>
        <w:br/>
      </w:r>
      <w:r>
        <w:rPr>
          <w:rStyle w:val="VerbatimChar"/>
        </w:rPr>
        <w:t xml:space="preserve">0xD -&gt; 0xED</w:t>
      </w:r>
      <w:r>
        <w:br/>
      </w:r>
      <w:r>
        <w:rPr>
          <w:rStyle w:val="VerbatimChar"/>
        </w:rPr>
        <w:t xml:space="preserve">0xE -&gt; 0xEE</w:t>
      </w:r>
      <w:r>
        <w:br/>
      </w:r>
      <w:r>
        <w:rPr>
          <w:rStyle w:val="VerbatimChar"/>
        </w:rPr>
        <w:t xml:space="preserve">0xF -&gt; 0xEF</w:t>
      </w:r>
    </w:p>
    <w:p>
      <w:pPr>
        <w:pStyle w:val="FirstParagraph"/>
      </w:pPr>
      <w:r>
        <w:t xml:space="preserve">So the final routing law is:</w:t>
      </w:r>
    </w:p>
    <w:p>
      <w:pPr>
        <w:pStyle w:val="SourceCode"/>
      </w:pPr>
      <w:r>
        <w:rPr>
          <w:rStyle w:val="VerbatimChar"/>
        </w:rPr>
        <w:t xml:space="preserve">rule_slot = 0xE0 + (LL &amp; 0x0F)</w:t>
      </w:r>
    </w:p>
    <w:p>
      <w:pPr>
        <w:pStyle w:val="FirstParagraph"/>
      </w:pPr>
      <w:r>
        <w:t xml:space="preserve">This is the closure of the</w:t>
      </w:r>
      <w:r>
        <w:t xml:space="preserve"> </w:t>
      </w:r>
      <w:r>
        <w:rPr>
          <w:rStyle w:val="VerbatimChar"/>
        </w:rPr>
        <w:t xml:space="preserve">0xE_</w:t>
      </w:r>
      <w:r>
        <w:t xml:space="preserve"> </w:t>
      </w:r>
      <w:r>
        <w:t xml:space="preserve">band.</w:t>
      </w:r>
    </w:p>
    <w:p>
      <w:r>
        <w:pict>
          <v:rect style="width:0;height:1.5pt" o:hralign="center" o:hrstd="t" o:hr="t"/>
        </w:pict>
      </w:r>
    </w:p>
    <w:bookmarkEnd w:id="24"/>
    <w:bookmarkStart w:id="27" w:name="the-first-twelve-and-the-last-four"/>
    <w:p>
      <w:pPr>
        <w:pStyle w:val="Heading2"/>
      </w:pPr>
      <w:r>
        <w:t xml:space="preserve">5. The First Twelve and the Last Four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0xE_</w:t>
      </w:r>
      <w:r>
        <w:t xml:space="preserve"> </w:t>
      </w:r>
      <w:r>
        <w:t xml:space="preserve">band is one accepted execution manifold, but it contains two regions.</w:t>
      </w:r>
    </w:p>
    <w:bookmarkStart w:id="25" w:name="inner-materializer-field"/>
    <w:p>
      <w:pPr>
        <w:pStyle w:val="Heading3"/>
      </w:pPr>
      <w:r>
        <w:t xml:space="preserve">5.1 Inner Materializer Field</w:t>
      </w:r>
    </w:p>
    <w:p>
      <w:pPr>
        <w:pStyle w:val="SourceCode"/>
      </w:pPr>
      <w:r>
        <w:rPr>
          <w:rStyle w:val="VerbatimChar"/>
        </w:rPr>
        <w:t xml:space="preserve">0xE0-0xEB</w:t>
      </w:r>
    </w:p>
    <w:p>
      <w:pPr>
        <w:pStyle w:val="FirstParagraph"/>
      </w:pPr>
      <w:r>
        <w:t xml:space="preserve">These twelve slots are the inner packed materializers.</w:t>
      </w:r>
    </w:p>
    <w:p>
      <w:pPr>
        <w:pStyle w:val="BodyText"/>
      </w:pPr>
      <w:r>
        <w:t xml:space="preserve">They correspond to the Archimedean/Catalan materializer field: the place where accepted object transformations, snub bridges, edge traversal, vertex traversal, Fano selection, page framing, DOM/CSSOM/JSDOM/OOM patching, and receipt projection may be materialized by registry-defined operations.</w:t>
      </w:r>
    </w:p>
    <w:p>
      <w:pPr>
        <w:pStyle w:val="BodyText"/>
      </w:pPr>
      <w:r>
        <w:t xml:space="preserve">They pack the object.</w:t>
      </w:r>
    </w:p>
    <w:p>
      <w:pPr>
        <w:pStyle w:val="SourceCode"/>
      </w:pPr>
      <w:r>
        <w:rPr>
          <w:rStyle w:val="VerbatimChar"/>
        </w:rPr>
        <w:t xml:space="preserve">0xE0-0xEB pack the object.</w:t>
      </w:r>
    </w:p>
    <w:bookmarkEnd w:id="25"/>
    <w:bookmarkStart w:id="26" w:name="outer-controller-vertices"/>
    <w:p>
      <w:pPr>
        <w:pStyle w:val="Heading3"/>
      </w:pPr>
      <w:r>
        <w:t xml:space="preserve">5.2 Outer Controller Vertices</w:t>
      </w:r>
    </w:p>
    <w:p>
      <w:pPr>
        <w:pStyle w:val="SourceCode"/>
      </w:pPr>
      <w:r>
        <w:rPr>
          <w:rStyle w:val="VerbatimChar"/>
        </w:rPr>
        <w:t xml:space="preserve">0xEC-0xEF</w:t>
      </w:r>
    </w:p>
    <w:p>
      <w:pPr>
        <w:pStyle w:val="FirstParagraph"/>
      </w:pPr>
      <w:r>
        <w:t xml:space="preserve">These four slots are the outer Platonic controller vertices.</w:t>
      </w:r>
    </w:p>
    <w:p>
      <w:pPr>
        <w:pStyle w:val="BodyText"/>
      </w:pPr>
      <w:r>
        <w:t xml:space="preserve">They do not form a separate authority channel. They are not UI commands floating outside the protocol. They are the last four addresses of the same accepted execution manifold.</w:t>
      </w:r>
    </w:p>
    <w:p>
      <w:pPr>
        <w:pStyle w:val="BodyText"/>
      </w:pPr>
      <w:r>
        <w:t xml:space="preserve">They hold the object.</w:t>
      </w:r>
    </w:p>
    <w:p>
      <w:pPr>
        <w:pStyle w:val="SourceCode"/>
      </w:pPr>
      <w:r>
        <w:rPr>
          <w:rStyle w:val="VerbatimChar"/>
        </w:rPr>
        <w:t xml:space="preserve">0xEC-0xEF hold the object.</w:t>
      </w:r>
    </w:p>
    <w:p>
      <w:pPr>
        <w:pStyle w:val="FirstParagraph"/>
      </w:pPr>
      <w:r>
        <w:t xml:space="preserve">They may control:</w:t>
      </w:r>
    </w:p>
    <w:p>
      <w:pPr>
        <w:pStyle w:val="SourceCode"/>
      </w:pPr>
      <w:r>
        <w:rPr>
          <w:rStyle w:val="VerbatimChar"/>
        </w:rPr>
        <w:t xml:space="preserve">0xEC = translation / viewport / focus</w:t>
      </w:r>
      <w:r>
        <w:br/>
      </w:r>
      <w:r>
        <w:rPr>
          <w:rStyle w:val="VerbatimChar"/>
        </w:rPr>
        <w:t xml:space="preserve">0xED = scale / recursion depth</w:t>
      </w:r>
      <w:r>
        <w:br/>
      </w:r>
      <w:r>
        <w:rPr>
          <w:rStyle w:val="VerbatimChar"/>
        </w:rPr>
        <w:t xml:space="preserve">0xEE = rotation / spin / orientation</w:t>
      </w:r>
      <w:r>
        <w:br/>
      </w:r>
      <w:r>
        <w:rPr>
          <w:rStyle w:val="VerbatimChar"/>
        </w:rPr>
        <w:t xml:space="preserve">0xEF = boundary / opacity / clipping</w:t>
      </w:r>
    </w:p>
    <w:p>
      <w:pPr>
        <w:pStyle w:val="FirstParagraph"/>
      </w:pPr>
      <w:r>
        <w:t xml:space="preserve">But only after the frame has been validated, resolved, and receipted.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platonic-fold"/>
    <w:p>
      <w:pPr>
        <w:pStyle w:val="Heading2"/>
      </w:pPr>
      <w:r>
        <w:t xml:space="preserve">6. The Platonic Fold</w:t>
      </w:r>
    </w:p>
    <w:p>
      <w:pPr>
        <w:pStyle w:val="FirstParagraph"/>
      </w:pPr>
      <w:r>
        <w:t xml:space="preserve">The final four controller slots can be read as Platonic controller vertices folded into the</w:t>
      </w:r>
      <w:r>
        <w:t xml:space="preserve"> </w:t>
      </w:r>
      <w:r>
        <w:rPr>
          <w:rStyle w:val="VerbatimChar"/>
        </w:rPr>
        <w:t xml:space="preserve">0xE_</w:t>
      </w:r>
      <w:r>
        <w:t xml:space="preserve"> </w:t>
      </w:r>
      <w:r>
        <w:t xml:space="preserve">band.</w:t>
      </w:r>
    </w:p>
    <w:p>
      <w:pPr>
        <w:pStyle w:val="BodyText"/>
      </w:pPr>
      <w:r>
        <w:t xml:space="preserve">They are not extra commands.</w:t>
      </w:r>
    </w:p>
    <w:p>
      <w:pPr>
        <w:pStyle w:val="BodyText"/>
      </w:pPr>
      <w:r>
        <w:t xml:space="preserve">They are the tetrahedral control surface of the execution manifold.</w:t>
      </w:r>
    </w:p>
    <w:p>
      <w:pPr>
        <w:pStyle w:val="BodyText"/>
      </w:pPr>
      <w:r>
        <w:t xml:space="preserve">In geometric language:</w:t>
      </w:r>
    </w:p>
    <w:p>
      <w:pPr>
        <w:pStyle w:val="SourceCode"/>
      </w:pPr>
      <w:r>
        <w:rPr>
          <w:rStyle w:val="VerbatimChar"/>
        </w:rPr>
        <w:t xml:space="preserve">0xE0-0xEB = Archimedean/Catalan materializer field</w:t>
      </w:r>
      <w:r>
        <w:br/>
      </w:r>
      <w:r>
        <w:rPr>
          <w:rStyle w:val="VerbatimChar"/>
        </w:rPr>
        <w:t xml:space="preserve">0xEC-0xEF = Platonic controller vertices</w:t>
      </w:r>
    </w:p>
    <w:p>
      <w:pPr>
        <w:pStyle w:val="FirstParagraph"/>
      </w:pPr>
      <w:r>
        <w:t xml:space="preserve">The first twelve expose the packed operational field.</w:t>
      </w:r>
    </w:p>
    <w:p>
      <w:pPr>
        <w:pStyle w:val="BodyText"/>
      </w:pPr>
      <w:r>
        <w:t xml:space="preserve">The last four close the outer simplex.</w:t>
      </w:r>
    </w:p>
    <w:p>
      <w:pPr>
        <w:pStyle w:val="BodyText"/>
      </w:pPr>
      <w:r>
        <w:t xml:space="preserve">This means the control surface is not outside the system. It is folded into the same accepted manifold as the object operations.</w:t>
      </w:r>
    </w:p>
    <w:p>
      <w:pPr>
        <w:pStyle w:val="BodyText"/>
      </w:pPr>
      <w:r>
        <w:t xml:space="preserve">Short form:</w:t>
      </w:r>
    </w:p>
    <w:p>
      <w:pPr>
        <w:pStyle w:val="SourceCode"/>
      </w:pPr>
      <w:r>
        <w:rPr>
          <w:rStyle w:val="VerbatimChar"/>
        </w:rPr>
        <w:t xml:space="preserve">The first twelve pack.</w:t>
      </w:r>
      <w:r>
        <w:br/>
      </w:r>
      <w:r>
        <w:rPr>
          <w:rStyle w:val="VerbatimChar"/>
        </w:rPr>
        <w:t xml:space="preserve">The last four hold.</w:t>
      </w:r>
      <w:r>
        <w:br/>
      </w:r>
      <w:r>
        <w:rPr>
          <w:rStyle w:val="VerbatimChar"/>
        </w:rPr>
        <w:t xml:space="preserve">The low nibble selects.</w:t>
      </w:r>
      <w:r>
        <w:br/>
      </w:r>
      <w:r>
        <w:rPr>
          <w:rStyle w:val="VerbatimChar"/>
        </w:rPr>
        <w:t xml:space="preserve">The high nibble carries.</w:t>
      </w:r>
    </w:p>
    <w:p>
      <w:r>
        <w:pict>
          <v:rect style="width:0;height:1.5pt" o:hralign="center" o:hrstd="t" o:hr="t"/>
        </w:pict>
      </w:r>
    </w:p>
    <w:bookmarkEnd w:id="28"/>
    <w:bookmarkStart w:id="29" w:name="carry-forward-scope"/>
    <w:p>
      <w:pPr>
        <w:pStyle w:val="Heading2"/>
      </w:pPr>
      <w:r>
        <w:t xml:space="preserve">7. Carry-Forward Scope</w:t>
      </w:r>
    </w:p>
    <w:p>
      <w:pPr>
        <w:pStyle w:val="FirstParagraph"/>
      </w:pPr>
      <w:r>
        <w:t xml:space="preserve">The high nibble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carries context forward.</w:t>
      </w:r>
    </w:p>
    <w:p>
      <w:pPr>
        <w:pStyle w:val="SourceCode"/>
      </w:pPr>
      <w:r>
        <w:rPr>
          <w:rStyle w:val="VerbatimChar"/>
        </w:rPr>
        <w:t xml:space="preserve">context = (LL &gt;&gt; 4) &amp; 0x0F</w:t>
      </w:r>
    </w:p>
    <w:p>
      <w:pPr>
        <w:pStyle w:val="FirstParagraph"/>
      </w:pPr>
      <w:r>
        <w:t xml:space="preserve">This can be understood as a 4-bit carry-forward scope.</w:t>
      </w:r>
    </w:p>
    <w:p>
      <w:pPr>
        <w:pStyle w:val="BodyText"/>
      </w:pPr>
      <w:r>
        <w:t xml:space="preserve">It does not decide semantic meaning inside the shell. It gives the materializer a bounded context value.</w:t>
      </w:r>
    </w:p>
    <w:p>
      <w:pPr>
        <w:pStyle w:val="BodyText"/>
      </w:pPr>
      <w:r>
        <w:t xml:space="preserve">A materializer may interpret context as:</w:t>
      </w:r>
    </w:p>
    <w:p>
      <w:pPr>
        <w:pStyle w:val="SourceCode"/>
      </w:pPr>
      <w:r>
        <w:rPr>
          <w:rStyle w:val="VerbatimChar"/>
        </w:rPr>
        <w:t xml:space="preserve">lens family</w:t>
      </w:r>
      <w:r>
        <w:br/>
      </w:r>
      <w:r>
        <w:rPr>
          <w:rStyle w:val="VerbatimChar"/>
        </w:rPr>
        <w:t xml:space="preserve">authority context</w:t>
      </w:r>
      <w:r>
        <w:br/>
      </w:r>
      <w:r>
        <w:rPr>
          <w:rStyle w:val="VerbatimChar"/>
        </w:rPr>
        <w:t xml:space="preserve">projection family</w:t>
      </w:r>
      <w:r>
        <w:br/>
      </w:r>
      <w:r>
        <w:rPr>
          <w:rStyle w:val="VerbatimChar"/>
        </w:rPr>
        <w:t xml:space="preserve">object scope</w:t>
      </w:r>
      <w:r>
        <w:br/>
      </w:r>
      <w:r>
        <w:rPr>
          <w:rStyle w:val="VerbatimChar"/>
        </w:rPr>
        <w:t xml:space="preserve">depth band</w:t>
      </w:r>
      <w:r>
        <w:br/>
      </w:r>
      <w:r>
        <w:rPr>
          <w:rStyle w:val="VerbatimChar"/>
        </w:rPr>
        <w:t xml:space="preserve">peer scope</w:t>
      </w:r>
      <w:r>
        <w:br/>
      </w:r>
      <w:r>
        <w:rPr>
          <w:rStyle w:val="VerbatimChar"/>
        </w:rPr>
        <w:t xml:space="preserve">document scope</w:t>
      </w:r>
      <w:r>
        <w:br/>
      </w:r>
      <w:r>
        <w:rPr>
          <w:rStyle w:val="VerbatimChar"/>
        </w:rPr>
        <w:t xml:space="preserve">portal scope</w:t>
      </w:r>
    </w:p>
    <w:p>
      <w:pPr>
        <w:pStyle w:val="FirstParagraph"/>
      </w:pPr>
      <w:r>
        <w:t xml:space="preserve">But the gate does not interpret it.</w:t>
      </w:r>
    </w:p>
    <w:p>
      <w:pPr>
        <w:pStyle w:val="BodyText"/>
      </w:pPr>
      <w:r>
        <w:t xml:space="preserve">The gate only emits it.</w:t>
      </w:r>
    </w:p>
    <w:p>
      <w:pPr>
        <w:pStyle w:val="BodyText"/>
      </w:pPr>
      <w:r>
        <w:t xml:space="preserve">If the current scope is represented as a 4-bit value, the next scope may be derived by XOR:</w:t>
      </w:r>
    </w:p>
    <w:p>
      <w:pPr>
        <w:pStyle w:val="SourceCode"/>
      </w:pPr>
      <w:r>
        <w:rPr>
          <w:rStyle w:val="VerbatimChar"/>
        </w:rPr>
        <w:t xml:space="preserve">next_scope = current_scope xor context</w:t>
      </w:r>
    </w:p>
    <w:p>
      <w:pPr>
        <w:pStyle w:val="FirstParagraph"/>
      </w:pPr>
      <w:r>
        <w:t xml:space="preserve">This gives OMI a bounded carry-forward model:</w:t>
      </w:r>
    </w:p>
    <w:p>
      <w:pPr>
        <w:pStyle w:val="SourceCode"/>
      </w:pPr>
      <w:r>
        <w:rPr>
          <w:rStyle w:val="VerbatimChar"/>
        </w:rPr>
        <w:t xml:space="preserve">scope' = scope ⊕ high_nibble(LL)</w:t>
      </w:r>
    </w:p>
    <w:p>
      <w:pPr>
        <w:pStyle w:val="FirstParagraph"/>
      </w:pPr>
      <w:r>
        <w:t xml:space="preserve">The XOR model is useful because it keeps the scope update bitwise, bounded, reversible in form, and compatible with the OMI preference for low-level operations.</w:t>
      </w:r>
    </w:p>
    <w:p>
      <w:r>
        <w:pict>
          <v:rect style="width:0;height:1.5pt" o:hralign="center" o:hrstd="t" o:hr="t"/>
        </w:pict>
      </w:r>
    </w:p>
    <w:bookmarkEnd w:id="29"/>
    <w:bookmarkStart w:id="30" w:name="low-nibble-as-slot-selector"/>
    <w:p>
      <w:pPr>
        <w:pStyle w:val="Heading2"/>
      </w:pPr>
      <w:r>
        <w:t xml:space="preserve">8. Low Nibble as Slot Selector</w:t>
      </w:r>
    </w:p>
    <w:p>
      <w:pPr>
        <w:pStyle w:val="FirstParagraph"/>
      </w:pPr>
      <w:r>
        <w:t xml:space="preserve">The low nibble of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selects the rule slot:</w:t>
      </w:r>
    </w:p>
    <w:p>
      <w:pPr>
        <w:pStyle w:val="SourceCode"/>
      </w:pPr>
      <w:r>
        <w:rPr>
          <w:rStyle w:val="VerbatimChar"/>
        </w:rPr>
        <w:t xml:space="preserve">slot_index = LL &amp; 0x0F</w:t>
      </w:r>
      <w:r>
        <w:br/>
      </w:r>
      <w:r>
        <w:rPr>
          <w:rStyle w:val="VerbatimChar"/>
        </w:rPr>
        <w:t xml:space="preserve">rule_slot  = 0xE0 + slot_index</w:t>
      </w:r>
    </w:p>
    <w:p>
      <w:pPr>
        <w:pStyle w:val="FirstParagraph"/>
      </w:pPr>
      <w:r>
        <w:t xml:space="preserve">The low nibble does not contain geometry.</w:t>
      </w:r>
    </w:p>
    <w:p>
      <w:pPr>
        <w:pStyle w:val="BodyText"/>
      </w:pPr>
      <w:r>
        <w:t xml:space="preserve">It only selects an address.</w:t>
      </w:r>
    </w:p>
    <w:p>
      <w:pPr>
        <w:pStyle w:val="BodyText"/>
      </w:pPr>
      <w:r>
        <w:t xml:space="preserve">The registry owns meaning.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LL = 0x07</w:t>
      </w:r>
      <w:r>
        <w:br/>
      </w:r>
      <w:r>
        <w:rPr>
          <w:rStyle w:val="VerbatimChar"/>
        </w:rPr>
        <w:t xml:space="preserve">context = 0x0</w:t>
      </w:r>
      <w:r>
        <w:br/>
      </w:r>
      <w:r>
        <w:rPr>
          <w:rStyle w:val="VerbatimChar"/>
        </w:rPr>
        <w:t xml:space="preserve">slot_index = 0x7</w:t>
      </w:r>
      <w:r>
        <w:br/>
      </w:r>
      <w:r>
        <w:rPr>
          <w:rStyle w:val="VerbatimChar"/>
        </w:rPr>
        <w:t xml:space="preserve">rule_slot = 0xE7</w:t>
      </w:r>
    </w:p>
    <w:p>
      <w:pPr>
        <w:pStyle w:val="FirstParagraph"/>
      </w:pPr>
      <w:r>
        <w:t xml:space="preserve">The registry may define:</w:t>
      </w:r>
    </w:p>
    <w:p>
      <w:pPr>
        <w:pStyle w:val="SourceCode"/>
      </w:pPr>
      <w:r>
        <w:rPr>
          <w:rStyle w:val="VerbatimChar"/>
        </w:rPr>
        <w:t xml:space="preserve">0xE7 = snub-bridge</w:t>
      </w:r>
    </w:p>
    <w:p>
      <w:pPr>
        <w:pStyle w:val="FirstParagraph"/>
      </w:pPr>
      <w:r>
        <w:t xml:space="preserve">Another example:</w:t>
      </w:r>
    </w:p>
    <w:p>
      <w:pPr>
        <w:pStyle w:val="SourceCode"/>
      </w:pPr>
      <w:r>
        <w:rPr>
          <w:rStyle w:val="VerbatimChar"/>
        </w:rPr>
        <w:t xml:space="preserve">LL = 0x3E</w:t>
      </w:r>
      <w:r>
        <w:br/>
      </w:r>
      <w:r>
        <w:rPr>
          <w:rStyle w:val="VerbatimChar"/>
        </w:rPr>
        <w:t xml:space="preserve">context = 0x3</w:t>
      </w:r>
      <w:r>
        <w:br/>
      </w:r>
      <w:r>
        <w:rPr>
          <w:rStyle w:val="VerbatimChar"/>
        </w:rPr>
        <w:t xml:space="preserve">slot_index = 0xE</w:t>
      </w:r>
      <w:r>
        <w:br/>
      </w:r>
      <w:r>
        <w:rPr>
          <w:rStyle w:val="VerbatimChar"/>
        </w:rPr>
        <w:t xml:space="preserve">rule_slot = 0xEE</w:t>
      </w:r>
    </w:p>
    <w:p>
      <w:pPr>
        <w:pStyle w:val="FirstParagraph"/>
      </w:pPr>
      <w:r>
        <w:t xml:space="preserve">The registry may define:</w:t>
      </w:r>
    </w:p>
    <w:p>
      <w:pPr>
        <w:pStyle w:val="SourceCode"/>
      </w:pPr>
      <w:r>
        <w:rPr>
          <w:rStyle w:val="VerbatimChar"/>
        </w:rPr>
        <w:t xml:space="preserve">0xEE = rotation-spin</w:t>
      </w:r>
    </w:p>
    <w:p>
      <w:pPr>
        <w:pStyle w:val="FirstParagraph"/>
      </w:pPr>
      <w:r>
        <w:t xml:space="preserve">The shell does not know either name.</w:t>
      </w:r>
    </w:p>
    <w:p>
      <w:pPr>
        <w:pStyle w:val="BodyText"/>
      </w:pPr>
      <w:r>
        <w:t xml:space="preserve">It only knows the frame was accepted and the envelope was recorded.</w:t>
      </w:r>
    </w:p>
    <w:p>
      <w:r>
        <w:pict>
          <v:rect style="width:0;height:1.5pt" o:hralign="center" o:hrstd="t" o:hr="t"/>
        </w:pict>
      </w:r>
    </w:p>
    <w:bookmarkEnd w:id="30"/>
    <w:bookmarkStart w:id="31" w:name="nn-and-mm-as-the-proven-pair"/>
    <w:p>
      <w:pPr>
        <w:pStyle w:val="Heading2"/>
      </w:pPr>
      <w:r>
        <w:t xml:space="preserve">9. NN and MM as the Proven Pair</w:t>
      </w:r>
    </w:p>
    <w:p>
      <w:pPr>
        <w:pStyle w:val="FirstParagraph"/>
      </w:pPr>
      <w:r>
        <w:rPr>
          <w:rStyle w:val="VerbatimChar"/>
        </w:rPr>
        <w:t xml:space="preserve">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remain the transition pair.</w:t>
      </w:r>
    </w:p>
    <w:p>
      <w:pPr>
        <w:pStyle w:val="SourceCode"/>
      </w:pPr>
      <w:r>
        <w:rPr>
          <w:rStyle w:val="VerbatimChar"/>
        </w:rPr>
        <w:t xml:space="preserve">NN = antecedent</w:t>
      </w:r>
      <w:r>
        <w:br/>
      </w:r>
      <w:r>
        <w:rPr>
          <w:rStyle w:val="VerbatimChar"/>
        </w:rPr>
        <w:t xml:space="preserve">MM = consequent</w:t>
      </w:r>
    </w:p>
    <w:p>
      <w:pPr>
        <w:pStyle w:val="FirstParagraph"/>
      </w:pPr>
      <w:r>
        <w:t xml:space="preserve">The resolver proves that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is reachable from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under the accepted Delta/Fano path.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ket does not replace this proof.</w:t>
      </w:r>
    </w:p>
    <w:p>
      <w:pPr>
        <w:pStyle w:val="BodyText"/>
      </w:pPr>
      <w:r>
        <w:t xml:space="preserve">It scopes it.</w:t>
      </w:r>
    </w:p>
    <w:p>
      <w:pPr>
        <w:pStyle w:val="BodyText"/>
      </w:pPr>
      <w:r>
        <w:t xml:space="preserve">So the relation is:</w:t>
      </w:r>
    </w:p>
    <w:p>
      <w:pPr>
        <w:pStyle w:val="SourceCode"/>
      </w:pPr>
      <w:r>
        <w:rPr>
          <w:rStyle w:val="VerbatimChar"/>
        </w:rPr>
        <w:t xml:space="preserve">Delta/Fano proves NN -&gt; MM.</w:t>
      </w:r>
      <w:r>
        <w:br/>
      </w:r>
      <w:r>
        <w:rPr>
          <w:rStyle w:val="VerbatimChar"/>
        </w:rPr>
        <w:t xml:space="preserve">LL selects where the proof lands.</w:t>
      </w:r>
      <w:r>
        <w:br/>
      </w:r>
      <w:r>
        <w:rPr>
          <w:rStyle w:val="VerbatimChar"/>
        </w:rPr>
        <w:t xml:space="preserve">Receipt records the accepted envelope.</w:t>
      </w:r>
    </w:p>
    <w:p>
      <w:pPr>
        <w:pStyle w:val="FirstParagraph"/>
      </w:pPr>
      <w:r>
        <w:t xml:space="preserve">This prevents the selector from becoming authority by itself.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cannot accept a transition.</w:t>
      </w:r>
      <w:r>
        <w:br/>
      </w:r>
      <w:r>
        <w:rPr>
          <w:rStyle w:val="VerbatimChar"/>
        </w:rPr>
        <w:t xml:space="preserve">LL</w:t>
      </w:r>
      <w:r>
        <w:t xml:space="preserve"> </w:t>
      </w:r>
      <w:r>
        <w:t xml:space="preserve">cannot bypass</w:t>
      </w:r>
      <w:r>
        <w:t xml:space="preserve"> </w:t>
      </w:r>
      <w:r>
        <w:rPr>
          <w:rStyle w:val="VerbatimChar"/>
        </w:rPr>
        <w:t xml:space="preserve">Q_frame</w:t>
      </w:r>
      <w:r>
        <w:t xml:space="preserve">.</w:t>
      </w:r>
      <w:r>
        <w:br/>
      </w:r>
      <w:r>
        <w:rPr>
          <w:rStyle w:val="VerbatimChar"/>
        </w:rPr>
        <w:t xml:space="preserve">LL</w:t>
      </w:r>
      <w:r>
        <w:t xml:space="preserve"> </w:t>
      </w:r>
      <w:r>
        <w:t xml:space="preserve">cannot bypass Delta/Fano.</w:t>
      </w:r>
      <w:r>
        <w:br/>
      </w:r>
      <w:r>
        <w:rPr>
          <w:rStyle w:val="VerbatimChar"/>
        </w:rPr>
        <w:t xml:space="preserve">LL</w:t>
      </w:r>
      <w:r>
        <w:t xml:space="preserve"> </w:t>
      </w:r>
      <w:r>
        <w:t xml:space="preserve">cannot bypass receipt.</w:t>
      </w:r>
    </w:p>
    <w:p>
      <w:pPr>
        <w:pStyle w:val="BodyText"/>
      </w:pPr>
      <w:r>
        <w:t xml:space="preserve">It only routes the accepted transition.</w:t>
      </w:r>
    </w:p>
    <w:p>
      <w:r>
        <w:pict>
          <v:rect style="width:0;height:1.5pt" o:hralign="center" o:hrstd="t" o:hr="t"/>
        </w:pict>
      </w:r>
    </w:p>
    <w:bookmarkEnd w:id="31"/>
    <w:bookmarkStart w:id="32" w:name="execution-envelope"/>
    <w:p>
      <w:pPr>
        <w:pStyle w:val="Heading2"/>
      </w:pPr>
      <w:r>
        <w:t xml:space="preserve">10. Execution Envelope</w:t>
      </w:r>
    </w:p>
    <w:p>
      <w:pPr>
        <w:pStyle w:val="FirstParagraph"/>
      </w:pPr>
      <w:r>
        <w:t xml:space="preserve">The accepted frame emits an envelope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"0xE0-0xEF"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"0x7c00"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"chirality"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materializer receives:</w:t>
      </w:r>
    </w:p>
    <w:p>
      <w:pPr>
        <w:pStyle w:val="SourceCode"/>
      </w:pPr>
      <w:r>
        <w:rPr>
          <w:rStyle w:val="VerbatimChar"/>
        </w:rPr>
        <w:t xml:space="preserve">context = 0x3</w:t>
      </w:r>
      <w:r>
        <w:br/>
      </w:r>
      <w:r>
        <w:rPr>
          <w:rStyle w:val="VerbatimChar"/>
        </w:rPr>
        <w:t xml:space="preserve">rule_slot = 0xEE</w:t>
      </w:r>
      <w:r>
        <w:br/>
      </w:r>
      <w:r>
        <w:rPr>
          <w:rStyle w:val="VerbatimChar"/>
        </w:rPr>
        <w:t xml:space="preserve">steps = 3</w:t>
      </w:r>
      <w:r>
        <w:br/>
      </w:r>
      <w:r>
        <w:rPr>
          <w:rStyle w:val="VerbatimChar"/>
        </w:rPr>
        <w:t xml:space="preserve">chirality = right</w:t>
      </w:r>
      <w:r>
        <w:br/>
      </w:r>
      <w:r>
        <w:rPr>
          <w:rStyle w:val="VerbatimChar"/>
        </w:rPr>
        <w:t xml:space="preserve">receipt = accepted</w:t>
      </w:r>
    </w:p>
    <w:p>
      <w:pPr>
        <w:pStyle w:val="FirstParagraph"/>
      </w:pPr>
      <w:r>
        <w:t xml:space="preserve">Then it applies the registered operation for</w:t>
      </w:r>
      <w:r>
        <w:t xml:space="preserve"> </w:t>
      </w:r>
      <w:r>
        <w:rPr>
          <w:rStyle w:val="VerbatimChar"/>
        </w:rPr>
        <w:t xml:space="preserve">0xEE</w:t>
      </w:r>
      <w:r>
        <w:t xml:space="preserve">.</w:t>
      </w:r>
    </w:p>
    <w:p>
      <w:pPr>
        <w:pStyle w:val="BodyText"/>
      </w:pPr>
      <w:r>
        <w:t xml:space="preserve">The materializer may know that</w:t>
      </w:r>
      <w:r>
        <w:t xml:space="preserve"> </w:t>
      </w:r>
      <w:r>
        <w:rPr>
          <w:rStyle w:val="VerbatimChar"/>
        </w:rPr>
        <w:t xml:space="preserve">0xEE</w:t>
      </w:r>
      <w:r>
        <w:t xml:space="preserve"> </w:t>
      </w:r>
      <w:r>
        <w:t xml:space="preserve">means rotation/spin.</w:t>
      </w:r>
    </w:p>
    <w:p>
      <w:pPr>
        <w:pStyle w:val="BodyText"/>
      </w:pPr>
      <w:r>
        <w:t xml:space="preserve">The gate does not.</w:t>
      </w:r>
    </w:p>
    <w:p>
      <w:r>
        <w:pict>
          <v:rect style="width:0;height:1.5pt" o:hralign="center" o:hrstd="t" o:hr="t"/>
        </w:pict>
      </w:r>
    </w:p>
    <w:bookmarkEnd w:id="32"/>
    <w:bookmarkStart w:id="33" w:name="steps-and-chirality"/>
    <w:p>
      <w:pPr>
        <w:pStyle w:val="Heading2"/>
      </w:pPr>
      <w:r>
        <w:t xml:space="preserve">11. Steps and Chirality</w:t>
      </w:r>
    </w:p>
    <w:p>
      <w:pPr>
        <w:pStyle w:val="FirstParagraph"/>
      </w:pPr>
      <w:r>
        <w:t xml:space="preserve">The execution envelope gives the materializer four orthogonal parameters:</w:t>
      </w:r>
    </w:p>
    <w:p>
      <w:pPr>
        <w:pStyle w:val="SourceCode"/>
      </w:pP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rule_slot</w:t>
      </w:r>
      <w:r>
        <w:br/>
      </w:r>
      <w:r>
        <w:rPr>
          <w:rStyle w:val="VerbatimChar"/>
        </w:rPr>
        <w:t xml:space="preserve">steps</w:t>
      </w:r>
      <w:r>
        <w:br/>
      </w:r>
      <w:r>
        <w:rPr>
          <w:rStyle w:val="VerbatimChar"/>
        </w:rPr>
        <w:t xml:space="preserve">chirality</w:t>
      </w:r>
    </w:p>
    <w:p>
      <w:pPr>
        <w:pStyle w:val="FirstParagraph"/>
      </w:pPr>
      <w:r>
        <w:t xml:space="preserve">Their roles are:</w:t>
      </w:r>
    </w:p>
    <w:p>
      <w:pPr>
        <w:pStyle w:val="SourceCode"/>
      </w:pPr>
      <w:r>
        <w:rPr>
          <w:rStyle w:val="VerbatimChar"/>
        </w:rPr>
        <w:t xml:space="preserve">context    = lens family / carry-forward scope</w:t>
      </w:r>
      <w:r>
        <w:br/>
      </w:r>
      <w:r>
        <w:rPr>
          <w:rStyle w:val="VerbatimChar"/>
        </w:rPr>
        <w:t xml:space="preserve">rule_slot  = operation address</w:t>
      </w:r>
      <w:r>
        <w:br/>
      </w:r>
      <w:r>
        <w:rPr>
          <w:rStyle w:val="VerbatimChar"/>
        </w:rPr>
        <w:t xml:space="preserve">steps      = magnitude / phase / recursion depth</w:t>
      </w:r>
      <w:r>
        <w:br/>
      </w:r>
      <w:r>
        <w:rPr>
          <w:rStyle w:val="VerbatimChar"/>
        </w:rPr>
        <w:t xml:space="preserve">chirality  = handed direction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rule_slot = 0xEE</w:t>
      </w:r>
      <w:r>
        <w:br/>
      </w:r>
      <w:r>
        <w:rPr>
          <w:rStyle w:val="VerbatimChar"/>
        </w:rPr>
        <w:t xml:space="preserve">context = 0x3</w:t>
      </w:r>
      <w:r>
        <w:br/>
      </w:r>
      <w:r>
        <w:rPr>
          <w:rStyle w:val="VerbatimChar"/>
        </w:rPr>
        <w:t xml:space="preserve">steps = 3</w:t>
      </w:r>
      <w:r>
        <w:br/>
      </w:r>
      <w:r>
        <w:rPr>
          <w:rStyle w:val="VerbatimChar"/>
        </w:rPr>
        <w:t xml:space="preserve">chirality = right</w:t>
      </w:r>
    </w:p>
    <w:p>
      <w:pPr>
        <w:pStyle w:val="FirstParagraph"/>
      </w:pPr>
      <w:r>
        <w:t xml:space="preserve">The materializer may interpret this as:</w:t>
      </w:r>
    </w:p>
    <w:p>
      <w:pPr>
        <w:pStyle w:val="SourceCode"/>
      </w:pPr>
      <w:r>
        <w:rPr>
          <w:rStyle w:val="VerbatimChar"/>
        </w:rPr>
        <w:t xml:space="preserve">rotate the projection under context 0x3 by three accepted steps in the right-handed direction</w:t>
      </w:r>
    </w:p>
    <w:p>
      <w:pPr>
        <w:pStyle w:val="FirstParagraph"/>
      </w:pPr>
      <w:r>
        <w:t xml:space="preserve">But this is materialization policy, not gate policy.</w:t>
      </w:r>
    </w:p>
    <w:p>
      <w:r>
        <w:pict>
          <v:rect style="width:0;height:1.5pt" o:hralign="center" o:hrstd="t" o:hr="t"/>
        </w:pict>
      </w:r>
    </w:p>
    <w:bookmarkEnd w:id="33"/>
    <w:bookmarkStart w:id="34" w:name="no-separate-controller-channel"/>
    <w:p>
      <w:pPr>
        <w:pStyle w:val="Heading2"/>
      </w:pPr>
      <w:r>
        <w:t xml:space="preserve">12. No Separate Controller Channel</w:t>
      </w:r>
    </w:p>
    <w:p>
      <w:pPr>
        <w:pStyle w:val="FirstParagraph"/>
      </w:pPr>
      <w:r>
        <w:t xml:space="preserve">The controller vertices</w:t>
      </w:r>
      <w:r>
        <w:t xml:space="preserve"> </w:t>
      </w:r>
      <w:r>
        <w:rPr>
          <w:rStyle w:val="VerbatimChar"/>
        </w:rPr>
        <w:t xml:space="preserve">0xEC-0xEF</w:t>
      </w:r>
      <w:r>
        <w:t xml:space="preserve"> </w:t>
      </w:r>
      <w:r>
        <w:t xml:space="preserve">must not exist on a separate command channel.</w:t>
      </w:r>
    </w:p>
    <w:p>
      <w:pPr>
        <w:pStyle w:val="BodyText"/>
      </w:pPr>
      <w:r>
        <w:t xml:space="preserve">A separate channel would create double authority.</w:t>
      </w:r>
    </w:p>
    <w:p>
      <w:pPr>
        <w:pStyle w:val="BodyText"/>
      </w:pPr>
      <w:r>
        <w:t xml:space="preserve">It would allow a projection or UI to move the lens outside the receipt path.</w:t>
      </w:r>
    </w:p>
    <w:p>
      <w:pPr>
        <w:pStyle w:val="BodyText"/>
      </w:pPr>
      <w:r>
        <w:t xml:space="preserve">OMI rejects that.</w:t>
      </w:r>
    </w:p>
    <w:p>
      <w:pPr>
        <w:pStyle w:val="BodyText"/>
      </w:pPr>
      <w:r>
        <w:t xml:space="preserve">The rule is:</w:t>
      </w:r>
    </w:p>
    <w:p>
      <w:pPr>
        <w:pStyle w:val="SourceCode"/>
      </w:pPr>
      <w:r>
        <w:rPr>
          <w:rStyle w:val="VerbatimChar"/>
        </w:rPr>
        <w:t xml:space="preserve">No controller outside receipt.</w:t>
      </w:r>
    </w:p>
    <w:p>
      <w:pPr>
        <w:pStyle w:val="FirstParagraph"/>
      </w:pPr>
      <w:r>
        <w:t xml:space="preserve">A viewport, scale, rotation, boundary, opacity, or clipping change may be local and non-authoritative. But if it claims to be an accepted OMI view operation, it must come through the same frame pipeline:</w:t>
      </w:r>
    </w:p>
    <w:p>
      <w:pPr>
        <w:pStyle w:val="SourceCode"/>
      </w:pPr>
      <w:r>
        <w:rPr>
          <w:rStyle w:val="VerbatimChar"/>
        </w:rPr>
        <w:t xml:space="preserve">validate -&gt; resolve -&gt; record -&gt; materialize -&gt; project -&gt; inspect</w:t>
      </w:r>
    </w:p>
    <w:p>
      <w:pPr>
        <w:pStyle w:val="FirstParagraph"/>
      </w:pPr>
      <w:r>
        <w:t xml:space="preserve">The stricter viewport language is:</w:t>
      </w:r>
    </w:p>
    <w:p>
      <w:pPr>
        <w:pStyle w:val="SourceCode"/>
      </w:pPr>
      <w:r>
        <w:rPr>
          <w:rStyle w:val="VerbatimChar"/>
        </w:rPr>
        <w:t xml:space="preserve">The viewport is receipt-bound when controlled through 0xEC-0xEF. A conforming projection must not treat out-of-band camera or lens changes as accepted state.</w:t>
      </w:r>
    </w:p>
    <w:p>
      <w:pPr>
        <w:pStyle w:val="FirstParagraph"/>
      </w:pPr>
      <w:r>
        <w:t xml:space="preserve">This preserves the separation:</w:t>
      </w:r>
    </w:p>
    <w:p>
      <w:pPr>
        <w:pStyle w:val="SourceCode"/>
      </w:pPr>
      <w:r>
        <w:rPr>
          <w:rStyle w:val="VerbatimChar"/>
        </w:rPr>
        <w:t xml:space="preserve">local display may vary</w:t>
      </w:r>
      <w:r>
        <w:br/>
      </w:r>
      <w:r>
        <w:rPr>
          <w:rStyle w:val="VerbatimChar"/>
        </w:rPr>
        <w:t xml:space="preserve">accepted projection must be receipted</w:t>
      </w:r>
    </w:p>
    <w:p>
      <w:r>
        <w:pict>
          <v:rect style="width:0;height:1.5pt" o:hralign="center" o:hrstd="t" o:hr="t"/>
        </w:pict>
      </w:r>
    </w:p>
    <w:bookmarkEnd w:id="34"/>
    <w:bookmarkStart w:id="35" w:name="gate-and-materializer"/>
    <w:p>
      <w:pPr>
        <w:pStyle w:val="Heading2"/>
      </w:pPr>
      <w:r>
        <w:t xml:space="preserve">13. Gate and Materializer</w:t>
      </w:r>
    </w:p>
    <w:p>
      <w:pPr>
        <w:pStyle w:val="FirstParagraph"/>
      </w:pPr>
      <w:r>
        <w:t xml:space="preserve">The gate is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.</w:t>
      </w:r>
    </w:p>
    <w:p>
      <w:pPr>
        <w:pStyle w:val="BodyText"/>
      </w:pPr>
      <w:r>
        <w:t xml:space="preserve">The materializer is the rule registry and its implementations.</w:t>
      </w:r>
    </w:p>
    <w:p>
      <w:pPr>
        <w:pStyle w:val="BodyText"/>
      </w:pPr>
      <w:r>
        <w:t xml:space="preserve">The gate does:</w:t>
      </w:r>
    </w:p>
    <w:p>
      <w:pPr>
        <w:pStyle w:val="SourceCode"/>
      </w:pPr>
      <w:r>
        <w:rPr>
          <w:rStyle w:val="VerbatimChar"/>
        </w:rPr>
        <w:t xml:space="preserve">parse frame</w:t>
      </w:r>
      <w:r>
        <w:br/>
      </w:r>
      <w:r>
        <w:rPr>
          <w:rStyle w:val="VerbatimChar"/>
        </w:rPr>
        <w:t xml:space="preserve">validate Q_frame(S) = 0</w:t>
      </w:r>
      <w:r>
        <w:br/>
      </w:r>
      <w:r>
        <w:rPr>
          <w:rStyle w:val="VerbatimChar"/>
        </w:rPr>
        <w:t xml:space="preserve">extract (LL, NN, MM)</w:t>
      </w:r>
      <w:r>
        <w:br/>
      </w:r>
      <w:r>
        <w:rPr>
          <w:rStyle w:val="VerbatimChar"/>
        </w:rPr>
        <w:t xml:space="preserve">resolve NN -&gt; MM</w:t>
      </w:r>
      <w:r>
        <w:br/>
      </w:r>
      <w:r>
        <w:rPr>
          <w:rStyle w:val="VerbatimChar"/>
        </w:rPr>
        <w:t xml:space="preserve">derive context</w:t>
      </w:r>
      <w:r>
        <w:br/>
      </w:r>
      <w:r>
        <w:rPr>
          <w:rStyle w:val="VerbatimChar"/>
        </w:rPr>
        <w:t xml:space="preserve">derive slot_index</w:t>
      </w:r>
      <w:r>
        <w:br/>
      </w:r>
      <w:r>
        <w:rPr>
          <w:rStyle w:val="VerbatimChar"/>
        </w:rPr>
        <w:t xml:space="preserve">derive rule_slot</w:t>
      </w:r>
      <w:r>
        <w:br/>
      </w:r>
      <w:r>
        <w:rPr>
          <w:rStyle w:val="VerbatimChar"/>
        </w:rPr>
        <w:t xml:space="preserve">write receipt</w:t>
      </w:r>
      <w:r>
        <w:br/>
      </w:r>
      <w:r>
        <w:rPr>
          <w:rStyle w:val="VerbatimChar"/>
        </w:rPr>
        <w:t xml:space="preserve">emit envelope</w:t>
      </w:r>
    </w:p>
    <w:p>
      <w:pPr>
        <w:pStyle w:val="FirstParagraph"/>
      </w:pPr>
      <w:r>
        <w:t xml:space="preserve">The gate does not:</w:t>
      </w:r>
    </w:p>
    <w:p>
      <w:pPr>
        <w:pStyle w:val="SourceCode"/>
      </w:pPr>
      <w:r>
        <w:rPr>
          <w:rStyle w:val="VerbatimChar"/>
        </w:rPr>
        <w:t xml:space="preserve">know snub geometry</w:t>
      </w:r>
      <w:r>
        <w:br/>
      </w:r>
      <w:r>
        <w:rPr>
          <w:rStyle w:val="VerbatimChar"/>
        </w:rPr>
        <w:t xml:space="preserve">know Platonic solids</w:t>
      </w:r>
      <w:r>
        <w:br/>
      </w:r>
      <w:r>
        <w:rPr>
          <w:rStyle w:val="VerbatimChar"/>
        </w:rPr>
        <w:t xml:space="preserve">know Archimedean/Catalan duals</w:t>
      </w:r>
      <w:r>
        <w:br/>
      </w:r>
      <w:r>
        <w:rPr>
          <w:rStyle w:val="VerbatimChar"/>
        </w:rPr>
        <w:t xml:space="preserve">know DOM policy</w:t>
      </w:r>
      <w:r>
        <w:br/>
      </w:r>
      <w:r>
        <w:rPr>
          <w:rStyle w:val="VerbatimChar"/>
        </w:rPr>
        <w:t xml:space="preserve">know CSSOM policy</w:t>
      </w:r>
      <w:r>
        <w:br/>
      </w:r>
      <w:r>
        <w:rPr>
          <w:rStyle w:val="VerbatimChar"/>
        </w:rPr>
        <w:t xml:space="preserve">know JSDOM policy</w:t>
      </w:r>
      <w:r>
        <w:br/>
      </w:r>
      <w:r>
        <w:rPr>
          <w:rStyle w:val="VerbatimChar"/>
        </w:rPr>
        <w:t xml:space="preserve">know A-Frame policy</w:t>
      </w:r>
      <w:r>
        <w:br/>
      </w:r>
      <w:r>
        <w:rPr>
          <w:rStyle w:val="VerbatimChar"/>
        </w:rPr>
        <w:t xml:space="preserve">know portal UX</w:t>
      </w:r>
    </w:p>
    <w:p>
      <w:pPr>
        <w:pStyle w:val="FirstParagraph"/>
      </w:pPr>
      <w:r>
        <w:t xml:space="preserve">The materializer does:</w:t>
      </w:r>
    </w:p>
    <w:p>
      <w:pPr>
        <w:pStyle w:val="SourceCode"/>
      </w:pPr>
      <w:r>
        <w:rPr>
          <w:rStyle w:val="VerbatimChar"/>
        </w:rPr>
        <w:t xml:space="preserve">read accepted envelope</w:t>
      </w:r>
      <w:r>
        <w:br/>
      </w:r>
      <w:r>
        <w:rPr>
          <w:rStyle w:val="VerbatimChar"/>
        </w:rPr>
        <w:t xml:space="preserve">lookup rule_slot</w:t>
      </w:r>
      <w:r>
        <w:br/>
      </w:r>
      <w:r>
        <w:rPr>
          <w:rStyle w:val="VerbatimChar"/>
        </w:rPr>
        <w:t xml:space="preserve">apply registered pure implementation</w:t>
      </w:r>
      <w:r>
        <w:br/>
      </w:r>
      <w:r>
        <w:rPr>
          <w:rStyle w:val="VerbatimChar"/>
        </w:rPr>
        <w:t xml:space="preserve">respect context</w:t>
      </w:r>
      <w:r>
        <w:br/>
      </w:r>
      <w:r>
        <w:rPr>
          <w:rStyle w:val="VerbatimChar"/>
        </w:rPr>
        <w:t xml:space="preserve">respect steps</w:t>
      </w:r>
      <w:r>
        <w:br/>
      </w:r>
      <w:r>
        <w:rPr>
          <w:rStyle w:val="VerbatimChar"/>
        </w:rPr>
        <w:t xml:space="preserve">respect chirality</w:t>
      </w:r>
      <w:r>
        <w:br/>
      </w:r>
      <w:r>
        <w:rPr>
          <w:rStyle w:val="VerbatimChar"/>
        </w:rPr>
        <w:t xml:space="preserve">project result</w:t>
      </w:r>
      <w:r>
        <w:br/>
      </w:r>
      <w:r>
        <w:rPr>
          <w:rStyle w:val="VerbatimChar"/>
        </w:rPr>
        <w:t xml:space="preserve">explain result</w:t>
      </w:r>
    </w:p>
    <w:p>
      <w:pPr>
        <w:pStyle w:val="FirstParagraph"/>
      </w:pPr>
      <w:r>
        <w:t xml:space="preserve">The split is absolute:</w:t>
      </w:r>
    </w:p>
    <w:p>
      <w:pPr>
        <w:pStyle w:val="SourceCode"/>
      </w:pPr>
      <w:r>
        <w:rPr>
          <w:rStyle w:val="VerbatimChar"/>
        </w:rPr>
        <w:t xml:space="preserve">start.sh is the gate.</w:t>
      </w:r>
      <w:r>
        <w:br/>
      </w:r>
      <w:r>
        <w:rPr>
          <w:rStyle w:val="VerbatimChar"/>
        </w:rPr>
        <w:t xml:space="preserve">The registry is the materializer.</w:t>
      </w:r>
    </w:p>
    <w:p>
      <w:r>
        <w:pict>
          <v:rect style="width:0;height:1.5pt" o:hralign="center" o:hrstd="t" o:hr="t"/>
        </w:pict>
      </w:r>
    </w:p>
    <w:bookmarkEnd w:id="35"/>
    <w:bookmarkStart w:id="36" w:name="relation-to-the-4d-simplex"/>
    <w:p>
      <w:pPr>
        <w:pStyle w:val="Heading2"/>
      </w:pPr>
      <w:r>
        <w:t xml:space="preserve">14. Relation to the 4D Simplex</w:t>
      </w:r>
    </w:p>
    <w:p>
      <w:pPr>
        <w:pStyle w:val="FirstParagraph"/>
      </w:pPr>
      <w:r>
        <w:t xml:space="preserve">The final four controller vertices can be read as a 4-simplex-style closure surface.</w:t>
      </w:r>
    </w:p>
    <w:p>
      <w:pPr>
        <w:pStyle w:val="BodyText"/>
      </w:pPr>
      <w:r>
        <w:t xml:space="preserve">They are the folded controller vertices that make the materializer manifold complete.</w:t>
      </w:r>
    </w:p>
    <w:p>
      <w:pPr>
        <w:pStyle w:val="BodyText"/>
      </w:pPr>
      <w:r>
        <w:t xml:space="preserve">The first twelve slots give the dense packed field.</w:t>
      </w:r>
    </w:p>
    <w:p>
      <w:pPr>
        <w:pStyle w:val="BodyText"/>
      </w:pPr>
      <w:r>
        <w:t xml:space="preserve">The last four slots give the outer controller surface.</w:t>
      </w:r>
    </w:p>
    <w:p>
      <w:pPr>
        <w:pStyle w:val="BodyText"/>
      </w:pPr>
      <w:r>
        <w:t xml:space="preserve">This means the OMI execution band is not merely a list of sixteen commands. It is a folded topology:</w:t>
      </w:r>
    </w:p>
    <w:p>
      <w:pPr>
        <w:pStyle w:val="SourceCode"/>
      </w:pPr>
      <w:r>
        <w:rPr>
          <w:rStyle w:val="VerbatimChar"/>
        </w:rPr>
        <w:t xml:space="preserve">twelve inner operations</w:t>
      </w:r>
      <w:r>
        <w:br/>
      </w:r>
      <w:r>
        <w:rPr>
          <w:rStyle w:val="VerbatimChar"/>
        </w:rPr>
        <w:t xml:space="preserve">four outer vertices</w:t>
      </w:r>
      <w:r>
        <w:br/>
      </w:r>
      <w:r>
        <w:rPr>
          <w:rStyle w:val="VerbatimChar"/>
        </w:rPr>
        <w:t xml:space="preserve">one accepted manifold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</w:t>
      </w:r>
      <w:r>
        <w:t xml:space="preserve"> </w:t>
      </w:r>
      <w:r>
        <w:t xml:space="preserve">ket selects into that manifold.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NN/MM</w:t>
      </w:r>
      <w:r>
        <w:t xml:space="preserve"> </w:t>
      </w:r>
      <w:r>
        <w:t xml:space="preserve">pair proves the transition.</w:t>
      </w:r>
    </w:p>
    <w:p>
      <w:pPr>
        <w:pStyle w:val="BodyText"/>
      </w:pPr>
      <w:r>
        <w:t xml:space="preserve">The receipt closes the event.</w:t>
      </w:r>
    </w:p>
    <w:p>
      <w:r>
        <w:pict>
          <v:rect style="width:0;height:1.5pt" o:hralign="center" o:hrstd="t" o:hr="t"/>
        </w:pict>
      </w:r>
    </w:p>
    <w:bookmarkEnd w:id="36"/>
    <w:bookmarkStart w:id="37" w:name="final-canon"/>
    <w:p>
      <w:pPr>
        <w:pStyle w:val="Heading2"/>
      </w:pPr>
      <w:r>
        <w:t xml:space="preserve">15. Final Canon</w:t>
      </w:r>
    </w:p>
    <w:p>
      <w:pPr>
        <w:pStyle w:val="FirstParagraph"/>
      </w:pPr>
      <w:r>
        <w:t xml:space="preserve">The OMI truth row is:</w:t>
      </w:r>
    </w:p>
    <w:p>
      <w:pPr>
        <w:pStyle w:val="SourceCode"/>
      </w:pPr>
      <w:r>
        <w:rPr>
          <w:rStyle w:val="VerbatimChar"/>
        </w:rPr>
        <w:t xml:space="preserve">(LL, NN, MM)</w:t>
      </w:r>
    </w:p>
    <w:p>
      <w:pPr>
        <w:pStyle w:val="FirstParagraph"/>
      </w:pPr>
      <w:r>
        <w:rPr>
          <w:rStyle w:val="VerbatimChar"/>
        </w:rPr>
        <w:t xml:space="preserve">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are the proven transition pair.</w:t>
      </w:r>
    </w:p>
    <w:p>
      <w:pPr>
        <w:pStyle w:val="BodyText"/>
      </w:pPr>
      <w:r>
        <w:rPr>
          <w:rStyle w:val="VerbatimChar"/>
        </w:rPr>
        <w:t xml:space="preserve">LL</w:t>
      </w:r>
      <w:r>
        <w:t xml:space="preserve"> </w:t>
      </w:r>
      <w:r>
        <w:t xml:space="preserve">is the ket-like scope selector.</w:t>
      </w:r>
    </w:p>
    <w:p>
      <w:pPr>
        <w:pStyle w:val="BodyText"/>
      </w:pPr>
      <w:r>
        <w:t xml:space="preserve">Its high nibble carries forward context into the next scope.</w:t>
      </w:r>
    </w:p>
    <w:p>
      <w:pPr>
        <w:pStyle w:val="BodyText"/>
      </w:pPr>
      <w:r>
        <w:t xml:space="preserve">Its low nibble selects one address in the folded</w:t>
      </w:r>
      <w:r>
        <w:t xml:space="preserve"> </w:t>
      </w:r>
      <w:r>
        <w:rPr>
          <w:rStyle w:val="VerbatimChar"/>
        </w:rPr>
        <w:t xml:space="preserve">0xE_</w:t>
      </w:r>
      <w:r>
        <w:t xml:space="preserve"> </w:t>
      </w:r>
      <w:r>
        <w:t xml:space="preserve">execution manifold.</w:t>
      </w:r>
    </w:p>
    <w:p>
      <w:pPr>
        <w:pStyle w:val="BodyText"/>
      </w:pPr>
      <w:r>
        <w:t xml:space="preserve">The first twelve addresses expose the Archimedean/Catalan materializer field.</w:t>
      </w:r>
    </w:p>
    <w:p>
      <w:pPr>
        <w:pStyle w:val="BodyText"/>
      </w:pPr>
      <w:r>
        <w:t xml:space="preserve">The final four addresses expose the Platonic controller vertices of the simplex closure.</w:t>
      </w:r>
    </w:p>
    <w:p>
      <w:pPr>
        <w:pStyle w:val="BodyText"/>
      </w:pPr>
      <w:r>
        <w:t xml:space="preserve">The gate remains blind.</w:t>
      </w:r>
    </w:p>
    <w:p>
      <w:pPr>
        <w:pStyle w:val="BodyText"/>
      </w:pPr>
      <w:r>
        <w:t xml:space="preserve">The registry owns meaning.</w:t>
      </w:r>
    </w:p>
    <w:p>
      <w:pPr>
        <w:pStyle w:val="BodyText"/>
      </w:pPr>
      <w:r>
        <w:t xml:space="preserve">Short doctrine:</w:t>
      </w:r>
    </w:p>
    <w:p>
      <w:pPr>
        <w:pStyle w:val="SourceCode"/>
      </w:pPr>
      <w:r>
        <w:rPr>
          <w:rStyle w:val="VerbatimChar"/>
        </w:rPr>
        <w:t xml:space="preserve">LL scopes.</w:t>
      </w:r>
      <w:r>
        <w:br/>
      </w: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The high nibble carries.</w:t>
      </w:r>
      <w:r>
        <w:br/>
      </w:r>
      <w:r>
        <w:rPr>
          <w:rStyle w:val="VerbatimChar"/>
        </w:rPr>
        <w:t xml:space="preserve">The low nibble selects.</w:t>
      </w:r>
      <w:r>
        <w:br/>
      </w:r>
      <w:r>
        <w:rPr>
          <w:rStyle w:val="VerbatimChar"/>
        </w:rPr>
        <w:t xml:space="preserve">The first twelve pack.</w:t>
      </w:r>
      <w:r>
        <w:br/>
      </w:r>
      <w:r>
        <w:rPr>
          <w:rStyle w:val="VerbatimChar"/>
        </w:rPr>
        <w:t xml:space="preserve">The last four hold.</w:t>
      </w:r>
      <w:r>
        <w:br/>
      </w:r>
      <w:r>
        <w:rPr>
          <w:rStyle w:val="VerbatimChar"/>
        </w:rPr>
        <w:t xml:space="preserve">Receipt closes.</w:t>
      </w:r>
    </w:p>
    <w:p>
      <w:pPr>
        <w:pStyle w:val="FirstParagraph"/>
      </w:pPr>
      <w:r>
        <w:t xml:space="preserve">One-line canon:</w:t>
      </w:r>
    </w:p>
    <w:p>
      <w:pPr>
        <w:pStyle w:val="SourceCode"/>
      </w:pPr>
      <w:r>
        <w:rPr>
          <w:rStyle w:val="VerbatimChar"/>
        </w:rPr>
        <w:t xml:space="preserve">LL is the ket of the frame: a 4-bit carry-forward scope selector whose low nibble lands the accepted NN-&gt;MM transition inside the folded 0xE_ materializer manifold.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2026-06-07T14:15:33Z</dcterms:created>
  <dcterms:modified xsi:type="dcterms:W3CDTF">2026-06-07T14:15:33Z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