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7263686efab86bb6860f2ce171cdb12ba16c38"/>
    <w:p>
      <w:pPr>
        <w:pStyle w:val="Heading1"/>
      </w:pPr>
      <w:r>
        <w:t xml:space="preserve">OMI Gauge Table, F-Column Surface, and Byte-Ring Closure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Canonical working draft</w:t>
      </w:r>
      <w:r>
        <w:br/>
      </w:r>
      <w:r>
        <w:rPr>
          <w:b/>
          <w:bCs/>
        </w:rPr>
        <w:t xml:space="preserve">Layer:</w:t>
      </w:r>
      <w:r>
        <w:t xml:space="preserve"> </w:t>
      </w:r>
      <w:r>
        <w:t xml:space="preserve">notation / gauge table / proof bridge / port surface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OMI workbook notation, OMI-Port carrier notation, OMI-ISA witness fixtures, Coq proof alignment</w:t>
      </w:r>
    </w:p>
    <w:p>
      <w:r>
        <w:pict>
          <v:rect style="width:0;height:1.5pt" o:hralign="center" o:hrstd="t" o:hr="t"/>
        </w:pict>
      </w:r>
    </w:p>
    <w:bookmarkStart w:id="20" w:name="core-claim"/>
    <w:p>
      <w:pPr>
        <w:pStyle w:val="Heading2"/>
      </w:pPr>
      <w:r>
        <w:t xml:space="preserve">1. Core Claim</w:t>
      </w:r>
    </w:p>
    <w:p>
      <w:pPr>
        <w:pStyle w:val="FirstParagraph"/>
      </w:pPr>
      <w:r>
        <w:t xml:space="preserve">OMI notation begins in the hidden control plane, crosses into readable separation at</w:t>
      </w:r>
      <w:r>
        <w:t xml:space="preserve"> </w:t>
      </w:r>
      <w:r>
        <w:rPr>
          <w:rStyle w:val="VerbatimChar"/>
        </w:rPr>
        <w:t xml:space="preserve">0x20</w:t>
      </w:r>
      <w:r>
        <w:t xml:space="preserve">, branches through the printable F-column surface, and closes through the Null Ring byte cycle.</w:t>
      </w:r>
    </w:p>
    <w:p>
      <w:pPr>
        <w:pStyle w:val="BodyText"/>
      </w:pPr>
      <w:r>
        <w:t xml:space="preserve">The system has four linked surfaces:</w:t>
      </w:r>
    </w:p>
    <w:p>
      <w:pPr>
        <w:pStyle w:val="SourceCode"/>
      </w:pPr>
      <w:r>
        <w:rPr>
          <w:rStyle w:val="VerbatimChar"/>
        </w:rPr>
        <w:t xml:space="preserve">Pinch Point      0x00..0x1F</w:t>
      </w:r>
      <w:r>
        <w:br/>
      </w:r>
      <w:r>
        <w:rPr>
          <w:rStyle w:val="VerbatimChar"/>
        </w:rPr>
        <w:t xml:space="preserve">Gauge Control    0x1C..0x1F</w:t>
      </w:r>
      <w:r>
        <w:br/>
      </w:r>
      <w:r>
        <w:rPr>
          <w:rStyle w:val="VerbatimChar"/>
        </w:rPr>
        <w:t xml:space="preserve">Space Boundary   0x20</w:t>
      </w:r>
      <w:r>
        <w:br/>
      </w:r>
      <w:r>
        <w:rPr>
          <w:rStyle w:val="VerbatimChar"/>
        </w:rPr>
        <w:t xml:space="preserve">Branch Surface   0x1F..0x6F</w:t>
      </w:r>
      <w:r>
        <w:br/>
      </w:r>
      <w:r>
        <w:rPr>
          <w:rStyle w:val="VerbatimChar"/>
        </w:rPr>
        <w:t xml:space="preserve">Gauge Table      0x00..0x7F</w:t>
      </w:r>
      <w:r>
        <w:br/>
      </w:r>
      <w:r>
        <w:rPr>
          <w:rStyle w:val="VerbatimChar"/>
        </w:rPr>
        <w:t xml:space="preserve">Surrogate Field  0x7F..0xFF</w:t>
      </w:r>
    </w:p>
    <w:p>
      <w:pPr>
        <w:pStyle w:val="FirstParagraph"/>
      </w:pPr>
      <w:r>
        <w:t xml:space="preserve">The hidden control plane is:</w:t>
      </w:r>
    </w:p>
    <w:p>
      <w:pPr>
        <w:pStyle w:val="SourceCode"/>
      </w:pPr>
      <w:r>
        <w:rPr>
          <w:rStyle w:val="VerbatimChar"/>
        </w:rPr>
        <w:t xml:space="preserve">0x1C  FS   File / Frame Separator</w:t>
      </w:r>
      <w:r>
        <w:br/>
      </w:r>
      <w:r>
        <w:rPr>
          <w:rStyle w:val="VerbatimChar"/>
        </w:rPr>
        <w:t xml:space="preserve">0x1D  GS   Group / Graph Separator</w:t>
      </w:r>
      <w:r>
        <w:br/>
      </w:r>
      <w:r>
        <w:rPr>
          <w:rStyle w:val="VerbatimChar"/>
        </w:rPr>
        <w:t xml:space="preserve">0x1E  RS   Record / Relation Separator</w:t>
      </w:r>
      <w:r>
        <w:br/>
      </w:r>
      <w:r>
        <w:rPr>
          <w:rStyle w:val="VerbatimChar"/>
        </w:rPr>
        <w:t xml:space="preserve">0x1F  US   Unit / Symbol Separator</w:t>
      </w:r>
    </w:p>
    <w:p>
      <w:pPr>
        <w:pStyle w:val="FirstParagraph"/>
      </w:pPr>
      <w:r>
        <w:t xml:space="preserve">The printable F-column surface is:</w:t>
      </w:r>
    </w:p>
    <w:p>
      <w:pPr>
        <w:pStyle w:val="SourceCode"/>
      </w:pPr>
      <w:r>
        <w:rPr>
          <w:rStyle w:val="VerbatimChar"/>
        </w:rPr>
        <w:t xml:space="preserve">0x1F  US   hidden unit separator</w:t>
      </w:r>
      <w:r>
        <w:br/>
      </w:r>
      <w:r>
        <w:rPr>
          <w:rStyle w:val="VerbatimChar"/>
        </w:rPr>
        <w:t xml:space="preserve">0x2F  /    printable separator</w:t>
      </w:r>
      <w:r>
        <w:br/>
      </w:r>
      <w:r>
        <w:rPr>
          <w:rStyle w:val="VerbatimChar"/>
        </w:rPr>
        <w:t xml:space="preserve">0x3F  ?    witness/query separator</w:t>
      </w:r>
      <w:r>
        <w:br/>
      </w:r>
      <w:r>
        <w:rPr>
          <w:rStyle w:val="VerbatimChar"/>
        </w:rPr>
        <w:t xml:space="preserve">0x4F  O    upper/norm Omicron</w:t>
      </w:r>
      <w:r>
        <w:br/>
      </w:r>
      <w:r>
        <w:rPr>
          <w:rStyle w:val="VerbatimChar"/>
        </w:rPr>
        <w:t xml:space="preserve">0x5F  _    carrier/floor separator</w:t>
      </w:r>
      <w:r>
        <w:br/>
      </w:r>
      <w:r>
        <w:rPr>
          <w:rStyle w:val="VerbatimChar"/>
        </w:rPr>
        <w:t xml:space="preserve">0x6F  o    lower/local omicron</w:t>
      </w:r>
    </w:p>
    <w:p>
      <w:pPr>
        <w:pStyle w:val="FirstParagraph"/>
      </w:pPr>
      <w:r>
        <w:t xml:space="preserve">Canonical short rule:</w:t>
      </w:r>
    </w:p>
    <w:p>
      <w:pPr>
        <w:pStyle w:val="SourceCode"/>
      </w:pPr>
      <w:r>
        <w:rPr>
          <w:rStyle w:val="VerbatimChar"/>
        </w:rPr>
        <w:t xml:space="preserve">FS GS RS US are the hidden control gauges.</w:t>
      </w:r>
      <w:r>
        <w:br/>
      </w:r>
      <w:r>
        <w:rPr>
          <w:rStyle w:val="VerbatimChar"/>
        </w:rPr>
        <w:t xml:space="preserve">US / ? O _ o is the printable F-column branch.</w:t>
      </w:r>
    </w:p>
    <w:p>
      <w:r>
        <w:pict>
          <v:rect style="width:0;height:1.5pt" o:hralign="center" o:hrstd="t" o:hr="t"/>
        </w:pict>
      </w:r>
    </w:p>
    <w:bookmarkEnd w:id="20"/>
    <w:bookmarkStart w:id="21" w:name="X3c4f2d53f17a4cf0bdbc61e87cbfc68e81e7db9"/>
    <w:p>
      <w:pPr>
        <w:pStyle w:val="Heading2"/>
      </w:pPr>
      <w:r>
        <w:t xml:space="preserve">2. Hidden Gauge Control and Tangential Projection</w:t>
      </w:r>
    </w:p>
    <w:p>
      <w:pPr>
        <w:pStyle w:val="FirstParagraph"/>
      </w:pPr>
      <w:r>
        <w:t xml:space="preserve">The non-printing control plane runs from:</w:t>
      </w:r>
    </w:p>
    <w:p>
      <w:pPr>
        <w:pStyle w:val="SourceCode"/>
      </w:pPr>
      <w:r>
        <w:rPr>
          <w:rStyle w:val="VerbatimChar"/>
        </w:rPr>
        <w:t xml:space="preserve">0x00..0x1F</w:t>
      </w:r>
    </w:p>
    <w:p>
      <w:pPr>
        <w:pStyle w:val="FirstParagraph"/>
      </w:pPr>
      <w:r>
        <w:t xml:space="preserve">It ends in the gauge quartet:</w:t>
      </w:r>
    </w:p>
    <w:p>
      <w:pPr>
        <w:pStyle w:val="SourceCode"/>
      </w:pPr>
      <w:r>
        <w:rPr>
          <w:rStyle w:val="VerbatimChar"/>
        </w:rPr>
        <w:t xml:space="preserve">0x1C  FS</w:t>
      </w:r>
      <w:r>
        <w:br/>
      </w:r>
      <w:r>
        <w:rPr>
          <w:rStyle w:val="VerbatimChar"/>
        </w:rPr>
        <w:t xml:space="preserve">0x1D  GS</w:t>
      </w:r>
      <w:r>
        <w:br/>
      </w:r>
      <w:r>
        <w:rPr>
          <w:rStyle w:val="VerbatimChar"/>
        </w:rPr>
        <w:t xml:space="preserve">0x1E  RS</w:t>
      </w:r>
      <w:r>
        <w:br/>
      </w:r>
      <w:r>
        <w:rPr>
          <w:rStyle w:val="VerbatimChar"/>
        </w:rPr>
        <w:t xml:space="preserve">0x1F  US</w:t>
      </w:r>
    </w:p>
    <w:p>
      <w:pPr>
        <w:pStyle w:val="FirstParagraph"/>
      </w:pPr>
      <w:r>
        <w:t xml:space="preserve">This quartet is the tangential gauge operator for the system.</w:t>
      </w:r>
    </w:p>
    <w:p>
      <w:pPr>
        <w:pStyle w:val="BodyText"/>
      </w:pPr>
      <w:r>
        <w:t xml:space="preserve">It is linear in the byte table:</w:t>
      </w:r>
    </w:p>
    <w:p>
      <w:pPr>
        <w:pStyle w:val="SourceCode"/>
      </w:pPr>
      <w:r>
        <w:rPr>
          <w:rStyle w:val="VerbatimChar"/>
        </w:rPr>
        <w:t xml:space="preserve">0x00 ... 0x1C 0x1D 0x1E 0x1F</w:t>
      </w:r>
    </w:p>
    <w:p>
      <w:pPr>
        <w:pStyle w:val="FirstParagraph"/>
      </w:pPr>
      <w:r>
        <w:t xml:space="preserve">But when viewed through the ASCII table as a two-dimensional projection of a one-dimensional byte line, the hidden gauge quartet becomes the branch base for the printable F-column:</w:t>
      </w:r>
    </w:p>
    <w:p>
      <w:pPr>
        <w:pStyle w:val="SourceCode"/>
      </w:pPr>
      <w:r>
        <w:rPr>
          <w:rStyle w:val="VerbatimChar"/>
        </w:rPr>
        <w:t xml:space="preserve">0x1F  US</w:t>
      </w:r>
      <w:r>
        <w:br/>
      </w:r>
      <w:r>
        <w:rPr>
          <w:rStyle w:val="VerbatimChar"/>
        </w:rPr>
        <w:t xml:space="preserve">0x2F  /</w:t>
      </w:r>
      <w:r>
        <w:br/>
      </w:r>
      <w:r>
        <w:rPr>
          <w:rStyle w:val="VerbatimChar"/>
        </w:rPr>
        <w:t xml:space="preserve">0x3F  ?</w:t>
      </w:r>
      <w:r>
        <w:br/>
      </w:r>
      <w:r>
        <w:rPr>
          <w:rStyle w:val="VerbatimChar"/>
        </w:rPr>
        <w:t xml:space="preserve">0x4F  O</w:t>
      </w:r>
      <w:r>
        <w:br/>
      </w:r>
      <w:r>
        <w:rPr>
          <w:rStyle w:val="VerbatimChar"/>
        </w:rPr>
        <w:t xml:space="preserve">0x5F  _</w:t>
      </w:r>
      <w:r>
        <w:br/>
      </w:r>
      <w:r>
        <w:rPr>
          <w:rStyle w:val="VerbatimChar"/>
        </w:rPr>
        <w:t xml:space="preserve">0x6F  o</w:t>
      </w:r>
    </w:p>
    <w:p>
      <w:pPr>
        <w:pStyle w:val="FirstParagraph"/>
      </w:pPr>
      <w:r>
        <w:t xml:space="preserve">Thus:</w:t>
      </w:r>
    </w:p>
    <w:p>
      <w:pPr>
        <w:pStyle w:val="SourceCode"/>
      </w:pPr>
      <w:r>
        <w:rPr>
          <w:rStyle w:val="VerbatimChar"/>
        </w:rPr>
        <w:t xml:space="preserve">0x1F is the hidden unit separator.</w:t>
      </w:r>
      <w:r>
        <w:br/>
      </w:r>
      <w:r>
        <w:rPr>
          <w:rStyle w:val="VerbatimChar"/>
        </w:rPr>
        <w:t xml:space="preserve">0x2F is the first printable path separator.</w:t>
      </w:r>
      <w:r>
        <w:br/>
      </w:r>
      <w:r>
        <w:rPr>
          <w:rStyle w:val="VerbatimChar"/>
        </w:rPr>
        <w:t xml:space="preserve">0x3F is the query/witness separator.</w:t>
      </w:r>
      <w:r>
        <w:br/>
      </w:r>
      <w:r>
        <w:rPr>
          <w:rStyle w:val="VerbatimChar"/>
        </w:rPr>
        <w:t xml:space="preserve">0x4F is upper Omicron.</w:t>
      </w:r>
      <w:r>
        <w:br/>
      </w:r>
      <w:r>
        <w:rPr>
          <w:rStyle w:val="VerbatimChar"/>
        </w:rPr>
        <w:t xml:space="preserve">0x5F is the carrier floor.</w:t>
      </w:r>
      <w:r>
        <w:br/>
      </w:r>
      <w:r>
        <w:rPr>
          <w:rStyle w:val="VerbatimChar"/>
        </w:rPr>
        <w:t xml:space="preserve">0x6F is lower omicron.</w:t>
      </w:r>
    </w:p>
    <w:p>
      <w:pPr>
        <w:pStyle w:val="FirstParagraph"/>
      </w:pPr>
      <w:r>
        <w:t xml:space="preserve">The space byte is the hinge:</w:t>
      </w:r>
    </w:p>
    <w:p>
      <w:pPr>
        <w:pStyle w:val="SourceCode"/>
      </w:pPr>
      <w:r>
        <w:rPr>
          <w:rStyle w:val="VerbatimChar"/>
        </w:rPr>
        <w:t xml:space="preserve">0x20  SP</w:t>
      </w:r>
    </w:p>
    <w:p>
      <w:pPr>
        <w:pStyle w:val="FirstParagraph"/>
      </w:pPr>
      <w:r>
        <w:t xml:space="preserve">At</w:t>
      </w:r>
      <w:r>
        <w:t xml:space="preserve"> </w:t>
      </w:r>
      <w:r>
        <w:rPr>
          <w:rStyle w:val="VerbatimChar"/>
        </w:rPr>
        <w:t xml:space="preserve">0x20</w:t>
      </w:r>
      <w:r>
        <w:t xml:space="preserve">, the hidden control plane becomes readable separation.</w:t>
      </w:r>
    </w:p>
    <w:p>
      <w:r>
        <w:pict>
          <v:rect style="width:0;height:1.5pt" o:hralign="center" o:hrstd="t" o:hr="t"/>
        </w:pict>
      </w:r>
    </w:p>
    <w:bookmarkEnd w:id="21"/>
    <w:bookmarkStart w:id="22" w:name="space-branch-gauge-table-and-surrogates"/>
    <w:p>
      <w:pPr>
        <w:pStyle w:val="Heading2"/>
      </w:pPr>
      <w:r>
        <w:t xml:space="preserve">3. Space, Branch, Gauge Table, and Surrogates</w:t>
      </w:r>
    </w:p>
    <w:p>
      <w:pPr>
        <w:pStyle w:val="FirstParagraph"/>
      </w:pPr>
      <w:r>
        <w:t xml:space="preserve">The system may be read as a staged byte surface:</w:t>
      </w:r>
    </w:p>
    <w:p>
      <w:pPr>
        <w:pStyle w:val="SourceCode"/>
      </w:pPr>
      <w:r>
        <w:rPr>
          <w:rStyle w:val="VerbatimChar"/>
        </w:rPr>
        <w:t xml:space="preserve">Pinch Point:</w:t>
      </w:r>
      <w:r>
        <w:br/>
      </w:r>
      <w:r>
        <w:rPr>
          <w:rStyle w:val="VerbatimChar"/>
        </w:rPr>
        <w:t xml:space="preserve">  0x00..0x1F</w:t>
      </w:r>
      <w:r>
        <w:br/>
      </w:r>
      <w:r>
        <w:br/>
      </w:r>
      <w:r>
        <w:rPr>
          <w:rStyle w:val="VerbatimChar"/>
        </w:rPr>
        <w:t xml:space="preserve">Gauge Control:</w:t>
      </w:r>
      <w:r>
        <w:br/>
      </w:r>
      <w:r>
        <w:rPr>
          <w:rStyle w:val="VerbatimChar"/>
        </w:rPr>
        <w:t xml:space="preserve">  0x1C..0x1F</w:t>
      </w:r>
      <w:r>
        <w:br/>
      </w:r>
      <w:r>
        <w:br/>
      </w:r>
      <w:r>
        <w:rPr>
          <w:rStyle w:val="VerbatimChar"/>
        </w:rPr>
        <w:t xml:space="preserve">Space:</w:t>
      </w:r>
      <w:r>
        <w:br/>
      </w:r>
      <w:r>
        <w:rPr>
          <w:rStyle w:val="VerbatimChar"/>
        </w:rPr>
        <w:t xml:space="preserve">  0x20</w:t>
      </w:r>
      <w:r>
        <w:br/>
      </w:r>
      <w:r>
        <w:br/>
      </w:r>
      <w:r>
        <w:rPr>
          <w:rStyle w:val="VerbatimChar"/>
        </w:rPr>
        <w:t xml:space="preserve">Branch Point:</w:t>
      </w:r>
      <w:r>
        <w:br/>
      </w:r>
      <w:r>
        <w:rPr>
          <w:rStyle w:val="VerbatimChar"/>
        </w:rPr>
        <w:t xml:space="preserve">  0x1F..0x6F</w:t>
      </w:r>
      <w:r>
        <w:br/>
      </w:r>
      <w:r>
        <w:br/>
      </w:r>
      <w:r>
        <w:rPr>
          <w:rStyle w:val="VerbatimChar"/>
        </w:rPr>
        <w:t xml:space="preserve">Gauge Table:</w:t>
      </w:r>
      <w:r>
        <w:br/>
      </w:r>
      <w:r>
        <w:rPr>
          <w:rStyle w:val="VerbatimChar"/>
        </w:rPr>
        <w:t xml:space="preserve">  0x00..0x7F</w:t>
      </w:r>
      <w:r>
        <w:br/>
      </w:r>
      <w:r>
        <w:br/>
      </w:r>
      <w:r>
        <w:rPr>
          <w:rStyle w:val="VerbatimChar"/>
        </w:rPr>
        <w:t xml:space="preserve">Interpretive Space:</w:t>
      </w:r>
      <w:r>
        <w:br/>
      </w:r>
      <w:r>
        <w:rPr>
          <w:rStyle w:val="VerbatimChar"/>
        </w:rPr>
        <w:t xml:space="preserve">  0x80</w:t>
      </w:r>
      <w:r>
        <w:br/>
      </w:r>
      <w:r>
        <w:br/>
      </w:r>
      <w:r>
        <w:rPr>
          <w:rStyle w:val="VerbatimChar"/>
        </w:rPr>
        <w:t xml:space="preserve">Complementary Surrogate Annotations:</w:t>
      </w:r>
      <w:r>
        <w:br/>
      </w:r>
      <w:r>
        <w:rPr>
          <w:rStyle w:val="VerbatimChar"/>
        </w:rPr>
        <w:t xml:space="preserve">  0x7F..0xFF</w:t>
      </w:r>
    </w:p>
    <w:p>
      <w:pPr>
        <w:pStyle w:val="FirstParagraph"/>
      </w:pPr>
      <w:r>
        <w:t xml:space="preserve">The first readable separation occurs at:</w:t>
      </w:r>
    </w:p>
    <w:p>
      <w:pPr>
        <w:pStyle w:val="SourceCode"/>
      </w:pPr>
      <w:r>
        <w:rPr>
          <w:rStyle w:val="VerbatimChar"/>
        </w:rPr>
        <w:t xml:space="preserve">0x20</w:t>
      </w:r>
    </w:p>
    <w:p>
      <w:pPr>
        <w:pStyle w:val="FirstParagraph"/>
      </w:pPr>
      <w:r>
        <w:t xml:space="preserve">The first deletion/seal boundary occurs at:</w:t>
      </w:r>
    </w:p>
    <w:p>
      <w:pPr>
        <w:pStyle w:val="SourceCode"/>
      </w:pPr>
      <w:r>
        <w:rPr>
          <w:rStyle w:val="VerbatimChar"/>
        </w:rPr>
        <w:t xml:space="preserve">0x7F</w:t>
      </w:r>
    </w:p>
    <w:p>
      <w:pPr>
        <w:pStyle w:val="FirstParagraph"/>
      </w:pPr>
      <w:r>
        <w:t xml:space="preserve">The saturated carrier horizon occurs at:</w:t>
      </w:r>
    </w:p>
    <w:p>
      <w:pPr>
        <w:pStyle w:val="SourceCode"/>
      </w:pPr>
      <w:r>
        <w:rPr>
          <w:rStyle w:val="VerbatimChar"/>
        </w:rPr>
        <w:t xml:space="preserve">0xFF</w:t>
      </w:r>
    </w:p>
    <w:p>
      <w:pPr>
        <w:pStyle w:val="FirstParagraph"/>
      </w:pPr>
      <w:r>
        <w:t xml:space="preserve">The interpretive midpoint above the seven-bit gauge table is:</w:t>
      </w:r>
    </w:p>
    <w:p>
      <w:pPr>
        <w:pStyle w:val="SourceCode"/>
      </w:pPr>
      <w:r>
        <w:rPr>
          <w:rStyle w:val="VerbatimChar"/>
        </w:rPr>
        <w:t xml:space="preserve">0x80</w:t>
      </w:r>
    </w:p>
    <w:p>
      <w:pPr>
        <w:pStyle w:val="FirstParagraph"/>
      </w:pPr>
      <w:r>
        <w:t xml:space="preserve">The local/private/public/remote interpretation of</w:t>
      </w:r>
      <w:r>
        <w:t xml:space="preserve"> </w:t>
      </w:r>
      <w:r>
        <w:rPr>
          <w:rStyle w:val="VerbatimChar"/>
        </w:rPr>
        <w:t xml:space="preserve">0x80..0xFF</w:t>
      </w:r>
      <w:r>
        <w:t xml:space="preserve"> </w:t>
      </w:r>
      <w:r>
        <w:t xml:space="preserve">remains an open declarative-resolution layer. It should not be overclaimed yet.</w:t>
      </w:r>
    </w:p>
    <w:p>
      <w:pPr>
        <w:pStyle w:val="BodyText"/>
      </w:pPr>
      <w:r>
        <w:t xml:space="preserve">Working placeholder:</w:t>
      </w:r>
    </w:p>
    <w:p>
      <w:pPr>
        <w:pStyle w:val="SourceCode"/>
      </w:pPr>
      <w:r>
        <w:rPr>
          <w:rStyle w:val="VerbatimChar"/>
        </w:rPr>
        <w:t xml:space="preserve">0x80..0x8F  declared frame constructions</w:t>
      </w:r>
      <w:r>
        <w:br/>
      </w:r>
      <w:r>
        <w:rPr>
          <w:rStyle w:val="VerbatimChar"/>
        </w:rPr>
        <w:t xml:space="preserve">0x90..0x9F  buffer configurations</w:t>
      </w:r>
      <w:r>
        <w:br/>
      </w:r>
      <w:r>
        <w:rPr>
          <w:rStyle w:val="VerbatimChar"/>
        </w:rPr>
        <w:t xml:space="preserve">0xA0..0xAF  attestation and scribe-facing annotations</w:t>
      </w:r>
      <w:r>
        <w:br/>
      </w:r>
      <w:r>
        <w:rPr>
          <w:rStyle w:val="VerbatimChar"/>
        </w:rPr>
        <w:t xml:space="preserve">0xB0..0xBF  escape / alias / carrier transition space</w:t>
      </w:r>
      <w:r>
        <w:br/>
      </w:r>
      <w:r>
        <w:rPr>
          <w:rStyle w:val="VerbatimChar"/>
        </w:rPr>
        <w:t xml:space="preserve">0xC0..0xFF  place-value extension and surrogate annotation space</w:t>
      </w:r>
    </w:p>
    <w:p>
      <w:pPr>
        <w:pStyle w:val="FirstParagraph"/>
      </w:pPr>
      <w:r>
        <w:t xml:space="preserve">Boundary:</w:t>
      </w:r>
    </w:p>
    <w:p>
      <w:pPr>
        <w:pStyle w:val="SourceCode"/>
      </w:pPr>
      <w:r>
        <w:rPr>
          <w:rStyle w:val="VerbatimChar"/>
        </w:rPr>
        <w:t xml:space="preserve">The upper byte field may annotate, surrogate, escape, or extend.</w:t>
      </w:r>
      <w:r>
        <w:br/>
      </w:r>
      <w:r>
        <w:rPr>
          <w:rStyle w:val="VerbatimChar"/>
        </w:rPr>
        <w:t xml:space="preserve">It does not automatically validate or receipt.</w:t>
      </w:r>
    </w:p>
    <w:p>
      <w:r>
        <w:pict>
          <v:rect style="width:0;height:1.5pt" o:hralign="center" o:hrstd="t" o:hr="t"/>
        </w:pict>
      </w:r>
    </w:p>
    <w:bookmarkEnd w:id="22"/>
    <w:bookmarkStart w:id="23" w:name="omicron-resolver-envelope"/>
    <w:p>
      <w:pPr>
        <w:pStyle w:val="Heading2"/>
      </w:pPr>
      <w:r>
        <w:t xml:space="preserve">4. Omicron Resolver Envelope</w:t>
      </w:r>
    </w:p>
    <w:p>
      <w:pPr>
        <w:pStyle w:val="FirstParagraph"/>
      </w:pPr>
      <w:r>
        <w:t xml:space="preserve">The Omicron resolver envelope is parameterized by an F-band gauge:</w:t>
      </w:r>
    </w:p>
    <w:p>
      <w:pPr>
        <w:pStyle w:val="SourceCode"/>
      </w:pPr>
      <w:r>
        <w:rPr>
          <w:rStyle w:val="VerbatimChar"/>
        </w:rPr>
        <w:t xml:space="preserve">Fδ 00 1C 1D 1E 1F 20 Fδ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Fδ ∈ 0xF0..0xFF</w:t>
      </w:r>
    </w:p>
    <w:p>
      <w:pPr>
        <w:pStyle w:val="FirstParagraph"/>
      </w:pPr>
      <w:r>
        <w:t xml:space="preserve">The canonical closure envelope is:</w:t>
      </w:r>
    </w:p>
    <w:p>
      <w:pPr>
        <w:pStyle w:val="SourceCode"/>
      </w:pPr>
      <w:r>
        <w:rPr>
          <w:rStyle w:val="VerbatimChar"/>
        </w:rPr>
        <w:t xml:space="preserve">FF 00 1C 1D 1E 1F 20 FF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Fδ   selected F-band gauge / resolver horizon</w:t>
      </w:r>
      <w:r>
        <w:br/>
      </w:r>
      <w:r>
        <w:rPr>
          <w:rStyle w:val="VerbatimChar"/>
        </w:rPr>
        <w:t xml:space="preserve">00   NUL origin</w:t>
      </w:r>
      <w:r>
        <w:br/>
      </w:r>
      <w:r>
        <w:rPr>
          <w:rStyle w:val="VerbatimChar"/>
        </w:rPr>
        <w:t xml:space="preserve">1C   FS frame boundary</w:t>
      </w:r>
      <w:r>
        <w:br/>
      </w:r>
      <w:r>
        <w:rPr>
          <w:rStyle w:val="VerbatimChar"/>
        </w:rPr>
        <w:t xml:space="preserve">1D   GS group boundary</w:t>
      </w:r>
      <w:r>
        <w:br/>
      </w:r>
      <w:r>
        <w:rPr>
          <w:rStyle w:val="VerbatimChar"/>
        </w:rPr>
        <w:t xml:space="preserve">1E   RS relation boundary / diagonal closure witness</w:t>
      </w:r>
      <w:r>
        <w:br/>
      </w:r>
      <w:r>
        <w:rPr>
          <w:rStyle w:val="VerbatimChar"/>
        </w:rPr>
        <w:t xml:space="preserve">1F   US unit boundary</w:t>
      </w:r>
      <w:r>
        <w:br/>
      </w:r>
      <w:r>
        <w:rPr>
          <w:rStyle w:val="VerbatimChar"/>
        </w:rPr>
        <w:t xml:space="preserve">20   readable space boundary</w:t>
      </w:r>
      <w:r>
        <w:br/>
      </w:r>
      <w:r>
        <w:rPr>
          <w:rStyle w:val="VerbatimChar"/>
        </w:rPr>
        <w:t xml:space="preserve">Fδ   matching resolver closure</w:t>
      </w:r>
    </w:p>
    <w:p>
      <w:pPr>
        <w:pStyle w:val="FirstParagraph"/>
      </w:pPr>
      <w:r>
        <w:t xml:space="preserve">Authority boundary:</w:t>
      </w:r>
    </w:p>
    <w:p>
      <w:pPr>
        <w:pStyle w:val="SourceCode"/>
      </w:pPr>
      <w:r>
        <w:rPr>
          <w:rStyle w:val="VerbatimChar"/>
        </w:rPr>
        <w:t xml:space="preserve">Omicron frames.</w:t>
      </w:r>
      <w:r>
        <w:br/>
      </w:r>
      <w:r>
        <w:rPr>
          <w:rStyle w:val="VerbatimChar"/>
        </w:rPr>
        <w:t xml:space="preserve">Omicron does not validate.</w:t>
      </w:r>
      <w:r>
        <w:br/>
      </w:r>
      <w:r>
        <w:rPr>
          <w:rStyle w:val="VerbatimChar"/>
        </w:rPr>
        <w:t xml:space="preserve">Omicron does not receipt.</w:t>
      </w:r>
    </w:p>
    <w:p>
      <w:r>
        <w:pict>
          <v:rect style="width:0;height:1.5pt" o:hralign="center" o:hrstd="t" o:hr="t"/>
        </w:pict>
      </w:r>
    </w:p>
    <w:bookmarkEnd w:id="23"/>
    <w:bookmarkStart w:id="24" w:name="omi-notation-citation-surface"/>
    <w:p>
      <w:pPr>
        <w:pStyle w:val="Heading2"/>
      </w:pPr>
      <w:r>
        <w:t xml:space="preserve">5. OMI Notation Citation Surface</w:t>
      </w:r>
    </w:p>
    <w:p>
      <w:pPr>
        <w:pStyle w:val="FirstParagraph"/>
      </w:pPr>
      <w:r>
        <w:t xml:space="preserve">OMI notation may be written as a citation ket:</w:t>
      </w:r>
    </w:p>
    <w:p>
      <w:pPr>
        <w:pStyle w:val="SourceCode"/>
      </w:pPr>
      <w:r>
        <w:rPr>
          <w:rStyle w:val="VerbatimChar"/>
        </w:rPr>
        <w:t xml:space="preserve">|OMI---IMO&gt;</w:t>
      </w:r>
    </w:p>
    <w:p>
      <w:pPr>
        <w:pStyle w:val="FirstParagraph"/>
      </w:pPr>
      <w:r>
        <w:t xml:space="preserve">or as the folded route:</w:t>
      </w:r>
    </w:p>
    <w:p>
      <w:pPr>
        <w:pStyle w:val="SourceCode"/>
      </w:pPr>
      <w:r>
        <w:rPr>
          <w:rStyle w:val="VerbatimChar"/>
        </w:rPr>
        <w:t xml:space="preserve">omi---imo</w:t>
      </w:r>
    </w:p>
    <w:p>
      <w:pPr>
        <w:pStyle w:val="FirstParagraph"/>
      </w:pPr>
      <w:r>
        <w:t xml:space="preserve">The transport carrier begins with:</w:t>
      </w:r>
    </w:p>
    <w:p>
      <w:pPr>
        <w:pStyle w:val="SourceCode"/>
      </w:pPr>
      <w:r>
        <w:rPr>
          <w:rStyle w:val="VerbatimChar"/>
        </w:rPr>
        <w:t xml:space="preserve">omi---imo US/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US/</w:t>
      </w:r>
      <w:r>
        <w:t xml:space="preserve"> </w:t>
      </w:r>
      <w:r>
        <w:t xml:space="preserve">means:</w:t>
      </w:r>
    </w:p>
    <w:p>
      <w:pPr>
        <w:pStyle w:val="SourceCode"/>
      </w:pPr>
      <w:r>
        <w:rPr>
          <w:rStyle w:val="VerbatimChar"/>
        </w:rPr>
        <w:t xml:space="preserve">0x1F  hidden unit separator</w:t>
      </w:r>
      <w:r>
        <w:br/>
      </w:r>
      <w:r>
        <w:rPr>
          <w:rStyle w:val="VerbatimChar"/>
        </w:rPr>
        <w:t xml:space="preserve">0x2F  printable separator</w:t>
      </w:r>
    </w:p>
    <w:p>
      <w:pPr>
        <w:pStyle w:val="FirstParagraph"/>
      </w:pPr>
      <w:r>
        <w:t xml:space="preserve">The printable branch alias is:</w:t>
      </w:r>
    </w:p>
    <w:p>
      <w:pPr>
        <w:pStyle w:val="SourceCode"/>
      </w:pPr>
      <w:r>
        <w:rPr>
          <w:rStyle w:val="VerbatimChar"/>
        </w:rPr>
        <w:t xml:space="preserve">?O_o</w:t>
      </w:r>
    </w:p>
    <w:p>
      <w:pPr>
        <w:pStyle w:val="FirstParagraph"/>
      </w:pPr>
      <w:r>
        <w:t xml:space="preserve">Therefore the compact canonical alias is:</w:t>
      </w:r>
    </w:p>
    <w:p>
      <w:pPr>
        <w:pStyle w:val="SourceCode"/>
      </w:pPr>
      <w:r>
        <w:rPr>
          <w:rStyle w:val="VerbatimChar"/>
        </w:rPr>
        <w:t xml:space="preserve">omi---imo?O_o</w:t>
      </w:r>
    </w:p>
    <w:p>
      <w:pPr>
        <w:pStyle w:val="FirstParagraph"/>
      </w:pPr>
      <w:r>
        <w:t xml:space="preserve">This may be read as:</w:t>
      </w:r>
    </w:p>
    <w:p>
      <w:pPr>
        <w:pStyle w:val="SourceCode"/>
      </w:pPr>
      <w:r>
        <w:rPr>
          <w:rStyle w:val="VerbatimChar"/>
        </w:rPr>
        <w:t xml:space="preserve">omi---imo</w:t>
      </w:r>
      <w:r>
        <w:br/>
      </w:r>
      <w:r>
        <w:rPr>
          <w:rStyle w:val="VerbatimChar"/>
        </w:rPr>
        <w:t xml:space="preserve">  root folded relation</w:t>
      </w:r>
      <w:r>
        <w:br/>
      </w:r>
      <w:r>
        <w:br/>
      </w:r>
      <w:r>
        <w:rPr>
          <w:rStyle w:val="VerbatimChar"/>
        </w:rPr>
        <w:t xml:space="preserve">?</w:t>
      </w:r>
      <w:r>
        <w:br/>
      </w:r>
      <w:r>
        <w:rPr>
          <w:rStyle w:val="VerbatimChar"/>
        </w:rPr>
        <w:t xml:space="preserve">  witness/query separator</w:t>
      </w:r>
      <w:r>
        <w:br/>
      </w:r>
      <w:r>
        <w:br/>
      </w:r>
      <w:r>
        <w:rPr>
          <w:rStyle w:val="VerbatimChar"/>
        </w:rPr>
        <w:t xml:space="preserve">O</w:t>
      </w:r>
      <w:r>
        <w:br/>
      </w:r>
      <w:r>
        <w:rPr>
          <w:rStyle w:val="VerbatimChar"/>
        </w:rPr>
        <w:t xml:space="preserve">  upper/norm Omicron</w:t>
      </w:r>
      <w:r>
        <w:br/>
      </w:r>
      <w:r>
        <w:br/>
      </w:r>
      <w:r>
        <w:rPr>
          <w:rStyle w:val="VerbatimChar"/>
        </w:rPr>
        <w:t xml:space="preserve">_</w:t>
      </w:r>
      <w:r>
        <w:br/>
      </w:r>
      <w:r>
        <w:rPr>
          <w:rStyle w:val="VerbatimChar"/>
        </w:rPr>
        <w:t xml:space="preserve">  carrier/floor separator</w:t>
      </w:r>
      <w:r>
        <w:br/>
      </w:r>
      <w:r>
        <w:br/>
      </w:r>
      <w:r>
        <w:rPr>
          <w:rStyle w:val="VerbatimChar"/>
        </w:rPr>
        <w:t xml:space="preserve">o</w:t>
      </w:r>
      <w:r>
        <w:br/>
      </w:r>
      <w:r>
        <w:rPr>
          <w:rStyle w:val="VerbatimChar"/>
        </w:rPr>
        <w:t xml:space="preserve">  lower/local omicron</w:t>
      </w:r>
    </w:p>
    <w:p>
      <w:pPr>
        <w:pStyle w:val="FirstParagraph"/>
      </w:pPr>
      <w:r>
        <w:t xml:space="preserve">Expanded relation surface:</w:t>
      </w:r>
    </w:p>
    <w:p>
      <w:pPr>
        <w:pStyle w:val="SourceCode"/>
      </w:pPr>
      <w:r>
        <w:rPr>
          <w:rStyle w:val="VerbatimChar"/>
        </w:rPr>
        <w:t xml:space="preserve">omi---imo/?---?O---O_---_o---o</w:t>
      </w:r>
    </w:p>
    <w:p>
      <w:pPr>
        <w:pStyle w:val="FirstParagraph"/>
      </w:pPr>
      <w:r>
        <w:t xml:space="preserve">Canonical distinction:</w:t>
      </w:r>
    </w:p>
    <w:p>
      <w:pPr>
        <w:pStyle w:val="SourceCode"/>
      </w:pPr>
      <w:r>
        <w:rPr>
          <w:rStyle w:val="VerbatimChar"/>
        </w:rPr>
        <w:t xml:space="preserve">#/ belongs to carrier compatibility syntax.</w:t>
      </w:r>
      <w:r>
        <w:br/>
      </w:r>
      <w:r>
        <w:rPr>
          <w:rStyle w:val="VerbatimChar"/>
        </w:rPr>
        <w:t xml:space="preserve">?O_o belongs to OMI-native notation.</w:t>
      </w:r>
    </w:p>
    <w:p>
      <w:r>
        <w:pict>
          <v:rect style="width:0;height:1.5pt" o:hralign="center" o:hrstd="t" o:hr="t"/>
        </w:pict>
      </w:r>
    </w:p>
    <w:bookmarkEnd w:id="24"/>
    <w:bookmarkStart w:id="25" w:name="place-value-cascade"/>
    <w:p>
      <w:pPr>
        <w:pStyle w:val="Heading2"/>
      </w:pPr>
      <w:r>
        <w:t xml:space="preserve">6. Place-Value Cascade</w:t>
      </w:r>
    </w:p>
    <w:p>
      <w:pPr>
        <w:pStyle w:val="FirstParagraph"/>
      </w:pPr>
      <w:r>
        <w:t xml:space="preserve">The branch surface cascades through hexadecimal place-value lanes.</w:t>
      </w:r>
    </w:p>
    <w:p>
      <w:pPr>
        <w:pStyle w:val="BodyText"/>
      </w:pPr>
      <w:r>
        <w:t xml:space="preserve">The compact OMI surface may begin with:</w:t>
      </w:r>
    </w:p>
    <w:p>
      <w:pPr>
        <w:pStyle w:val="SourceCode"/>
      </w:pPr>
      <w:r>
        <w:rPr>
          <w:rStyle w:val="VerbatimChar"/>
        </w:rPr>
        <w:t xml:space="preserve">omi---imo US/</w:t>
      </w:r>
    </w:p>
    <w:p>
      <w:pPr>
        <w:pStyle w:val="FirstParagraph"/>
      </w:pPr>
      <w:r>
        <w:t xml:space="preserve">and cascade through</w:t>
      </w:r>
      <w:r>
        <w:t xml:space="preserve"> </w:t>
      </w:r>
      <w:r>
        <w:rPr>
          <w:rStyle w:val="VerbatimChar"/>
        </w:rPr>
        <w:t xml:space="preserve">?O_o</w:t>
      </w:r>
      <w:r>
        <w:t xml:space="preserve"> </w:t>
      </w:r>
      <w:r>
        <w:t xml:space="preserve">as the visible place-value branch:</w:t>
      </w:r>
    </w:p>
    <w:p>
      <w:pPr>
        <w:pStyle w:val="SourceCode"/>
      </w:pPr>
      <w:r>
        <w:rPr>
          <w:rStyle w:val="VerbatimChar"/>
        </w:rPr>
        <w:t xml:space="preserve">(0x0000, 0x1000, 0x2000, 0x3000)</w:t>
      </w:r>
      <w:r>
        <w:br/>
      </w:r>
      <w:r>
        <w:rPr>
          <w:rStyle w:val="VerbatimChar"/>
        </w:rPr>
        <w:t xml:space="preserve">(0x4000, 0x5000, 0x6000, 0x7000)</w:t>
      </w:r>
      <w:r>
        <w:br/>
      </w:r>
      <w:r>
        <w:rPr>
          <w:rStyle w:val="VerbatimChar"/>
        </w:rPr>
        <w:t xml:space="preserve">(0x8000, 0x9000, 0xA000, 0xB000)</w:t>
      </w:r>
      <w:r>
        <w:br/>
      </w:r>
      <w:r>
        <w:rPr>
          <w:rStyle w:val="VerbatimChar"/>
        </w:rPr>
        <w:t xml:space="preserve">(0xC000, 0xD000, 0xE000, 0xF000)</w:t>
      </w:r>
    </w:p>
    <w:p>
      <w:pPr>
        <w:pStyle w:val="FirstParagraph"/>
      </w:pPr>
      <w:r>
        <w:t xml:space="preserve">This is the high-nibble lane surface.</w:t>
      </w:r>
    </w:p>
    <w:p>
      <w:pPr>
        <w:pStyle w:val="BodyText"/>
      </w:pPr>
      <w:r>
        <w:t xml:space="preserve">Interpretation:</w:t>
      </w:r>
    </w:p>
    <w:p>
      <w:pPr>
        <w:pStyle w:val="SourceCode"/>
      </w:pPr>
      <w:r>
        <w:rPr>
          <w:rStyle w:val="VerbatimChar"/>
        </w:rPr>
        <w:t xml:space="preserve">0x0000..0x3000  first quadrant / origin-facing route</w:t>
      </w:r>
      <w:r>
        <w:br/>
      </w:r>
      <w:r>
        <w:rPr>
          <w:rStyle w:val="VerbatimChar"/>
        </w:rPr>
        <w:t xml:space="preserve">0x4000..0x7000  second quadrant / printable branch route</w:t>
      </w:r>
      <w:r>
        <w:br/>
      </w:r>
      <w:r>
        <w:rPr>
          <w:rStyle w:val="VerbatimChar"/>
        </w:rPr>
        <w:t xml:space="preserve">0x8000..0xB000  interpretive/surrogate route</w:t>
      </w:r>
      <w:r>
        <w:br/>
      </w:r>
      <w:r>
        <w:rPr>
          <w:rStyle w:val="VerbatimChar"/>
        </w:rPr>
        <w:t xml:space="preserve">0xC000..0xF000  extension/escape/place-value route</w:t>
      </w:r>
    </w:p>
    <w:p>
      <w:pPr>
        <w:pStyle w:val="FirstParagraph"/>
      </w:pPr>
      <w:r>
        <w:t xml:space="preserve">The precise public/private/local/remote semantics of the upper quadrants should remain declarative until they are proven or implemented.</w:t>
      </w:r>
    </w:p>
    <w:p>
      <w:r>
        <w:pict>
          <v:rect style="width:0;height:1.5pt" o:hralign="center" o:hrstd="t" o:hr="t"/>
        </w:pict>
      </w:r>
    </w:p>
    <w:bookmarkEnd w:id="25"/>
    <w:bookmarkStart w:id="26" w:name="null-ring-and-byte-ring-closure"/>
    <w:p>
      <w:pPr>
        <w:pStyle w:val="Heading2"/>
      </w:pPr>
      <w:r>
        <w:t xml:space="preserve">7. Null Ring and Byte-Ring Closure</w:t>
      </w:r>
    </w:p>
    <w:p>
      <w:pPr>
        <w:pStyle w:val="FirstParagraph"/>
      </w:pPr>
      <w:r>
        <w:t xml:space="preserve">The folded null seed is:</w:t>
      </w:r>
    </w:p>
    <w:p>
      <w:pPr>
        <w:pStyle w:val="SourceCode"/>
      </w:pPr>
      <w:r>
        <w:rPr>
          <w:rStyle w:val="VerbatimChar"/>
        </w:rPr>
        <w:t xml:space="preserve">(NULL . NULL)</w:t>
      </w:r>
    </w:p>
    <w:p>
      <w:pPr>
        <w:pStyle w:val="FirstParagraph"/>
      </w:pPr>
      <w:r>
        <w:t xml:space="preserve">The byte ring is:</w:t>
      </w:r>
    </w:p>
    <w:p>
      <w:pPr>
        <w:pStyle w:val="SourceCode"/>
      </w:pPr>
      <w:r>
        <w:rPr>
          <w:rStyle w:val="VerbatimChar"/>
        </w:rPr>
        <w:t xml:space="preserve">(0x00 . 0x20)</w:t>
      </w:r>
      <w:r>
        <w:br/>
      </w:r>
      <w:r>
        <w:rPr>
          <w:rStyle w:val="VerbatimChar"/>
        </w:rPr>
        <w:t xml:space="preserve">(0x20 . 0x7F)</w:t>
      </w:r>
      <w:r>
        <w:br/>
      </w:r>
      <w:r>
        <w:rPr>
          <w:rStyle w:val="VerbatimChar"/>
        </w:rPr>
        <w:t xml:space="preserve">(0x7F . 0xFF)</w:t>
      </w:r>
      <w:r>
        <w:br/>
      </w:r>
      <w:r>
        <w:rPr>
          <w:rStyle w:val="VerbatimChar"/>
        </w:rPr>
        <w:t xml:space="preserve">(0xFF . 0x00)</w:t>
      </w:r>
    </w:p>
    <w:p>
      <w:pPr>
        <w:pStyle w:val="FirstParagraph"/>
      </w:pPr>
      <w:r>
        <w:t xml:space="preserve">The dot relation is XOR:</w:t>
      </w:r>
    </w:p>
    <w:p>
      <w:pPr>
        <w:pStyle w:val="SourceCode"/>
      </w:pPr>
      <w:r>
        <w:rPr>
          <w:rStyle w:val="VerbatimChar"/>
        </w:rPr>
        <w:t xml:space="preserve">0x00 ^ 0x20 = 0x20</w:t>
      </w:r>
      <w:r>
        <w:br/>
      </w:r>
      <w:r>
        <w:rPr>
          <w:rStyle w:val="VerbatimChar"/>
        </w:rPr>
        <w:t xml:space="preserve">0x20 ^ 0x7F = 0x5F</w:t>
      </w:r>
      <w:r>
        <w:br/>
      </w:r>
      <w:r>
        <w:rPr>
          <w:rStyle w:val="VerbatimChar"/>
        </w:rPr>
        <w:t xml:space="preserve">0x7F ^ 0xFF = 0x80</w:t>
      </w:r>
      <w:r>
        <w:br/>
      </w:r>
      <w:r>
        <w:rPr>
          <w:rStyle w:val="VerbatimChar"/>
        </w:rPr>
        <w:t xml:space="preserve">0xFF ^ 0x00 = 0xFF</w:t>
      </w:r>
    </w:p>
    <w:p>
      <w:pPr>
        <w:pStyle w:val="FirstParagraph"/>
      </w:pPr>
      <w:r>
        <w:t xml:space="preserve">The full witness closure is:</w:t>
      </w:r>
    </w:p>
    <w:p>
      <w:pPr>
        <w:pStyle w:val="SourceCode"/>
      </w:pPr>
      <w:r>
        <w:rPr>
          <w:rStyle w:val="VerbatimChar"/>
        </w:rPr>
        <w:t xml:space="preserve">0x20 ^ 0x5F ^ 0x80 ^ 0xFF = 0x00</w:t>
      </w:r>
    </w:p>
    <w:p>
      <w:pPr>
        <w:pStyle w:val="FirstParagraph"/>
      </w:pPr>
      <w:r>
        <w:t xml:space="preserve">The four absences are:</w:t>
      </w:r>
    </w:p>
    <w:p>
      <w:pPr>
        <w:pStyle w:val="SourceCode"/>
      </w:pPr>
      <w:r>
        <w:rPr>
          <w:rStyle w:val="VerbatimChar"/>
        </w:rPr>
        <w:t xml:space="preserve">0x00  absence before inscription</w:t>
      </w:r>
      <w:r>
        <w:br/>
      </w:r>
      <w:r>
        <w:rPr>
          <w:rStyle w:val="VerbatimChar"/>
        </w:rPr>
        <w:t xml:space="preserve">0x20  absence inside readable text</w:t>
      </w:r>
      <w:r>
        <w:br/>
      </w:r>
      <w:r>
        <w:rPr>
          <w:rStyle w:val="VerbatimChar"/>
        </w:rPr>
        <w:t xml:space="preserve">0x7F  absence after removal</w:t>
      </w:r>
      <w:r>
        <w:br/>
      </w:r>
      <w:r>
        <w:rPr>
          <w:rStyle w:val="VerbatimChar"/>
        </w:rPr>
        <w:t xml:space="preserve">0xFF  saturated absence</w:t>
      </w:r>
    </w:p>
    <w:p>
      <w:pPr>
        <w:pStyle w:val="FirstParagraph"/>
      </w:pPr>
      <w:r>
        <w:t xml:space="preserve">Canonical law:</w:t>
      </w:r>
    </w:p>
    <w:p>
      <w:pPr>
        <w:pStyle w:val="SourceCode"/>
      </w:pPr>
      <w:r>
        <w:rPr>
          <w:rStyle w:val="VerbatimChar"/>
        </w:rPr>
        <w:t xml:space="preserve">The Null Ring closes because every boundary appears twice in the full cycle.</w:t>
      </w:r>
    </w:p>
    <w:p>
      <w:pPr>
        <w:pStyle w:val="FirstParagraph"/>
      </w:pPr>
      <w:r>
        <w:t xml:space="preserve">Expanded cancellation:</w:t>
      </w:r>
    </w:p>
    <w:p>
      <w:pPr>
        <w:pStyle w:val="SourceCode"/>
      </w:pPr>
      <w:r>
        <w:rPr>
          <w:rStyle w:val="VerbatimChar"/>
        </w:rPr>
        <w:t xml:space="preserve">0x00 ^ 0x20 ^ 0x20 ^ 0x7F ^ 0x7F ^ 0xFF ^ 0xFF ^ 0x00 = 0x00</w:t>
      </w:r>
    </w:p>
    <w:p>
      <w:r>
        <w:pict>
          <v:rect style="width:0;height:1.5pt" o:hralign="center" o:hrstd="t" o:hr="t"/>
        </w:pict>
      </w:r>
    </w:p>
    <w:bookmarkEnd w:id="26"/>
    <w:bookmarkStart w:id="27" w:name="metatron-witness"/>
    <w:p>
      <w:pPr>
        <w:pStyle w:val="Heading2"/>
      </w:pPr>
      <w:r>
        <w:t xml:space="preserve">8. Metatron Witness</w:t>
      </w:r>
    </w:p>
    <w:p>
      <w:pPr>
        <w:pStyle w:val="FirstParagraph"/>
      </w:pPr>
      <w:r>
        <w:t xml:space="preserve">Metatron is the attestation scribe and contrast witness.</w:t>
      </w:r>
    </w:p>
    <w:p>
      <w:pPr>
        <w:pStyle w:val="BodyText"/>
      </w:pPr>
      <w:r>
        <w:t xml:space="preserve">Canonical registers:</w:t>
      </w:r>
    </w:p>
    <w:p>
      <w:pPr>
        <w:pStyle w:val="SourceCode"/>
      </w:pPr>
      <w:r>
        <w:rPr>
          <w:rStyle w:val="VerbatimChar"/>
        </w:rPr>
        <w:t xml:space="preserve">0xAA55</w:t>
      </w:r>
      <w:r>
        <w:br/>
      </w:r>
      <w:r>
        <w:rPr>
          <w:rStyle w:val="VerbatimChar"/>
        </w:rPr>
        <w:t xml:space="preserve">0x55AA</w:t>
      </w:r>
    </w:p>
    <w:p>
      <w:pPr>
        <w:pStyle w:val="FirstParagraph"/>
      </w:pPr>
      <w:r>
        <w:t xml:space="preserve">Binary form:</w:t>
      </w:r>
    </w:p>
    <w:p>
      <w:pPr>
        <w:pStyle w:val="SourceCode"/>
      </w:pPr>
      <w:r>
        <w:rPr>
          <w:rStyle w:val="VerbatimChar"/>
        </w:rPr>
        <w:t xml:space="preserve">0xAA55 = 10101010 01010101</w:t>
      </w:r>
      <w:r>
        <w:br/>
      </w:r>
      <w:r>
        <w:rPr>
          <w:rStyle w:val="VerbatimChar"/>
        </w:rPr>
        <w:t xml:space="preserve">0x55AA = 01010101 10101010</w:t>
      </w:r>
    </w:p>
    <w:p>
      <w:pPr>
        <w:pStyle w:val="FirstParagraph"/>
      </w:pPr>
      <w:r>
        <w:t xml:space="preserve">Metatron laws:</w:t>
      </w:r>
    </w:p>
    <w:p>
      <w:pPr>
        <w:pStyle w:val="SourceCode"/>
      </w:pPr>
      <w:r>
        <w:rPr>
          <w:rStyle w:val="VerbatimChar"/>
        </w:rPr>
        <w:t xml:space="preserve">0xAA55 has 8 one bits and 8 zero bits.</w:t>
      </w:r>
      <w:r>
        <w:br/>
      </w:r>
      <w:r>
        <w:rPr>
          <w:rStyle w:val="VerbatimChar"/>
        </w:rPr>
        <w:t xml:space="preserve">0x55AA has 8 one bits and 8 zero bits.</w:t>
      </w:r>
      <w:r>
        <w:br/>
      </w:r>
      <w:r>
        <w:rPr>
          <w:rStyle w:val="VerbatimChar"/>
        </w:rPr>
        <w:t xml:space="preserve">0xAA55 ^ 0x55AA = 0xFFFF.</w:t>
      </w:r>
      <w:r>
        <w:br/>
      </w:r>
      <w:r>
        <w:rPr>
          <w:rStyle w:val="VerbatimChar"/>
        </w:rPr>
        <w:t xml:space="preserve">0xAA55 ^ 0xFFFF = 0x55AA.</w:t>
      </w:r>
      <w:r>
        <w:br/>
      </w:r>
      <w:r>
        <w:rPr>
          <w:rStyle w:val="VerbatimChar"/>
        </w:rPr>
        <w:t xml:space="preserve">0x55AA ^ 0xFFFF = 0xAA55.</w:t>
      </w:r>
    </w:p>
    <w:p>
      <w:pPr>
        <w:pStyle w:val="FirstParagraph"/>
      </w:pPr>
      <w:r>
        <w:t xml:space="preserve">Boundary:</w:t>
      </w:r>
    </w:p>
    <w:p>
      <w:pPr>
        <w:pStyle w:val="SourceCode"/>
      </w:pPr>
      <w:r>
        <w:rPr>
          <w:rStyle w:val="VerbatimChar"/>
        </w:rPr>
        <w:t xml:space="preserve">Metatron scribes.</w:t>
      </w:r>
      <w:r>
        <w:br/>
      </w:r>
      <w:r>
        <w:rPr>
          <w:rStyle w:val="VerbatimChar"/>
        </w:rPr>
        <w:t xml:space="preserve">Metatron witnesses.</w:t>
      </w:r>
      <w:r>
        <w:br/>
      </w:r>
      <w:r>
        <w:rPr>
          <w:rStyle w:val="VerbatimChar"/>
        </w:rPr>
        <w:t xml:space="preserve">Metatron interpolates.</w:t>
      </w:r>
      <w:r>
        <w:br/>
      </w:r>
      <w:r>
        <w:rPr>
          <w:rStyle w:val="VerbatimChar"/>
        </w:rPr>
        <w:t xml:space="preserve">Metatron does not validate.</w:t>
      </w:r>
      <w:r>
        <w:br/>
      </w:r>
      <w:r>
        <w:rPr>
          <w:rStyle w:val="VerbatimChar"/>
        </w:rPr>
        <w:t xml:space="preserve">Metatron does not receipt.</w:t>
      </w:r>
    </w:p>
    <w:p>
      <w:r>
        <w:pict>
          <v:rect style="width:0;height:1.5pt" o:hralign="center" o:hrstd="t" o:hr="t"/>
        </w:pict>
      </w:r>
    </w:p>
    <w:bookmarkEnd w:id="27"/>
    <w:bookmarkStart w:id="28" w:name="tetragrammatron-diagonal-closure"/>
    <w:p>
      <w:pPr>
        <w:pStyle w:val="Heading2"/>
      </w:pPr>
      <w:r>
        <w:t xml:space="preserve">9. Tetragrammatron Diagonal Closure</w:t>
      </w:r>
    </w:p>
    <w:p>
      <w:pPr>
        <w:pStyle w:val="FirstParagraph"/>
      </w:pPr>
      <w:r>
        <w:t xml:space="preserve">The Tetragrammatron adjudicates closure through the Polybius diagonal witness.</w:t>
      </w:r>
    </w:p>
    <w:p>
      <w:pPr>
        <w:pStyle w:val="BodyText"/>
      </w:pPr>
      <w:r>
        <w:t xml:space="preserve">The nibble field is:</w:t>
      </w:r>
    </w:p>
    <w:p>
      <w:pPr>
        <w:pStyle w:val="SourceCode"/>
      </w:pPr>
      <w:r>
        <w:rPr>
          <w:rStyle w:val="VerbatimChar"/>
        </w:rPr>
        <w:t xml:space="preserve">0  1  2  3</w:t>
      </w:r>
      <w:r>
        <w:br/>
      </w:r>
      <w:r>
        <w:rPr>
          <w:rStyle w:val="VerbatimChar"/>
        </w:rPr>
        <w:t xml:space="preserve">4  5  6  7</w:t>
      </w:r>
      <w:r>
        <w:br/>
      </w:r>
      <w:r>
        <w:rPr>
          <w:rStyle w:val="VerbatimChar"/>
        </w:rPr>
        <w:t xml:space="preserve">8  9  A  B</w:t>
      </w:r>
      <w:r>
        <w:br/>
      </w:r>
      <w:r>
        <w:rPr>
          <w:rStyle w:val="VerbatimChar"/>
        </w:rPr>
        <w:t xml:space="preserve">C  D  E  F</w:t>
      </w:r>
    </w:p>
    <w:p>
      <w:pPr>
        <w:pStyle w:val="FirstParagraph"/>
      </w:pPr>
      <w:r>
        <w:t xml:space="preserve">The two diagonals are:</w:t>
      </w:r>
    </w:p>
    <w:p>
      <w:pPr>
        <w:pStyle w:val="SourceCode"/>
      </w:pPr>
      <w:r>
        <w:rPr>
          <w:rStyle w:val="VerbatimChar"/>
        </w:rPr>
        <w:t xml:space="preserve">D⁺ = {0, 5, A, F}</w:t>
      </w:r>
      <w:r>
        <w:br/>
      </w:r>
      <w:r>
        <w:rPr>
          <w:rStyle w:val="VerbatimChar"/>
        </w:rPr>
        <w:t xml:space="preserve">D⁻ = {3, 6, 9, C}</w:t>
      </w:r>
    </w:p>
    <w:p>
      <w:pPr>
        <w:pStyle w:val="FirstParagraph"/>
      </w:pPr>
      <w:r>
        <w:t xml:space="preserve">XOR closure:</w:t>
      </w:r>
    </w:p>
    <w:p>
      <w:pPr>
        <w:pStyle w:val="SourceCode"/>
      </w:pPr>
      <w:r>
        <w:rPr>
          <w:rStyle w:val="VerbatimChar"/>
        </w:rPr>
        <w:t xml:space="preserve">0 ^ 5 ^ A ^ F = 0x0</w:t>
      </w:r>
      <w:r>
        <w:br/>
      </w:r>
      <w:r>
        <w:rPr>
          <w:rStyle w:val="VerbatimChar"/>
        </w:rPr>
        <w:t xml:space="preserve">3 ^ 6 ^ 9 ^ C = 0x0</w:t>
      </w:r>
    </w:p>
    <w:p>
      <w:pPr>
        <w:pStyle w:val="FirstParagraph"/>
      </w:pPr>
      <w:r>
        <w:t xml:space="preserve">The full diagonal set is:</w:t>
      </w:r>
    </w:p>
    <w:p>
      <w:pPr>
        <w:pStyle w:val="SourceCode"/>
      </w:pPr>
      <w:r>
        <w:rPr>
          <w:rStyle w:val="VerbatimChar"/>
        </w:rPr>
        <w:t xml:space="preserve">D⁺ ∪ D⁻ = {0, 3, 5, 6, 9, A, C, F}</w:t>
      </w:r>
    </w:p>
    <w:p>
      <w:pPr>
        <w:pStyle w:val="FirstParagraph"/>
      </w:pPr>
      <w:r>
        <w:t xml:space="preserve">The complement is:</w:t>
      </w:r>
    </w:p>
    <w:p>
      <w:pPr>
        <w:pStyle w:val="SourceCode"/>
      </w:pPr>
      <w:r>
        <w:rPr>
          <w:rStyle w:val="VerbatimChar"/>
        </w:rPr>
        <w:t xml:space="preserve">K = {1, 2, 4, 7, 8, B, D, E}</w:t>
      </w:r>
    </w:p>
    <w:p>
      <w:pPr>
        <w:pStyle w:val="FirstParagraph"/>
      </w:pPr>
      <w:r>
        <w:t xml:space="preserve">Sum invariants:</w:t>
      </w:r>
    </w:p>
    <w:p>
      <w:pPr>
        <w:pStyle w:val="SourceCode"/>
      </w:pPr>
      <w:r>
        <w:rPr>
          <w:rStyle w:val="VerbatimChar"/>
        </w:rPr>
        <w:t xml:space="preserve">SUM(D⁺) = 0x1E</w:t>
      </w:r>
      <w:r>
        <w:br/>
      </w:r>
      <w:r>
        <w:rPr>
          <w:rStyle w:val="VerbatimChar"/>
        </w:rPr>
        <w:t xml:space="preserve">SUM(D⁻) = 0x1E</w:t>
      </w:r>
      <w:r>
        <w:br/>
      </w:r>
      <w:r>
        <w:rPr>
          <w:rStyle w:val="VerbatimChar"/>
        </w:rPr>
        <w:t xml:space="preserve">SUM(D⁺ ∪ D⁻) = 0x3C</w:t>
      </w:r>
      <w:r>
        <w:br/>
      </w:r>
      <w:r>
        <w:rPr>
          <w:rStyle w:val="VerbatimChar"/>
        </w:rPr>
        <w:t xml:space="preserve">SUM(K) = 0x3C</w:t>
      </w:r>
      <w:r>
        <w:br/>
      </w:r>
      <w:r>
        <w:rPr>
          <w:rStyle w:val="VerbatimChar"/>
        </w:rPr>
        <w:t xml:space="preserve">SUM(0..F) = 0x78</w:t>
      </w:r>
    </w:p>
    <w:p>
      <w:pPr>
        <w:pStyle w:val="FirstParagraph"/>
      </w:pPr>
      <w:r>
        <w:t xml:space="preserve">Thus:</w:t>
      </w:r>
    </w:p>
    <w:p>
      <w:pPr>
        <w:pStyle w:val="SourceCode"/>
      </w:pPr>
      <w:r>
        <w:rPr>
          <w:rStyle w:val="VerbatimChar"/>
        </w:rPr>
        <w:t xml:space="preserve">0x1E  relation closure witness</w:t>
      </w:r>
      <w:r>
        <w:br/>
      </w:r>
      <w:r>
        <w:rPr>
          <w:rStyle w:val="VerbatimChar"/>
        </w:rPr>
        <w:t xml:space="preserve">0x3C  centered fold witness</w:t>
      </w:r>
      <w:r>
        <w:br/>
      </w:r>
      <w:r>
        <w:rPr>
          <w:rStyle w:val="VerbatimChar"/>
        </w:rPr>
        <w:t xml:space="preserve">0x78  shifted/full system witness</w:t>
      </w:r>
    </w:p>
    <w:p>
      <w:pPr>
        <w:pStyle w:val="FirstParagraph"/>
      </w:pPr>
      <w:r>
        <w:t xml:space="preserve">Tetragrammatron fold laws:</w:t>
      </w:r>
    </w:p>
    <w:p>
      <w:pPr>
        <w:pStyle w:val="SourceCode"/>
      </w:pPr>
      <w:r>
        <w:rPr>
          <w:rStyle w:val="VerbatimChar"/>
        </w:rPr>
        <w:t xml:space="preserve">0x3C is the centered fold witness.</w:t>
      </w:r>
      <w:r>
        <w:br/>
      </w:r>
      <w:r>
        <w:rPr>
          <w:rStyle w:val="VerbatimChar"/>
        </w:rPr>
        <w:t xml:space="preserve">0x78 is the shifted/carry fold witness.</w:t>
      </w:r>
      <w:r>
        <w:br/>
      </w:r>
      <w:r>
        <w:rPr>
          <w:rStyle w:val="VerbatimChar"/>
        </w:rPr>
        <w:t xml:space="preserve">0x78 == (0x3C &lt;&lt; 1) masked to 8 bits.</w:t>
      </w:r>
      <w:r>
        <w:br/>
      </w:r>
      <w:r>
        <w:rPr>
          <w:rStyle w:val="VerbatimChar"/>
        </w:rPr>
        <w:t xml:space="preserve">0x3C == (0x78 &gt;&gt; 1).</w:t>
      </w:r>
      <w:r>
        <w:br/>
      </w:r>
      <w:r>
        <w:rPr>
          <w:rStyle w:val="VerbatimChar"/>
        </w:rPr>
        <w:t xml:space="preserve">0x3C has 4 one bits and 4 zero bits.</w:t>
      </w:r>
      <w:r>
        <w:br/>
      </w:r>
      <w:r>
        <w:rPr>
          <w:rStyle w:val="VerbatimChar"/>
        </w:rPr>
        <w:t xml:space="preserve">0x78 has 4 one bits and 4 zero bits.</w:t>
      </w:r>
      <w:r>
        <w:br/>
      </w:r>
      <w:r>
        <w:rPr>
          <w:rStyle w:val="VerbatimChar"/>
        </w:rPr>
        <w:t xml:space="preserve">0x3C ^ 0x78 == 0x44.</w:t>
      </w:r>
    </w:p>
    <w:p>
      <w:pPr>
        <w:pStyle w:val="FirstParagraph"/>
      </w:pPr>
      <w:r>
        <w:t xml:space="preserve">Boundary:</w:t>
      </w:r>
    </w:p>
    <w:p>
      <w:pPr>
        <w:pStyle w:val="SourceCode"/>
      </w:pPr>
      <w:r>
        <w:rPr>
          <w:rStyle w:val="VerbatimChar"/>
        </w:rPr>
        <w:t xml:space="preserve">Tetragrammatron validates and fold-carries.</w:t>
      </w:r>
      <w:r>
        <w:br/>
      </w:r>
      <w:r>
        <w:rPr>
          <w:rStyle w:val="VerbatimChar"/>
        </w:rPr>
        <w:t xml:space="preserve">It does not project.</w:t>
      </w:r>
      <w:r>
        <w:br/>
      </w:r>
      <w:r>
        <w:rPr>
          <w:rStyle w:val="VerbatimChar"/>
        </w:rPr>
        <w:t xml:space="preserve">It does not scribe.</w:t>
      </w:r>
    </w:p>
    <w:p>
      <w:r>
        <w:pict>
          <v:rect style="width:0;height:1.5pt" o:hralign="center" o:hrstd="t" o:hr="t"/>
        </w:pict>
      </w:r>
    </w:p>
    <w:bookmarkEnd w:id="28"/>
    <w:bookmarkStart w:id="32" w:name="tetragrammatron-polyharmonic-governor"/>
    <w:p>
      <w:pPr>
        <w:pStyle w:val="Heading2"/>
      </w:pPr>
      <w:r>
        <w:t xml:space="preserve">10. Tetragrammatron Polyharmonic Governor</w:t>
      </w:r>
    </w:p>
    <w:p>
      <w:pPr>
        <w:pStyle w:val="FirstParagraph"/>
      </w:pPr>
      <w:r>
        <w:t xml:space="preserve">The Tetragrammatron is also the Polyharmonic Governor.</w:t>
      </w:r>
    </w:p>
    <w:p>
      <w:pPr>
        <w:pStyle w:val="BodyText"/>
      </w:pPr>
      <w:r>
        <w:t xml:space="preserve">It separates:</w:t>
      </w:r>
    </w:p>
    <w:p>
      <w:pPr>
        <w:pStyle w:val="SourceCode"/>
      </w:pPr>
      <w:r>
        <w:rPr>
          <w:rStyle w:val="VerbatimChar"/>
        </w:rPr>
        <w:t xml:space="preserve">3 clocks</w:t>
      </w:r>
      <w:r>
        <w:br/>
      </w:r>
      <w:r>
        <w:rPr>
          <w:rStyle w:val="VerbatimChar"/>
        </w:rPr>
        <w:t xml:space="preserve">4 visible offsets</w:t>
      </w:r>
      <w:r>
        <w:br/>
      </w:r>
      <w:r>
        <w:rPr>
          <w:rStyle w:val="VerbatimChar"/>
        </w:rPr>
        <w:t xml:space="preserve">5 governor modes</w:t>
      </w:r>
    </w:p>
    <w:bookmarkStart w:id="29" w:name="three-clocks"/>
    <w:p>
      <w:pPr>
        <w:pStyle w:val="Heading3"/>
      </w:pPr>
      <w:r>
        <w:t xml:space="preserve">10.1 Three Clocks</w:t>
      </w:r>
    </w:p>
    <w:p>
      <w:pPr>
        <w:pStyle w:val="SourceCode"/>
      </w:pPr>
      <w:r>
        <w:rPr>
          <w:rStyle w:val="VerbatimChar"/>
        </w:rPr>
        <w:t xml:space="preserve">Atomic Logic Clock</w:t>
      </w:r>
      <w:r>
        <w:br/>
      </w:r>
      <w:r>
        <w:rPr>
          <w:rStyle w:val="VerbatimChar"/>
        </w:rPr>
        <w:t xml:space="preserve">Spectral Observer Clock</w:t>
      </w:r>
      <w:r>
        <w:br/>
      </w:r>
      <w:r>
        <w:rPr>
          <w:rStyle w:val="VerbatimChar"/>
        </w:rPr>
        <w:t xml:space="preserve">Cosmic Orbit Clock</w:t>
      </w:r>
    </w:p>
    <w:bookmarkEnd w:id="29"/>
    <w:bookmarkStart w:id="30" w:name="four-visible-offsets"/>
    <w:p>
      <w:pPr>
        <w:pStyle w:val="Heading3"/>
      </w:pPr>
      <w:r>
        <w:t xml:space="preserve">10.2 Four Visible Offsets</w:t>
      </w:r>
    </w:p>
    <w:p>
      <w:pPr>
        <w:pStyle w:val="SourceCode"/>
      </w:pPr>
      <w:r>
        <w:rPr>
          <w:rStyle w:val="VerbatimChar"/>
        </w:rPr>
        <w:t xml:space="preserve">FS = 0x0001</w:t>
      </w:r>
      <w:r>
        <w:br/>
      </w:r>
      <w:r>
        <w:rPr>
          <w:rStyle w:val="VerbatimChar"/>
        </w:rPr>
        <w:t xml:space="preserve">GS = 0x0010</w:t>
      </w:r>
      <w:r>
        <w:br/>
      </w:r>
      <w:r>
        <w:rPr>
          <w:rStyle w:val="VerbatimChar"/>
        </w:rPr>
        <w:t xml:space="preserve">RS = 0x0100</w:t>
      </w:r>
      <w:r>
        <w:br/>
      </w:r>
      <w:r>
        <w:rPr>
          <w:rStyle w:val="VerbatimChar"/>
        </w:rPr>
        <w:t xml:space="preserve">US = 0x1000</w:t>
      </w:r>
    </w:p>
    <w:p>
      <w:pPr>
        <w:pStyle w:val="FirstParagraph"/>
      </w:pPr>
      <w:r>
        <w:t xml:space="preserve">Offset stepping:</w:t>
      </w:r>
    </w:p>
    <w:p>
      <w:pPr>
        <w:pStyle w:val="SourceCode"/>
      </w:pPr>
      <w:r>
        <w:rPr>
          <w:rStyle w:val="VerbatimChar"/>
        </w:rPr>
        <w:t xml:space="preserve">0x0001 &lt;&lt; 4 == 0x0010</w:t>
      </w:r>
      <w:r>
        <w:br/>
      </w:r>
      <w:r>
        <w:rPr>
          <w:rStyle w:val="VerbatimChar"/>
        </w:rPr>
        <w:t xml:space="preserve">0x0010 &lt;&lt; 4 == 0x0100</w:t>
      </w:r>
      <w:r>
        <w:br/>
      </w:r>
      <w:r>
        <w:rPr>
          <w:rStyle w:val="VerbatimChar"/>
        </w:rPr>
        <w:t xml:space="preserve">0x0100 &lt;&lt; 4 == 0x1000</w:t>
      </w:r>
    </w:p>
    <w:bookmarkEnd w:id="30"/>
    <w:bookmarkStart w:id="31" w:name="five-governors"/>
    <w:p>
      <w:pPr>
        <w:pStyle w:val="Heading3"/>
      </w:pPr>
      <w:r>
        <w:t xml:space="preserve">10.3 Five Governors</w:t>
      </w:r>
    </w:p>
    <w:p>
      <w:pPr>
        <w:pStyle w:val="SourceCode"/>
      </w:pPr>
      <w:r>
        <w:rPr>
          <w:rStyle w:val="VerbatimChar"/>
        </w:rPr>
        <w:t xml:space="preserve">FACTS        p = -1</w:t>
      </w:r>
      <w:r>
        <w:br/>
      </w:r>
      <w:r>
        <w:rPr>
          <w:rStyle w:val="VerbatimChar"/>
        </w:rPr>
        <w:t xml:space="preserve">RULES        p =  0</w:t>
      </w:r>
      <w:r>
        <w:br/>
      </w:r>
      <w:r>
        <w:rPr>
          <w:rStyle w:val="VerbatimChar"/>
        </w:rPr>
        <w:t xml:space="preserve">CLOSURES     p =  1</w:t>
      </w:r>
      <w:r>
        <w:br/>
      </w:r>
      <w:r>
        <w:rPr>
          <w:rStyle w:val="VerbatimChar"/>
        </w:rPr>
        <w:t xml:space="preserve">COMBINATORS  p =  2</w:t>
      </w:r>
      <w:r>
        <w:br/>
      </w:r>
      <w:r>
        <w:rPr>
          <w:rStyle w:val="VerbatimChar"/>
        </w:rPr>
        <w:t xml:space="preserve">CONS         p =  3</w:t>
      </w:r>
    </w:p>
    <w:p>
      <w:pPr>
        <w:pStyle w:val="FirstParagraph"/>
      </w:pPr>
      <w:r>
        <w:t xml:space="preserve">Governor order:</w:t>
      </w:r>
    </w:p>
    <w:p>
      <w:pPr>
        <w:pStyle w:val="SourceCode"/>
      </w:pPr>
      <w:r>
        <w:rPr>
          <w:rStyle w:val="VerbatimChar"/>
        </w:rPr>
        <w:t xml:space="preserve">The exponents are consecutive from -1 through 3.</w:t>
      </w:r>
      <w:r>
        <w:br/>
      </w:r>
      <w:r>
        <w:rPr>
          <w:rStyle w:val="VerbatimChar"/>
        </w:rPr>
        <w:t xml:space="preserve">RULES is the p=0 Genesis/equality pivot.</w:t>
      </w:r>
      <w:r>
        <w:br/>
      </w:r>
      <w:r>
        <w:rPr>
          <w:rStyle w:val="VerbatimChar"/>
        </w:rPr>
        <w:t xml:space="preserve">FACTS and CONS are circular inverse endpoints.</w:t>
      </w:r>
    </w:p>
    <w:p>
      <w:pPr>
        <w:pStyle w:val="FirstParagraph"/>
      </w:pPr>
      <w:r>
        <w:t xml:space="preserve">Readable form:</w:t>
      </w:r>
    </w:p>
    <w:p>
      <w:pPr>
        <w:pStyle w:val="SourceCode"/>
      </w:pPr>
      <w:r>
        <w:rPr>
          <w:rStyle w:val="VerbatimChar"/>
        </w:rPr>
        <w:t xml:space="preserve">FACTS ground.</w:t>
      </w:r>
      <w:r>
        <w:br/>
      </w:r>
      <w:r>
        <w:rPr>
          <w:rStyle w:val="VerbatimChar"/>
        </w:rPr>
        <w:t xml:space="preserve">RULES permit.</w:t>
      </w:r>
      <w:r>
        <w:br/>
      </w:r>
      <w:r>
        <w:rPr>
          <w:rStyle w:val="VerbatimChar"/>
        </w:rPr>
        <w:t xml:space="preserve">CLOSURES seal.</w:t>
      </w:r>
      <w:r>
        <w:br/>
      </w:r>
      <w:r>
        <w:rPr>
          <w:rStyle w:val="VerbatimChar"/>
        </w:rPr>
        <w:t xml:space="preserve">COMBINATORS compose.</w:t>
      </w:r>
      <w:r>
        <w:br/>
      </w:r>
      <w:r>
        <w:rPr>
          <w:rStyle w:val="VerbatimChar"/>
        </w:rPr>
        <w:t xml:space="preserve">CONS embodies.</w:t>
      </w:r>
    </w:p>
    <w:p>
      <w:pPr>
        <w:pStyle w:val="FirstParagraph"/>
      </w:pPr>
      <w:r>
        <w:t xml:space="preserve">Or in older OMI canon:</w:t>
      </w:r>
    </w:p>
    <w:p>
      <w:pPr>
        <w:pStyle w:val="SourceCode"/>
      </w:pPr>
      <w:r>
        <w:rPr>
          <w:rStyle w:val="VerbatimChar"/>
        </w:rPr>
        <w:t xml:space="preserve">Rules declare.</w:t>
      </w:r>
      <w:r>
        <w:br/>
      </w:r>
      <w:r>
        <w:rPr>
          <w:rStyle w:val="VerbatimChar"/>
        </w:rPr>
        <w:t xml:space="preserve">Facts ground.</w:t>
      </w:r>
      <w:r>
        <w:br/>
      </w:r>
      <w:r>
        <w:rPr>
          <w:rStyle w:val="VerbatimChar"/>
        </w:rPr>
        <w:t xml:space="preserve">Closures seal.</w:t>
      </w:r>
      <w:r>
        <w:br/>
      </w:r>
      <w:r>
        <w:rPr>
          <w:rStyle w:val="VerbatimChar"/>
        </w:rPr>
        <w:t xml:space="preserve">Combinators compose.</w:t>
      </w:r>
      <w:r>
        <w:br/>
      </w:r>
      <w:r>
        <w:rPr>
          <w:rStyle w:val="VerbatimChar"/>
        </w:rPr>
        <w:t xml:space="preserve">CONS reduces.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ebd4ab7d349aa82eef4c8899ba7ea1fff5772be"/>
    <w:p>
      <w:pPr>
        <w:pStyle w:val="Heading2"/>
      </w:pPr>
      <w:r>
        <w:t xml:space="preserve">11. Miquel Incidence and the 11-Cell Oversight Frame</w:t>
      </w:r>
    </w:p>
    <w:p>
      <w:pPr>
        <w:pStyle w:val="FirstParagraph"/>
      </w:pPr>
      <w:r>
        <w:t xml:space="preserve">The Tetragrammatron is not merely four gauges.</w:t>
      </w:r>
    </w:p>
    <w:p>
      <w:pPr>
        <w:pStyle w:val="BodyText"/>
      </w:pPr>
      <w:r>
        <w:t xml:space="preserve">It is the Miquel incidence controller generated by four gauges under open/sealed polarity.</w:t>
      </w:r>
    </w:p>
    <w:p>
      <w:pPr>
        <w:pStyle w:val="BodyText"/>
      </w:pPr>
      <w:r>
        <w:t xml:space="preserve">Four gauges:</w:t>
      </w:r>
    </w:p>
    <w:p>
      <w:pPr>
        <w:pStyle w:val="SourceCode"/>
      </w:pPr>
      <w:r>
        <w:rPr>
          <w:rStyle w:val="VerbatimChar"/>
        </w:rPr>
        <w:t xml:space="preserve">FS</w:t>
      </w:r>
      <w:r>
        <w:br/>
      </w:r>
      <w:r>
        <w:rPr>
          <w:rStyle w:val="VerbatimChar"/>
        </w:rPr>
        <w:t xml:space="preserve">GS</w:t>
      </w:r>
      <w:r>
        <w:br/>
      </w:r>
      <w:r>
        <w:rPr>
          <w:rStyle w:val="VerbatimChar"/>
        </w:rPr>
        <w:t xml:space="preserve">RS</w:t>
      </w:r>
      <w:r>
        <w:br/>
      </w:r>
      <w:r>
        <w:rPr>
          <w:rStyle w:val="VerbatimChar"/>
        </w:rPr>
        <w:t xml:space="preserve">US</w:t>
      </w:r>
    </w:p>
    <w:p>
      <w:pPr>
        <w:pStyle w:val="FirstParagraph"/>
      </w:pPr>
      <w:r>
        <w:t xml:space="preserve">Two boundary states:</w:t>
      </w:r>
    </w:p>
    <w:p>
      <w:pPr>
        <w:pStyle w:val="SourceCode"/>
      </w:pPr>
      <w:r>
        <w:rPr>
          <w:rStyle w:val="VerbatimChar"/>
        </w:rPr>
        <w:t xml:space="preserve">sealed</w:t>
      </w:r>
      <w:r>
        <w:br/>
      </w:r>
      <w:r>
        <w:rPr>
          <w:rStyle w:val="VerbatimChar"/>
        </w:rPr>
        <w:t xml:space="preserve">open</w:t>
      </w:r>
    </w:p>
    <w:p>
      <w:pPr>
        <w:pStyle w:val="FirstParagraph"/>
      </w:pPr>
      <w:r>
        <w:t xml:space="preserve">This gives eight points:</w:t>
      </w:r>
    </w:p>
    <w:p>
      <w:pPr>
        <w:pStyle w:val="SourceCode"/>
      </w:pPr>
      <w:r>
        <w:rPr>
          <w:rStyle w:val="VerbatimChar"/>
        </w:rPr>
        <w:t xml:space="preserve">sealed FS</w:t>
      </w:r>
      <w:r>
        <w:br/>
      </w:r>
      <w:r>
        <w:rPr>
          <w:rStyle w:val="VerbatimChar"/>
        </w:rPr>
        <w:t xml:space="preserve">sealed GS</w:t>
      </w:r>
      <w:r>
        <w:br/>
      </w:r>
      <w:r>
        <w:rPr>
          <w:rStyle w:val="VerbatimChar"/>
        </w:rPr>
        <w:t xml:space="preserve">sealed RS</w:t>
      </w:r>
      <w:r>
        <w:br/>
      </w:r>
      <w:r>
        <w:rPr>
          <w:rStyle w:val="VerbatimChar"/>
        </w:rPr>
        <w:t xml:space="preserve">sealed US</w:t>
      </w:r>
      <w:r>
        <w:br/>
      </w:r>
      <w:r>
        <w:rPr>
          <w:rStyle w:val="VerbatimChar"/>
        </w:rPr>
        <w:t xml:space="preserve">open FS</w:t>
      </w:r>
      <w:r>
        <w:br/>
      </w:r>
      <w:r>
        <w:rPr>
          <w:rStyle w:val="VerbatimChar"/>
        </w:rPr>
        <w:t xml:space="preserve">open GS</w:t>
      </w:r>
      <w:r>
        <w:br/>
      </w:r>
      <w:r>
        <w:rPr>
          <w:rStyle w:val="VerbatimChar"/>
        </w:rPr>
        <w:t xml:space="preserve">open RS</w:t>
      </w:r>
      <w:r>
        <w:br/>
      </w:r>
      <w:r>
        <w:rPr>
          <w:rStyle w:val="VerbatimChar"/>
        </w:rPr>
        <w:t xml:space="preserve">open US</w:t>
      </w:r>
    </w:p>
    <w:p>
      <w:pPr>
        <w:pStyle w:val="FirstParagraph"/>
      </w:pPr>
      <w:r>
        <w:t xml:space="preserve">The six pairwise gauge planes are:</w:t>
      </w:r>
    </w:p>
    <w:p>
      <w:pPr>
        <w:pStyle w:val="SourceCode"/>
      </w:pPr>
      <w:r>
        <w:rPr>
          <w:rStyle w:val="VerbatimChar"/>
        </w:rPr>
        <w:t xml:space="preserve">FS-GS</w:t>
      </w:r>
      <w:r>
        <w:br/>
      </w:r>
      <w:r>
        <w:rPr>
          <w:rStyle w:val="VerbatimChar"/>
        </w:rPr>
        <w:t xml:space="preserve">FS-RS</w:t>
      </w:r>
      <w:r>
        <w:br/>
      </w:r>
      <w:r>
        <w:rPr>
          <w:rStyle w:val="VerbatimChar"/>
        </w:rPr>
        <w:t xml:space="preserve">FS-US</w:t>
      </w:r>
      <w:r>
        <w:br/>
      </w:r>
      <w:r>
        <w:rPr>
          <w:rStyle w:val="VerbatimChar"/>
        </w:rPr>
        <w:t xml:space="preserve">GS-RS</w:t>
      </w:r>
      <w:r>
        <w:br/>
      </w:r>
      <w:r>
        <w:rPr>
          <w:rStyle w:val="VerbatimChar"/>
        </w:rPr>
        <w:t xml:space="preserve">GS-US</w:t>
      </w:r>
      <w:r>
        <w:br/>
      </w:r>
      <w:r>
        <w:rPr>
          <w:rStyle w:val="VerbatimChar"/>
        </w:rPr>
        <w:t xml:space="preserve">RS-US</w:t>
      </w:r>
    </w:p>
    <w:p>
      <w:pPr>
        <w:pStyle w:val="FirstParagraph"/>
      </w:pPr>
      <w:r>
        <w:t xml:space="preserve">Miquel incidence counts:</w:t>
      </w:r>
    </w:p>
    <w:p>
      <w:pPr>
        <w:pStyle w:val="SourceCode"/>
      </w:pPr>
      <w:r>
        <w:rPr>
          <w:rStyle w:val="VerbatimChar"/>
        </w:rPr>
        <w:t xml:space="preserve">points        = 8</w:t>
      </w:r>
      <w:r>
        <w:br/>
      </w:r>
      <w:r>
        <w:rPr>
          <w:rStyle w:val="VerbatimChar"/>
        </w:rPr>
        <w:t xml:space="preserve">circles       = 6</w:t>
      </w:r>
      <w:r>
        <w:br/>
      </w:r>
      <w:r>
        <w:rPr>
          <w:rStyle w:val="VerbatimChar"/>
        </w:rPr>
        <w:t xml:space="preserve">point degree  = 3</w:t>
      </w:r>
      <w:r>
        <w:br/>
      </w:r>
      <w:r>
        <w:rPr>
          <w:rStyle w:val="VerbatimChar"/>
        </w:rPr>
        <w:t xml:space="preserve">circle degree = 4</w:t>
      </w:r>
      <w:r>
        <w:br/>
      </w:r>
      <w:r>
        <w:rPr>
          <w:rStyle w:val="VerbatimChar"/>
        </w:rPr>
        <w:t xml:space="preserve">flags         = 24</w:t>
      </w:r>
    </w:p>
    <w:p>
      <w:pPr>
        <w:pStyle w:val="FirstParagraph"/>
      </w:pPr>
      <w:r>
        <w:t xml:space="preserve">Balance:</w:t>
      </w:r>
    </w:p>
    <w:p>
      <w:pPr>
        <w:pStyle w:val="SourceCode"/>
      </w:pPr>
      <w:r>
        <w:rPr>
          <w:rStyle w:val="VerbatimChar"/>
        </w:rPr>
        <w:t xml:space="preserve">8 * 3 = 6 * 4 = 24</w:t>
      </w:r>
    </w:p>
    <w:p>
      <w:pPr>
        <w:pStyle w:val="FirstParagraph"/>
      </w:pPr>
      <w:r>
        <w:t xml:space="preserve">The oversight arithmetic is:</w:t>
      </w:r>
    </w:p>
    <w:p>
      <w:pPr>
        <w:pStyle w:val="SourceCode"/>
      </w:pPr>
      <w:r>
        <w:rPr>
          <w:rStyle w:val="VerbatimChar"/>
        </w:rPr>
        <w:t xml:space="preserve">hidden 5-cell          = 5</w:t>
      </w:r>
      <w:r>
        <w:br/>
      </w:r>
      <w:r>
        <w:rPr>
          <w:rStyle w:val="VerbatimChar"/>
        </w:rPr>
        <w:t xml:space="preserve">pairwise gauge planes  = C(4,2) = 6</w:t>
      </w:r>
      <w:r>
        <w:br/>
      </w:r>
      <w:r>
        <w:rPr>
          <w:rStyle w:val="VerbatimChar"/>
        </w:rPr>
        <w:t xml:space="preserve">oversight frame        = 5 + 6 = 11</w:t>
      </w:r>
    </w:p>
    <w:p>
      <w:pPr>
        <w:pStyle w:val="FirstParagraph"/>
      </w:pPr>
      <w:r>
        <w:t xml:space="preserve">Canonical sentence:</w:t>
      </w:r>
    </w:p>
    <w:p>
      <w:pPr>
        <w:pStyle w:val="SourceCode"/>
      </w:pPr>
      <w:r>
        <w:rPr>
          <w:rStyle w:val="VerbatimChar"/>
        </w:rPr>
        <w:t xml:space="preserve">5-cell hides.</w:t>
      </w:r>
      <w:r>
        <w:br/>
      </w:r>
      <w:r>
        <w:rPr>
          <w:rStyle w:val="VerbatimChar"/>
        </w:rPr>
        <w:t xml:space="preserve">6 gauge-pair planes oversee.</w:t>
      </w:r>
      <w:r>
        <w:br/>
      </w:r>
      <w:r>
        <w:rPr>
          <w:rStyle w:val="VerbatimChar"/>
        </w:rPr>
        <w:t xml:space="preserve">11-cell governs.</w:t>
      </w:r>
      <w:r>
        <w:br/>
      </w:r>
      <w:r>
        <w:rPr>
          <w:rStyle w:val="VerbatimChar"/>
        </w:rPr>
        <w:t xml:space="preserve">Projection lies.</w:t>
      </w:r>
      <w:r>
        <w:br/>
      </w:r>
      <w:r>
        <w:rPr>
          <w:rStyle w:val="VerbatimChar"/>
        </w:rPr>
        <w:t xml:space="preserve">Receipt accepts.</w:t>
      </w:r>
    </w:p>
    <w:p>
      <w:pPr>
        <w:pStyle w:val="FirstParagraph"/>
      </w:pPr>
      <w:r>
        <w:t xml:space="preserve">Boundary:</w:t>
      </w:r>
    </w:p>
    <w:p>
      <w:pPr>
        <w:pStyle w:val="SourceCode"/>
      </w:pPr>
      <w:r>
        <w:rPr>
          <w:rStyle w:val="VerbatimChar"/>
        </w:rPr>
        <w:t xml:space="preserve">The 5 + 6 = 11 frame is an OMI oversight arithmetic.</w:t>
      </w:r>
      <w:r>
        <w:br/>
      </w:r>
      <w:r>
        <w:rPr>
          <w:rStyle w:val="VerbatimChar"/>
        </w:rPr>
        <w:t xml:space="preserve">It is not automatically identified with the abstract regular 11-cell without an incidence-preserving proof.</w:t>
      </w:r>
    </w:p>
    <w:p>
      <w:r>
        <w:pict>
          <v:rect style="width:0;height:1.5pt" o:hralign="center" o:hrstd="t" o:hr="t"/>
        </w:pict>
      </w:r>
    </w:p>
    <w:bookmarkEnd w:id="33"/>
    <w:bookmarkStart w:id="34" w:name="polybius-square-as-invariant-set-logic"/>
    <w:p>
      <w:pPr>
        <w:pStyle w:val="Heading2"/>
      </w:pPr>
      <w:r>
        <w:t xml:space="preserve">12. Polybius Square as Invariant Set Logic</w:t>
      </w:r>
    </w:p>
    <w:p>
      <w:pPr>
        <w:pStyle w:val="FirstParagraph"/>
      </w:pPr>
      <w:r>
        <w:t xml:space="preserve">The Polybius square:</w:t>
      </w:r>
    </w:p>
    <w:p>
      <w:pPr>
        <w:pStyle w:val="SourceCode"/>
      </w:pPr>
      <w:r>
        <w:rPr>
          <w:rStyle w:val="VerbatimChar"/>
        </w:rPr>
        <w:t xml:space="preserve">0  1  2  3</w:t>
      </w:r>
      <w:r>
        <w:br/>
      </w:r>
      <w:r>
        <w:rPr>
          <w:rStyle w:val="VerbatimChar"/>
        </w:rPr>
        <w:t xml:space="preserve">4  5  6  7</w:t>
      </w:r>
      <w:r>
        <w:br/>
      </w:r>
      <w:r>
        <w:rPr>
          <w:rStyle w:val="VerbatimChar"/>
        </w:rPr>
        <w:t xml:space="preserve">8  9  A  B</w:t>
      </w:r>
      <w:r>
        <w:br/>
      </w:r>
      <w:r>
        <w:rPr>
          <w:rStyle w:val="VerbatimChar"/>
        </w:rPr>
        <w:t xml:space="preserve">C  D  E  F</w:t>
      </w:r>
    </w:p>
    <w:p>
      <w:pPr>
        <w:pStyle w:val="FirstParagraph"/>
      </w:pPr>
      <w:r>
        <w:t xml:space="preserve">Primary diagonal:</w:t>
      </w:r>
    </w:p>
    <w:p>
      <w:pPr>
        <w:pStyle w:val="SourceCode"/>
      </w:pPr>
      <w:r>
        <w:rPr>
          <w:rStyle w:val="VerbatimChar"/>
        </w:rPr>
        <w:t xml:space="preserve">D⁺ = {0, 5, A, F}</w:t>
      </w:r>
    </w:p>
    <w:p>
      <w:pPr>
        <w:pStyle w:val="FirstParagraph"/>
      </w:pPr>
      <w:r>
        <w:t xml:space="preserve">Binary:</w:t>
      </w:r>
    </w:p>
    <w:p>
      <w:pPr>
        <w:pStyle w:val="SourceCode"/>
      </w:pPr>
      <w:r>
        <w:rPr>
          <w:rStyle w:val="VerbatimChar"/>
        </w:rPr>
        <w:t xml:space="preserve">0000</w:t>
      </w:r>
      <w:r>
        <w:br/>
      </w:r>
      <w:r>
        <w:rPr>
          <w:rStyle w:val="VerbatimChar"/>
        </w:rPr>
        <w:t xml:space="preserve">0101</w:t>
      </w:r>
      <w:r>
        <w:br/>
      </w:r>
      <w:r>
        <w:rPr>
          <w:rStyle w:val="VerbatimChar"/>
        </w:rPr>
        <w:t xml:space="preserve">1010</w:t>
      </w:r>
      <w:r>
        <w:br/>
      </w:r>
      <w:r>
        <w:rPr>
          <w:rStyle w:val="VerbatimChar"/>
        </w:rPr>
        <w:t xml:space="preserve">1111</w:t>
      </w:r>
    </w:p>
    <w:p>
      <w:pPr>
        <w:pStyle w:val="FirstParagraph"/>
      </w:pPr>
      <w:r>
        <w:t xml:space="preserve">XOR:</w:t>
      </w:r>
    </w:p>
    <w:p>
      <w:pPr>
        <w:pStyle w:val="SourceCode"/>
      </w:pPr>
      <w:r>
        <w:rPr>
          <w:rStyle w:val="VerbatimChar"/>
        </w:rPr>
        <w:t xml:space="preserve">0000 ^ 0101 ^ 1010 ^ 1111 = 0000</w:t>
      </w:r>
    </w:p>
    <w:p>
      <w:pPr>
        <w:pStyle w:val="FirstParagraph"/>
      </w:pPr>
      <w:r>
        <w:t xml:space="preserve">Anti-diagonal:</w:t>
      </w:r>
    </w:p>
    <w:p>
      <w:pPr>
        <w:pStyle w:val="SourceCode"/>
      </w:pPr>
      <w:r>
        <w:rPr>
          <w:rStyle w:val="VerbatimChar"/>
        </w:rPr>
        <w:t xml:space="preserve">D⁻ = {3, 6, 9, C}</w:t>
      </w:r>
    </w:p>
    <w:p>
      <w:pPr>
        <w:pStyle w:val="FirstParagraph"/>
      </w:pPr>
      <w:r>
        <w:t xml:space="preserve">Binary:</w:t>
      </w:r>
    </w:p>
    <w:p>
      <w:pPr>
        <w:pStyle w:val="SourceCode"/>
      </w:pPr>
      <w:r>
        <w:rPr>
          <w:rStyle w:val="VerbatimChar"/>
        </w:rPr>
        <w:t xml:space="preserve">0011</w:t>
      </w:r>
      <w:r>
        <w:br/>
      </w:r>
      <w:r>
        <w:rPr>
          <w:rStyle w:val="VerbatimChar"/>
        </w:rPr>
        <w:t xml:space="preserve">0110</w:t>
      </w:r>
      <w:r>
        <w:br/>
      </w:r>
      <w:r>
        <w:rPr>
          <w:rStyle w:val="VerbatimChar"/>
        </w:rPr>
        <w:t xml:space="preserve">1001</w:t>
      </w:r>
      <w:r>
        <w:br/>
      </w:r>
      <w:r>
        <w:rPr>
          <w:rStyle w:val="VerbatimChar"/>
        </w:rPr>
        <w:t xml:space="preserve">1100</w:t>
      </w:r>
    </w:p>
    <w:p>
      <w:pPr>
        <w:pStyle w:val="FirstParagraph"/>
      </w:pPr>
      <w:r>
        <w:t xml:space="preserve">XOR:</w:t>
      </w:r>
    </w:p>
    <w:p>
      <w:pPr>
        <w:pStyle w:val="SourceCode"/>
      </w:pPr>
      <w:r>
        <w:rPr>
          <w:rStyle w:val="VerbatimChar"/>
        </w:rPr>
        <w:t xml:space="preserve">0011 ^ 0110 ^ 1001 ^ 1100 = 0000</w:t>
      </w:r>
    </w:p>
    <w:p>
      <w:pPr>
        <w:pStyle w:val="FirstParagraph"/>
      </w:pPr>
      <w:r>
        <w:t xml:space="preserve">Key observation:</w:t>
      </w:r>
    </w:p>
    <w:p>
      <w:pPr>
        <w:pStyle w:val="SourceCode"/>
      </w:pPr>
      <w:r>
        <w:rPr>
          <w:rStyle w:val="VerbatimChar"/>
        </w:rPr>
        <w:t xml:space="preserve">Each diagonal XORs to zero.</w:t>
      </w:r>
      <w:r>
        <w:br/>
      </w:r>
      <w:r>
        <w:rPr>
          <w:rStyle w:val="VerbatimChar"/>
        </w:rPr>
        <w:t xml:space="preserve">This is exact, byte-wide, platform-independent closure.</w:t>
      </w:r>
      <w:r>
        <w:br/>
      </w:r>
      <w:r>
        <w:rPr>
          <w:rStyle w:val="VerbatimChar"/>
        </w:rPr>
        <w:t xml:space="preserve">No floating point is involved.</w:t>
      </w:r>
    </w:p>
    <w:p>
      <w:pPr>
        <w:pStyle w:val="FirstParagraph"/>
      </w:pPr>
      <w:r>
        <w:t xml:space="preserve">This is non-destructive closure.</w:t>
      </w:r>
    </w:p>
    <w:p>
      <w:pPr>
        <w:pStyle w:val="BodyText"/>
      </w:pPr>
      <w:r>
        <w:t xml:space="preserve">The wheel can be inspected at any stage.</w:t>
      </w:r>
    </w:p>
    <w:p>
      <w:pPr>
        <w:pStyle w:val="BodyText"/>
      </w:pPr>
      <w:r>
        <w:t xml:space="preserve">The structure proves itself through exact arithmetic rather than by collapsing into a single witness bit.</w:t>
      </w:r>
    </w:p>
    <w:p>
      <w:r>
        <w:pict>
          <v:rect style="width:0;height:1.5pt" o:hralign="center" o:hrstd="t" o:hr="t"/>
        </w:pict>
      </w:r>
    </w:p>
    <w:bookmarkEnd w:id="34"/>
    <w:bookmarkStart w:id="35" w:name="binary-quadratic-form"/>
    <w:p>
      <w:pPr>
        <w:pStyle w:val="Heading2"/>
      </w:pPr>
      <w:r>
        <w:t xml:space="preserve">13. Binary Quadratic Form</w:t>
      </w:r>
    </w:p>
    <w:p>
      <w:pPr>
        <w:pStyle w:val="FirstParagraph"/>
      </w:pPr>
      <w:r>
        <w:t xml:space="preserve">The OMI binary quadratic form is:</w:t>
      </w:r>
    </w:p>
    <w:p>
      <w:pPr>
        <w:pStyle w:val="SourceCode"/>
      </w:pPr>
      <w:r>
        <w:rPr>
          <w:rStyle w:val="VerbatimChar"/>
        </w:rPr>
        <w:t xml:space="preserve">Q(x,y) = 60x² + 16xy + 4y²</w:t>
      </w:r>
    </w:p>
    <w:p>
      <w:pPr>
        <w:pStyle w:val="FirstParagraph"/>
      </w:pPr>
      <w:r>
        <w:t xml:space="preserve">It separates the three major planes:</w:t>
      </w:r>
    </w:p>
    <w:p>
      <w:pPr>
        <w:pStyle w:val="SourceCode"/>
      </w:pPr>
      <w:r>
        <w:rPr>
          <w:rStyle w:val="VerbatimChar"/>
        </w:rPr>
        <w:t xml:space="preserve">4y²    Atomic Logic Clock</w:t>
      </w:r>
      <w:r>
        <w:br/>
      </w:r>
      <w:r>
        <w:rPr>
          <w:rStyle w:val="VerbatimChar"/>
        </w:rPr>
        <w:t xml:space="preserve">16xy   Spectral Observer / Bridge Plane</w:t>
      </w:r>
      <w:r>
        <w:br/>
      </w:r>
      <w:r>
        <w:rPr>
          <w:rStyle w:val="VerbatimChar"/>
        </w:rPr>
        <w:t xml:space="preserve">60x²   Cosmic Orbit Clock</w:t>
      </w:r>
    </w:p>
    <w:p>
      <w:pPr>
        <w:pStyle w:val="FirstParagraph"/>
      </w:pPr>
      <w:r>
        <w:t xml:space="preserve">Important arithmetic correction:</w:t>
      </w:r>
    </w:p>
    <w:p>
      <w:pPr>
        <w:pStyle w:val="SourceCode"/>
      </w:pPr>
      <w:r>
        <w:rPr>
          <w:rStyle w:val="VerbatimChar"/>
        </w:rPr>
        <w:t xml:space="preserve">60x² + 16xy + 4y²</w:t>
      </w:r>
      <w:r>
        <w:br/>
      </w:r>
      <w:r>
        <w:rPr>
          <w:rStyle w:val="VerbatimChar"/>
        </w:rPr>
        <w:t xml:space="preserve">  = 4(15x² + 4xy + y²)</w:t>
      </w:r>
    </w:p>
    <w:p>
      <w:pPr>
        <w:pStyle w:val="FirstParagraph"/>
      </w:pPr>
      <w:r>
        <w:t xml:space="preserve">It does not factor as:</w:t>
      </w:r>
    </w:p>
    <w:p>
      <w:pPr>
        <w:pStyle w:val="SourceCode"/>
      </w:pPr>
      <w:r>
        <w:rPr>
          <w:rStyle w:val="VerbatimChar"/>
        </w:rPr>
        <w:t xml:space="preserve">4(3x + y)(5x + y)</w:t>
      </w:r>
    </w:p>
    <w:p>
      <w:pPr>
        <w:pStyle w:val="FirstParagraph"/>
      </w:pPr>
      <w:r>
        <w:t xml:space="preserve">because:</w:t>
      </w:r>
    </w:p>
    <w:p>
      <w:pPr>
        <w:pStyle w:val="SourceCode"/>
      </w:pPr>
      <w:r>
        <w:rPr>
          <w:rStyle w:val="VerbatimChar"/>
        </w:rPr>
        <w:t xml:space="preserve">4(3x + y)(5x + y)</w:t>
      </w:r>
      <w:r>
        <w:br/>
      </w:r>
      <w:r>
        <w:rPr>
          <w:rStyle w:val="VerbatimChar"/>
        </w:rPr>
        <w:t xml:space="preserve">= 4(15x² + 8xy + y²)</w:t>
      </w:r>
      <w:r>
        <w:br/>
      </w:r>
      <w:r>
        <w:rPr>
          <w:rStyle w:val="VerbatimChar"/>
        </w:rPr>
        <w:t xml:space="preserve">= 60x² + 32xy + 4y²</w:t>
      </w:r>
    </w:p>
    <w:p>
      <w:pPr>
        <w:pStyle w:val="FirstParagraph"/>
      </w:pPr>
      <w:r>
        <w:t xml:space="preserve">The discriminant of the original form is:</w:t>
      </w:r>
    </w:p>
    <w:p>
      <w:pPr>
        <w:pStyle w:val="SourceCode"/>
      </w:pPr>
      <w:r>
        <w:rPr>
          <w:rStyle w:val="VerbatimChar"/>
        </w:rPr>
        <w:t xml:space="preserve">b² - 4ac = 16² - 4(60)(4)</w:t>
      </w:r>
      <w:r>
        <w:br/>
      </w:r>
      <w:r>
        <w:rPr>
          <w:rStyle w:val="VerbatimChar"/>
        </w:rPr>
        <w:t xml:space="preserve">          = 256 - 960</w:t>
      </w:r>
      <w:r>
        <w:br/>
      </w:r>
      <w:r>
        <w:rPr>
          <w:rStyle w:val="VerbatimChar"/>
        </w:rPr>
        <w:t xml:space="preserve">          = -704</w:t>
      </w:r>
    </w:p>
    <w:p>
      <w:pPr>
        <w:pStyle w:val="FirstParagraph"/>
      </w:pPr>
      <w:r>
        <w:t xml:space="preserve">Since:</w:t>
      </w:r>
    </w:p>
    <w:p>
      <w:pPr>
        <w:pStyle w:val="SourceCode"/>
      </w:pPr>
      <w:r>
        <w:rPr>
          <w:rStyle w:val="VerbatimChar"/>
        </w:rPr>
        <w:t xml:space="preserve">a = 60 &gt; 0</w:t>
      </w:r>
      <w:r>
        <w:br/>
      </w:r>
      <w:r>
        <w:rPr>
          <w:rStyle w:val="VerbatimChar"/>
        </w:rPr>
        <w:t xml:space="preserve">discriminant &lt; 0</w:t>
      </w:r>
    </w:p>
    <w:p>
      <w:pPr>
        <w:pStyle w:val="FirstParagraph"/>
      </w:pPr>
      <w:r>
        <w:t xml:space="preserve">the form is positive definite over the real plane.</w:t>
      </w:r>
    </w:p>
    <w:p>
      <w:pPr>
        <w:pStyle w:val="BodyText"/>
      </w:pPr>
      <w:r>
        <w:t xml:space="preserve">Correct statement:</w:t>
      </w:r>
    </w:p>
    <w:p>
      <w:pPr>
        <w:pStyle w:val="SourceCode"/>
      </w:pPr>
      <w:r>
        <w:rPr>
          <w:rStyle w:val="VerbatimChar"/>
        </w:rPr>
        <w:t xml:space="preserve">Q(x,y) is positive definite.</w:t>
      </w:r>
      <w:r>
        <w:br/>
      </w:r>
      <w:r>
        <w:rPr>
          <w:rStyle w:val="VerbatimChar"/>
        </w:rPr>
        <w:t xml:space="preserve">It has no real linear factorization.</w:t>
      </w:r>
      <w:r>
        <w:br/>
      </w:r>
      <w:r>
        <w:rPr>
          <w:rStyle w:val="VerbatimChar"/>
        </w:rPr>
        <w:t xml:space="preserve">Its roots live in a complex/projective interpretation, not as real transition lines.</w:t>
      </w:r>
    </w:p>
    <w:p>
      <w:pPr>
        <w:pStyle w:val="FirstParagraph"/>
      </w:pPr>
      <w:r>
        <w:t xml:space="preserve">Boundary:</w:t>
      </w:r>
    </w:p>
    <w:p>
      <w:pPr>
        <w:pStyle w:val="SourceCode"/>
      </w:pPr>
      <w:r>
        <w:rPr>
          <w:rStyle w:val="VerbatimChar"/>
        </w:rPr>
        <w:t xml:space="preserve">The quadratic form organizes OMI plane weights.</w:t>
      </w:r>
      <w:r>
        <w:br/>
      </w:r>
      <w:r>
        <w:rPr>
          <w:rStyle w:val="VerbatimChar"/>
        </w:rPr>
        <w:t xml:space="preserve">It does not by itself prove a physical geometry.</w:t>
      </w:r>
    </w:p>
    <w:p>
      <w:r>
        <w:pict>
          <v:rect style="width:0;height:1.5pt" o:hralign="center" o:hrstd="t" o:hr="t"/>
        </w:pict>
      </w:r>
    </w:p>
    <w:bookmarkEnd w:id="35"/>
    <w:bookmarkStart w:id="36" w:name="omi-isa-witness-split"/>
    <w:p>
      <w:pPr>
        <w:pStyle w:val="Heading2"/>
      </w:pPr>
      <w:r>
        <w:t xml:space="preserve">14. OMI-ISA Witness Split</w:t>
      </w:r>
    </w:p>
    <w:p>
      <w:pPr>
        <w:pStyle w:val="FirstParagraph"/>
      </w:pPr>
      <w:r>
        <w:t xml:space="preserve">The executable witness fixtures should remain separated:</w:t>
      </w:r>
    </w:p>
    <w:p>
      <w:pPr>
        <w:pStyle w:val="SourceCode"/>
      </w:pPr>
      <w:r>
        <w:rPr>
          <w:rStyle w:val="VerbatimChar"/>
        </w:rPr>
        <w:t xml:space="preserve">NULL Ring:</w:t>
      </w:r>
      <w:r>
        <w:br/>
      </w:r>
      <w:r>
        <w:rPr>
          <w:rStyle w:val="VerbatimChar"/>
        </w:rPr>
        <w:t xml:space="preserve">  0x00 / 0x20 / 0x7F / 0xFF</w:t>
      </w:r>
      <w:r>
        <w:br/>
      </w:r>
      <w:r>
        <w:rPr>
          <w:rStyle w:val="VerbatimChar"/>
        </w:rPr>
        <w:t xml:space="preserve">  byte-ring closure</w:t>
      </w:r>
      <w:r>
        <w:br/>
      </w:r>
      <w:r>
        <w:br/>
      </w:r>
      <w:r>
        <w:rPr>
          <w:rStyle w:val="VerbatimChar"/>
        </w:rPr>
        <w:t xml:space="preserve">Tetragrammatron:</w:t>
      </w:r>
      <w:r>
        <w:br/>
      </w:r>
      <w:r>
        <w:rPr>
          <w:rStyle w:val="VerbatimChar"/>
        </w:rPr>
        <w:t xml:space="preserve">  0x1E / 0x3C / 0x78</w:t>
      </w:r>
      <w:r>
        <w:br/>
      </w:r>
      <w:r>
        <w:rPr>
          <w:rStyle w:val="VerbatimChar"/>
        </w:rPr>
        <w:t xml:space="preserve">  diagonal closure, fold-carry, polyharmonic governor</w:t>
      </w:r>
      <w:r>
        <w:br/>
      </w:r>
      <w:r>
        <w:br/>
      </w:r>
      <w:r>
        <w:rPr>
          <w:rStyle w:val="VerbatimChar"/>
        </w:rPr>
        <w:t xml:space="preserve">Metatron:</w:t>
      </w:r>
      <w:r>
        <w:br/>
      </w:r>
      <w:r>
        <w:rPr>
          <w:rStyle w:val="VerbatimChar"/>
        </w:rPr>
        <w:t xml:space="preserve">  0xAA55 / 0x55AA</w:t>
      </w:r>
      <w:r>
        <w:br/>
      </w:r>
      <w:r>
        <w:rPr>
          <w:rStyle w:val="VerbatimChar"/>
        </w:rPr>
        <w:t xml:space="preserve">  alternating balanced witness</w:t>
      </w:r>
    </w:p>
    <w:p>
      <w:pPr>
        <w:pStyle w:val="FirstParagraph"/>
      </w:pPr>
      <w:r>
        <w:t xml:space="preserve">Canonical lock:</w:t>
      </w:r>
    </w:p>
    <w:p>
      <w:pPr>
        <w:pStyle w:val="SourceCode"/>
      </w:pPr>
      <w:r>
        <w:rPr>
          <w:rStyle w:val="VerbatimChar"/>
        </w:rPr>
        <w:t xml:space="preserve">0x3C / 0x78 belongs to Tetragrammatron.</w:t>
      </w:r>
      <w:r>
        <w:br/>
      </w:r>
      <w:r>
        <w:rPr>
          <w:rStyle w:val="VerbatimChar"/>
        </w:rPr>
        <w:t xml:space="preserve">0xAA55 / 0x55AA belongs to Metatron.</w:t>
      </w:r>
      <w:r>
        <w:br/>
      </w:r>
      <w:r>
        <w:rPr>
          <w:rStyle w:val="VerbatimChar"/>
        </w:rPr>
        <w:t xml:space="preserve">0x00 / 0x20 / 0x7F / 0xFF belongs to the Null Ring.</w:t>
      </w:r>
    </w:p>
    <w:p>
      <w:r>
        <w:pict>
          <v:rect style="width:0;height:1.5pt" o:hralign="center" o:hrstd="t" o:hr="t"/>
        </w:pict>
      </w:r>
    </w:p>
    <w:bookmarkEnd w:id="36"/>
    <w:bookmarkStart w:id="37" w:name="proof-boundary"/>
    <w:p>
      <w:pPr>
        <w:pStyle w:val="Heading2"/>
      </w:pPr>
      <w:r>
        <w:t xml:space="preserve">15. Proof Boundary</w:t>
      </w:r>
    </w:p>
    <w:p>
      <w:pPr>
        <w:pStyle w:val="FirstParagraph"/>
      </w:pPr>
      <w:r>
        <w:t xml:space="preserve">The proof rail belongs to Coq.</w:t>
      </w:r>
    </w:p>
    <w:p>
      <w:pPr>
        <w:pStyle w:val="BodyText"/>
      </w:pPr>
      <w:r>
        <w:t xml:space="preserve">The executable rail belongs to OMI-ISA.</w:t>
      </w:r>
    </w:p>
    <w:p>
      <w:pPr>
        <w:pStyle w:val="BodyText"/>
      </w:pPr>
      <w:r>
        <w:t xml:space="preserve">The notation rail belongs to OMI workbook / OMI-Port.</w:t>
      </w:r>
    </w:p>
    <w:p>
      <w:pPr>
        <w:pStyle w:val="BodyText"/>
      </w:pPr>
      <w:r>
        <w:t xml:space="preserve">Correct propagation:</w:t>
      </w:r>
    </w:p>
    <w:p>
      <w:pPr>
        <w:pStyle w:val="SourceCode"/>
      </w:pPr>
      <w:r>
        <w:rPr>
          <w:rStyle w:val="VerbatimChar"/>
        </w:rPr>
        <w:t xml:space="preserve">Coq proves.</w:t>
      </w:r>
      <w:r>
        <w:br/>
      </w:r>
      <w:r>
        <w:rPr>
          <w:rStyle w:val="VerbatimChar"/>
        </w:rPr>
        <w:t xml:space="preserve">Canon names.</w:t>
      </w:r>
      <w:r>
        <w:br/>
      </w:r>
      <w:r>
        <w:rPr>
          <w:rStyle w:val="VerbatimChar"/>
        </w:rPr>
        <w:t xml:space="preserve">OMI workbook notation cites.</w:t>
      </w:r>
      <w:r>
        <w:br/>
      </w:r>
      <w:r>
        <w:rPr>
          <w:rStyle w:val="VerbatimChar"/>
        </w:rPr>
        <w:t xml:space="preserve">OMI-Port routes.</w:t>
      </w:r>
      <w:r>
        <w:br/>
      </w:r>
      <w:r>
        <w:rPr>
          <w:rStyle w:val="VerbatimChar"/>
        </w:rPr>
        <w:t xml:space="preserve">OMI-Lisp may declare.</w:t>
      </w:r>
      <w:r>
        <w:br/>
      </w:r>
      <w:r>
        <w:rPr>
          <w:rStyle w:val="VerbatimChar"/>
        </w:rPr>
        <w:t xml:space="preserve">OMI-ISA witnesses.</w:t>
      </w:r>
      <w:r>
        <w:br/>
      </w:r>
      <w:r>
        <w:rPr>
          <w:rStyle w:val="VerbatimChar"/>
        </w:rPr>
        <w:t xml:space="preserve">Tetragrammatron validates.</w:t>
      </w:r>
      <w:r>
        <w:br/>
      </w:r>
      <w:r>
        <w:rPr>
          <w:rStyle w:val="VerbatimChar"/>
        </w:rPr>
        <w:t xml:space="preserve">Metatron scribes.</w:t>
      </w:r>
      <w:r>
        <w:br/>
      </w:r>
      <w:r>
        <w:rPr>
          <w:rStyle w:val="VerbatimChar"/>
        </w:rPr>
        <w:t xml:space="preserve">Receipt records.</w:t>
      </w:r>
    </w:p>
    <w:p>
      <w:pPr>
        <w:pStyle w:val="FirstParagraph"/>
      </w:pPr>
      <w:r>
        <w:t xml:space="preserve">C tests and OMI-ISA fixtures do not prove the mathematics.</w:t>
      </w:r>
    </w:p>
    <w:p>
      <w:pPr>
        <w:pStyle w:val="BodyText"/>
      </w:pPr>
      <w:r>
        <w:t xml:space="preserve">They witness bounded executable behavior aligned with already-proven or proof-scaffolded invariants.</w:t>
      </w:r>
    </w:p>
    <w:p>
      <w:pPr>
        <w:pStyle w:val="BodyText"/>
      </w:pPr>
      <w:r>
        <w:t xml:space="preserve">Boundary:</w:t>
      </w:r>
    </w:p>
    <w:p>
      <w:pPr>
        <w:pStyle w:val="SourceCode"/>
      </w:pPr>
      <w:r>
        <w:rPr>
          <w:rStyle w:val="VerbatimChar"/>
        </w:rPr>
        <w:t xml:space="preserve">No projection is authority.</w:t>
      </w:r>
      <w:r>
        <w:br/>
      </w:r>
      <w:r>
        <w:rPr>
          <w:rStyle w:val="VerbatimChar"/>
        </w:rPr>
        <w:t xml:space="preserve">No route is connection.</w:t>
      </w:r>
      <w:r>
        <w:br/>
      </w:r>
      <w:r>
        <w:rPr>
          <w:rStyle w:val="VerbatimChar"/>
        </w:rPr>
        <w:t xml:space="preserve">No notation is receipt.</w:t>
      </w:r>
      <w:r>
        <w:br/>
      </w:r>
      <w:r>
        <w:rPr>
          <w:rStyle w:val="VerbatimChar"/>
        </w:rPr>
        <w:t xml:space="preserve">No gauge is truth.</w:t>
      </w:r>
    </w:p>
    <w:p>
      <w:r>
        <w:pict>
          <v:rect style="width:0;height:1.5pt" o:hralign="center" o:hrstd="t" o:hr="t"/>
        </w:pict>
      </w:r>
    </w:p>
    <w:bookmarkEnd w:id="37"/>
    <w:bookmarkStart w:id="38" w:name="final-canon"/>
    <w:p>
      <w:pPr>
        <w:pStyle w:val="Heading2"/>
      </w:pPr>
      <w:r>
        <w:t xml:space="preserve">16. Final Canon</w:t>
      </w:r>
    </w:p>
    <w:p>
      <w:pPr>
        <w:pStyle w:val="SourceCode"/>
      </w:pPr>
      <w:r>
        <w:rPr>
          <w:rStyle w:val="VerbatimChar"/>
        </w:rPr>
        <w:t xml:space="preserve">The hidden control plane establishes place.</w:t>
      </w:r>
      <w:r>
        <w:br/>
      </w:r>
      <w:r>
        <w:br/>
      </w:r>
      <w:r>
        <w:rPr>
          <w:rStyle w:val="VerbatimChar"/>
        </w:rPr>
        <w:t xml:space="preserve">FS, GS, RS, and US close the pre-language gauge control line.</w:t>
      </w:r>
      <w:r>
        <w:br/>
      </w:r>
      <w:r>
        <w:br/>
      </w:r>
      <w:r>
        <w:rPr>
          <w:rStyle w:val="VerbatimChar"/>
        </w:rPr>
        <w:t xml:space="preserve">Space at 0x20 opens readable separation.</w:t>
      </w:r>
      <w:r>
        <w:br/>
      </w:r>
      <w:r>
        <w:br/>
      </w:r>
      <w:r>
        <w:rPr>
          <w:rStyle w:val="VerbatimChar"/>
        </w:rPr>
        <w:t xml:space="preserve">The F-column branches the hidden unit separator into printable notation:</w:t>
      </w:r>
      <w:r>
        <w:br/>
      </w:r>
      <w:r>
        <w:br/>
      </w:r>
      <w:r>
        <w:rPr>
          <w:rStyle w:val="VerbatimChar"/>
        </w:rPr>
        <w:t xml:space="preserve">US / ? O _ o</w:t>
      </w:r>
      <w:r>
        <w:br/>
      </w:r>
      <w:r>
        <w:br/>
      </w:r>
      <w:r>
        <w:rPr>
          <w:rStyle w:val="VerbatimChar"/>
        </w:rPr>
        <w:t xml:space="preserve">The Null Ring closes the byte cycle:</w:t>
      </w:r>
      <w:r>
        <w:br/>
      </w:r>
      <w:r>
        <w:br/>
      </w:r>
      <w:r>
        <w:rPr>
          <w:rStyle w:val="VerbatimChar"/>
        </w:rPr>
        <w:t xml:space="preserve">0x00 → 0x20 → 0x7F → 0xFF → 0x00</w:t>
      </w:r>
      <w:r>
        <w:br/>
      </w:r>
      <w:r>
        <w:br/>
      </w:r>
      <w:r>
        <w:rPr>
          <w:rStyle w:val="VerbatimChar"/>
        </w:rPr>
        <w:t xml:space="preserve">The Tetragrammatron adjudicates diagonal closure through:</w:t>
      </w:r>
      <w:r>
        <w:br/>
      </w:r>
      <w:r>
        <w:br/>
      </w:r>
      <w:r>
        <w:rPr>
          <w:rStyle w:val="VerbatimChar"/>
        </w:rPr>
        <w:t xml:space="preserve">0x1E, 0x3C, and 0x78</w:t>
      </w:r>
      <w:r>
        <w:br/>
      </w:r>
      <w:r>
        <w:br/>
      </w:r>
      <w:r>
        <w:rPr>
          <w:rStyle w:val="VerbatimChar"/>
        </w:rPr>
        <w:t xml:space="preserve">The Metatron scribes contrast through:</w:t>
      </w:r>
      <w:r>
        <w:br/>
      </w:r>
      <w:r>
        <w:br/>
      </w:r>
      <w:r>
        <w:rPr>
          <w:rStyle w:val="VerbatimChar"/>
        </w:rPr>
        <w:t xml:space="preserve">0xAA55 and 0x55AA</w:t>
      </w:r>
      <w:r>
        <w:br/>
      </w:r>
      <w:r>
        <w:br/>
      </w:r>
      <w:r>
        <w:rPr>
          <w:rStyle w:val="VerbatimChar"/>
        </w:rPr>
        <w:t xml:space="preserve">Omicron frames the resolver envelope:</w:t>
      </w:r>
      <w:r>
        <w:br/>
      </w:r>
      <w:r>
        <w:br/>
      </w:r>
      <w:r>
        <w:rPr>
          <w:rStyle w:val="VerbatimChar"/>
        </w:rPr>
        <w:t xml:space="preserve">Fδ 00 1C 1D 1E 1F 20 Fδ</w:t>
      </w:r>
      <w:r>
        <w:br/>
      </w:r>
      <w:r>
        <w:br/>
      </w:r>
      <w:r>
        <w:rPr>
          <w:rStyle w:val="VerbatimChar"/>
        </w:rPr>
        <w:t xml:space="preserve">OMI notation cites relation as:</w:t>
      </w:r>
      <w:r>
        <w:br/>
      </w:r>
      <w:r>
        <w:br/>
      </w:r>
      <w:r>
        <w:rPr>
          <w:rStyle w:val="VerbatimChar"/>
        </w:rPr>
        <w:t xml:space="preserve">omi---imo?O_o</w:t>
      </w:r>
      <w:r>
        <w:br/>
      </w:r>
      <w:r>
        <w:br/>
      </w:r>
      <w:r>
        <w:rPr>
          <w:rStyle w:val="VerbatimChar"/>
        </w:rPr>
        <w:t xml:space="preserve">Receipt alone records accepted closure.</w:t>
      </w:r>
    </w:p>
    <w:p>
      <w:pPr>
        <w:pStyle w:val="FirstParagraph"/>
      </w:pPr>
      <w:r>
        <w:t xml:space="preserve">Shortest form:</w:t>
      </w:r>
    </w:p>
    <w:p>
      <w:pPr>
        <w:pStyle w:val="SourceCode"/>
      </w:pPr>
      <w:r>
        <w:rPr>
          <w:rStyle w:val="VerbatimChar"/>
        </w:rPr>
        <w:t xml:space="preserve">US hides.</w:t>
      </w:r>
      <w:r>
        <w:br/>
      </w:r>
      <w:r>
        <w:rPr>
          <w:rStyle w:val="VerbatimChar"/>
        </w:rPr>
        <w:t xml:space="preserve">Slash separates.</w:t>
      </w:r>
      <w:r>
        <w:br/>
      </w:r>
      <w:r>
        <w:rPr>
          <w:rStyle w:val="VerbatimChar"/>
        </w:rPr>
        <w:t xml:space="preserve">Question witnesses.</w:t>
      </w:r>
      <w:r>
        <w:br/>
      </w:r>
      <w:r>
        <w:rPr>
          <w:rStyle w:val="VerbatimChar"/>
        </w:rPr>
        <w:t xml:space="preserve">O norms.</w:t>
      </w:r>
      <w:r>
        <w:br/>
      </w:r>
      <w:r>
        <w:rPr>
          <w:rStyle w:val="VerbatimChar"/>
        </w:rPr>
        <w:t xml:space="preserve">Underscore carries.</w:t>
      </w:r>
      <w:r>
        <w:br/>
      </w:r>
      <w:r>
        <w:rPr>
          <w:rStyle w:val="VerbatimChar"/>
        </w:rPr>
        <w:t xml:space="preserve">o localizes.</w:t>
      </w:r>
      <w:r>
        <w:br/>
      </w:r>
      <w:r>
        <w:br/>
      </w:r>
      <w:r>
        <w:rPr>
          <w:rStyle w:val="VerbatimChar"/>
        </w:rPr>
        <w:t xml:space="preserve">Null Ring closes.</w:t>
      </w:r>
      <w:r>
        <w:br/>
      </w:r>
      <w:r>
        <w:rPr>
          <w:rStyle w:val="VerbatimChar"/>
        </w:rPr>
        <w:t xml:space="preserve">Tetragrammatron validates.</w:t>
      </w:r>
      <w:r>
        <w:br/>
      </w:r>
      <w:r>
        <w:rPr>
          <w:rStyle w:val="VerbatimChar"/>
        </w:rPr>
        <w:t xml:space="preserve">Metatron scribes.</w:t>
      </w:r>
      <w:r>
        <w:br/>
      </w:r>
      <w:r>
        <w:rPr>
          <w:rStyle w:val="VerbatimChar"/>
        </w:rPr>
        <w:t xml:space="preserve">Omicron frames.</w:t>
      </w:r>
      <w:r>
        <w:br/>
      </w:r>
      <w:r>
        <w:rPr>
          <w:rStyle w:val="VerbatimChar"/>
        </w:rPr>
        <w:t xml:space="preserve">Receipt records.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2026-07-09T05:46:06Z</dcterms:created>
  <dcterms:modified xsi:type="dcterms:W3CDTF">2026-07-09T05:46:06Z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