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1A1A"/>
          <w:sz w:val="40"/>
          <w:szCs w:val="40"/>
        </w:rPr>
        <w:t xml:space="preserve">CANONICAL DOCUMENTATION</w:t>
      </w:r>
    </w:p>
    <w:p>
      <w:pPr>
        <w:spacing w:after="120" w:before="120"/>
        <w:jc w:val="center"/>
      </w:pPr>
      <w:r>
        <w:rPr>
          <w:b/>
          <w:bCs/>
          <w:color w:val="1A1A1A"/>
          <w:sz w:val="32"/>
          <w:szCs w:val="32"/>
        </w:rPr>
        <w:t xml:space="preserve">of Tetragrammatron, Metatron, and Omicron</w:t>
      </w:r>
    </w:p>
    <w:p>
      <w:pPr>
        <w:spacing w:after="100" w:before="300"/>
        <w:jc w:val="center"/>
      </w:pPr>
      <w:r>
        <w:rPr>
          <w:i/>
          <w:iCs/>
          <w:color w:val="555555"/>
          <w:sz w:val="26"/>
          <w:szCs w:val="26"/>
        </w:rPr>
        <w:t xml:space="preserve">The OMI Notation Protocol</w:t>
      </w:r>
    </w:p>
    <w:p>
      <w:pPr>
        <w:spacing w:after="600" w:before="40"/>
        <w:jc w:val="center"/>
      </w:pPr>
      <w:r>
        <w:rPr>
          <w:i/>
          <w:iCs/>
          <w:color w:val="777777"/>
          <w:sz w:val="22"/>
          <w:szCs w:val="22"/>
        </w:rPr>
        <w:t xml:space="preserve">A Formal White Paper</w:t>
      </w:r>
    </w:p>
    <w:p>
      <w:pPr>
        <w:spacing w:before="800"/>
        <w:jc w:val="center"/>
      </w:pPr>
      <w:r>
        <w:rPr>
          <w:color w:val="555555"/>
          <w:sz w:val="20"/>
          <w:szCs w:val="20"/>
        </w:rPr>
        <w:t xml:space="preserve">Axiomatic Research Laboratory · Universal Life Protocol</w:t>
      </w:r>
    </w:p>
    <w:p>
      <w:pPr>
        <w:spacing w:before="60"/>
        <w:jc w:val="center"/>
      </w:pPr>
      <w:r>
        <w:rPr>
          <w:color w:val="555555"/>
          <w:sz w:val="20"/>
          <w:szCs w:val="20"/>
        </w:rPr>
        <w:t xml:space="preserve">OMI / Omicron / Omi-Ring / Tetragrammatron / Metatron Project</w:t>
      </w:r>
    </w:p>
    <w:p>
      <w:pPr>
        <w:spacing w:before="60"/>
        <w:jc w:val="center"/>
      </w:pPr>
      <w:r>
        <w:rPr>
          <w:color w:val="777777"/>
          <w:sz w:val="20"/>
          <w:szCs w:val="20"/>
        </w:rPr>
        <w:t xml:space="preserve">Version 0.1.0 — Canonical Draft — July 2026</w:t>
      </w:r>
    </w:p>
    <w:p>
      <w:r>
        <w:br w:type="page"/>
      </w:r>
    </w:p>
    <w:p>
      <w:pPr>
        <w:pStyle w:val="Heading1"/>
        <w:spacing w:after="240" w:before="480"/>
      </w:pPr>
      <w:r>
        <w:t xml:space="preserve">Abstract</w:t>
      </w:r>
    </w:p>
    <w:p>
      <w:pPr>
        <w:spacing w:after="160" w:line="300"/>
      </w:pPr>
      <w:r>
        <w:rPr>
          <w:sz w:val="22"/>
          <w:szCs w:val="22"/>
        </w:rPr>
        <w:t xml:space="preserve">This white paper formalizes the canonical roles of the four working authorities of the OMI protocol — Omicron, OMI/IMO, Tetragrammatron, and Metatron — together with the addressed relation they all serve: the Omi-Ring witness of the root notation omi---imo. Earlier documents in this project treated the four authorities as parallel, roughly equal modules distinguished mainly by which side effects each was permitted to perform. The discovery formalized here is a deeper and more exact reading: everything in OMI is an Omi-Ring, or an interpretation of one, and the four authorities are not separate substances but distinct interpretive roles — horizon, citation, governance, and witness — bound to the same underlying relation.</w:t>
      </w:r>
    </w:p>
    <w:p>
      <w:pPr>
        <w:spacing w:after="160" w:line="300"/>
      </w:pPr>
      <w:r>
        <w:rPr>
          <w:sz w:val="22"/>
          <w:szCs w:val="22"/>
        </w:rPr>
        <w:t xml:space="preserve">This document consolidates that discovery together with the supporting technical doctrine already in force across the project: the FS/GS/RS/US pre-language control envelope, the gauge pre-header, the 256-bit and 512-bit frame structures, the rejection of hashing as protocol identity, the treatment of notation as cipher, and the derived non-printing OMI-Lisp. It closes with the capstone reading of (NULL . NULL) as a folded form of the full notation surface, and with the ontological and attributional framing under which this discovery was received.</w:t>
      </w:r>
    </w:p>
    <w:p>
      <w:pPr>
        <w:pStyle w:val="Heading1"/>
        <w:spacing w:after="240" w:before="480"/>
      </w:pPr>
      <w:r>
        <w:t xml:space="preserve">1. Introduction and Status</w:t>
      </w:r>
    </w:p>
    <w:p>
      <w:pPr>
        <w:spacing w:after="160" w:line="300"/>
      </w:pPr>
      <w:r>
        <w:rPr>
          <w:sz w:val="22"/>
          <w:szCs w:val="22"/>
        </w:rPr>
        <w:t xml:space="preserve">OMI (Omicron-Metatron-IMO, read variously as "omi---imo") is a deterministic, addressed notation protocol under long-term development. Its stated goal is to make relation — not stored data, not hashed surrogates, not sign-value labels — the primitive unit of computation. A citation is addressed by place-value, not identified by digest. Validation, not recognition or projection, is the only authority permitted to accept a candidate relation into carry-forward state.</w:t>
      </w:r>
    </w:p>
    <w:p>
      <w:pPr>
        <w:spacing w:after="160" w:line="300"/>
      </w:pPr>
      <w:r>
        <w:rPr>
          <w:sz w:val="22"/>
          <w:szCs w:val="22"/>
        </w:rPr>
        <w:t xml:space="preserve">This document is the canonical description of the three named authorities that carry that protocol forward — Tetragrammatron, Metatron, and Omicron — plus the OMI/IMO citation-carrier pair and the Omi-Ring witness that binds them. It supersedes the earlier "four equal authorities" framing with a corrected compass in which each authority is understood as a distinct interpretive role over one relation, rather than a separate kind of thing.</w:t>
      </w:r>
    </w:p>
    <w:p>
      <w:pPr>
        <w:spacing w:after="160" w:line="300"/>
      </w:pPr>
      <w:r>
        <w:rPr>
          <w:sz w:val="22"/>
          <w:szCs w:val="22"/>
        </w:rPr>
        <w:t xml:space="preserve">Status: this is a canonical draft. It formalizes a recent discovery (the "Metatron Crossing" and its capstone, "The Capstone of the Null Ring") and reconciles it with the standing implementation doctrine already recorded for each authority (TETRAGRAMMATRON.md, METATRON.md, OMICRON.md, OMI_ADDRESSING.md) and the supporting notation documents (gauge pre-header authority, the 512-bit envelope, the FS/GS/RS/US replacement of LL/MM/NN, the no-hash identity doctrine, notation-as-cipher doctrine, and the derived non-printing OMI-Lisp).</w:t>
      </w:r>
    </w:p>
    <w:p>
      <w:pPr>
        <w:pStyle w:val="Heading2"/>
        <w:spacing w:after="180" w:before="360"/>
      </w:pPr>
      <w:r>
        <w:t xml:space="preserve">1.1 Attribution</w:t>
      </w:r>
    </w:p>
    <w:p>
      <w:pPr>
        <w:spacing w:after="160" w:line="300"/>
      </w:pPr>
      <w:r>
        <w:rPr>
          <w:sz w:val="22"/>
          <w:szCs w:val="22"/>
        </w:rPr>
        <w:t xml:space="preserve">The discovery formalized in Sections 8–9 was received, in the source material, as an insight attributed first to the Most High God, with the protocol treated only as the recording and witnessing surface rather than the source of the insight. That framing is preserved here as part of the canonical record, in the same spirit in which it was offered: the protocol names a structure; it does not claim to originate or contain it.</w:t>
      </w:r>
    </w:p>
    <w:p>
      <w:pPr>
        <w:pStyle w:val="Heading1"/>
        <w:spacing w:after="240" w:before="480"/>
      </w:pPr>
      <w:r>
        <w:t xml:space="preserve">2. The Root Relation: omi---imo and the Omi-Ring</w:t>
      </w:r>
    </w:p>
    <w:p>
      <w:pPr>
        <w:spacing w:after="160" w:line="300"/>
      </w:pPr>
      <w:r>
        <w:rPr>
          <w:sz w:val="22"/>
          <w:szCs w:val="22"/>
        </w:rPr>
        <w:t xml:space="preserve">At the root of the protocol is the palindromic citation:</w:t>
      </w:r>
    </w:p>
    <w:p>
      <w:pPr>
        <w:pBdr>
          <w:left w:val="single" w:color="B08D57" w:sz="6"/>
        </w:pBdr>
        <w:shd w:fill="F2F1EE" w:val="clear"/>
        <w:spacing w:after="0"/>
        <w:ind w:left="200"/>
      </w:pPr>
      <w:r>
        <w:rPr>
          <w:rFonts w:ascii="Consolas" w:cs="Consolas" w:eastAsia="Consolas" w:hAnsi="Consolas"/>
          <w:color w:val="3A3A3A"/>
          <w:sz w:val="18"/>
          <w:szCs w:val="18"/>
        </w:rPr>
        <w:t xml:space="preserve">omi---imo</w:t>
      </w:r>
    </w:p>
    <w:p>
      <w:pPr>
        <w:spacing w:after="200"/>
      </w:pPr>
    </w:p>
    <w:p>
      <w:pPr>
        <w:spacing w:after="160" w:line="300"/>
      </w:pPr>
      <w:r>
        <w:rPr>
          <w:sz w:val="22"/>
          <w:szCs w:val="22"/>
        </w:rPr>
        <w:t xml:space="preserve">This is not a token to be looked up. It is the root notation surface of the protocol: a bounded, addressed relation readable forward (OMI, citation side) and inverse (IMO, carrier side). Local mnemonic surfaces of the same relation include:</w:t>
      </w:r>
    </w:p>
    <w:p>
      <w:pPr>
        <w:pBdr>
          <w:left w:val="single" w:color="B08D57" w:sz="6"/>
        </w:pBdr>
        <w:shd w:fill="F2F1EE" w:val="clear"/>
        <w:spacing w:after="0"/>
        <w:ind w:left="200"/>
      </w:pPr>
      <w:r>
        <w:rPr>
          <w:rFonts w:ascii="Consolas" w:cs="Consolas" w:eastAsia="Consolas" w:hAnsi="Consolas"/>
          <w:color w:val="3A3A3A"/>
          <w:sz w:val="18"/>
          <w:szCs w:val="18"/>
        </w:rPr>
        <w:t xml:space="preserve">o---o        object-to-object relation</w:t>
      </w:r>
    </w:p>
    <w:p>
      <w:pPr>
        <w:pBdr>
          <w:left w:val="single" w:color="B08D57" w:sz="6"/>
        </w:pBdr>
        <w:shd w:fill="F2F1EE" w:val="clear"/>
        <w:spacing w:after="0"/>
        <w:ind w:left="200"/>
      </w:pPr>
      <w:r>
        <w:rPr>
          <w:rFonts w:ascii="Consolas" w:cs="Consolas" w:eastAsia="Consolas" w:hAnsi="Consolas"/>
          <w:color w:val="3A3A3A"/>
          <w:sz w:val="18"/>
          <w:szCs w:val="18"/>
        </w:rPr>
        <w:t xml:space="preserve">/---/        scope-to-scope relation</w:t>
      </w:r>
    </w:p>
    <w:p>
      <w:pPr>
        <w:pBdr>
          <w:left w:val="single" w:color="B08D57" w:sz="6"/>
        </w:pBdr>
        <w:shd w:fill="F2F1EE" w:val="clear"/>
        <w:spacing w:after="0"/>
        <w:ind w:left="200"/>
      </w:pPr>
      <w:r>
        <w:rPr>
          <w:rFonts w:ascii="Consolas" w:cs="Consolas" w:eastAsia="Consolas" w:hAnsi="Consolas"/>
          <w:color w:val="3A3A3A"/>
          <w:sz w:val="18"/>
          <w:szCs w:val="18"/>
        </w:rPr>
        <w:t xml:space="preserve">?---?        query-to-witness relation</w:t>
      </w:r>
    </w:p>
    <w:p>
      <w:pPr>
        <w:pBdr>
          <w:left w:val="single" w:color="B08D57" w:sz="6"/>
        </w:pBdr>
        <w:shd w:fill="F2F1EE" w:val="clear"/>
        <w:spacing w:after="0"/>
        <w:ind w:left="200"/>
      </w:pPr>
      <w:r>
        <w:rPr>
          <w:rFonts w:ascii="Consolas" w:cs="Consolas" w:eastAsia="Consolas" w:hAnsi="Consolas"/>
          <w:color w:val="3A3A3A"/>
          <w:sz w:val="18"/>
          <w:szCs w:val="18"/>
        </w:rPr>
        <w:t xml:space="preserve">@---@        CAR-to-CDR closure relation</w:t>
      </w:r>
    </w:p>
    <w:p>
      <w:pPr>
        <w:spacing w:after="200"/>
      </w:pPr>
    </w:p>
    <w:p>
      <w:pPr>
        <w:spacing w:after="160" w:line="300"/>
      </w:pPr>
      <w:r>
        <w:rPr>
          <w:sz w:val="22"/>
          <w:szCs w:val="22"/>
        </w:rPr>
        <w:t xml:space="preserve">The bounded addressed notation witness of this relation is named the Omi-Ring. An Omi-Ring is not a receipt. A receipt is only the accepted validation state of an Omi-Ring; a receipt ring is only the storage and replay surface for accepted Omi-Ring states. The corrected stack is:</w:t>
      </w:r>
    </w:p>
    <w:p>
      <w:pPr>
        <w:pBdr>
          <w:left w:val="single" w:color="B08D57" w:sz="6"/>
        </w:pBdr>
        <w:shd w:fill="F2F1EE" w:val="clear"/>
        <w:spacing w:after="0"/>
        <w:ind w:left="200"/>
      </w:pPr>
      <w:r>
        <w:rPr>
          <w:rFonts w:ascii="Consolas" w:cs="Consolas" w:eastAsia="Consolas" w:hAnsi="Consolas"/>
          <w:color w:val="3A3A3A"/>
          <w:sz w:val="18"/>
          <w:szCs w:val="18"/>
        </w:rPr>
        <w:t xml:space="preserve">omi---imo</w:t>
      </w:r>
    </w:p>
    <w:p>
      <w:pPr>
        <w:pBdr>
          <w:left w:val="single" w:color="B08D57" w:sz="6"/>
        </w:pBdr>
        <w:shd w:fill="F2F1EE" w:val="clear"/>
        <w:spacing w:after="0"/>
        <w:ind w:left="200"/>
      </w:pPr>
      <w:r>
        <w:rPr>
          <w:rFonts w:ascii="Consolas" w:cs="Consolas" w:eastAsia="Consolas" w:hAnsi="Consolas"/>
          <w:color w:val="3A3A3A"/>
          <w:sz w:val="18"/>
          <w:szCs w:val="18"/>
        </w:rPr>
        <w:t xml:space="preserve">  -&gt; Omi-Ring addressed notation witness</w:t>
      </w:r>
    </w:p>
    <w:p>
      <w:pPr>
        <w:pBdr>
          <w:left w:val="single" w:color="B08D57" w:sz="6"/>
        </w:pBdr>
        <w:shd w:fill="F2F1EE" w:val="clear"/>
        <w:spacing w:after="0"/>
        <w:ind w:left="200"/>
      </w:pPr>
      <w:r>
        <w:rPr>
          <w:rFonts w:ascii="Consolas" w:cs="Consolas" w:eastAsia="Consolas" w:hAnsi="Consolas"/>
          <w:color w:val="3A3A3A"/>
          <w:sz w:val="18"/>
          <w:szCs w:val="18"/>
        </w:rPr>
        <w:t xml:space="preserve">  -&gt; candidate citation</w:t>
      </w:r>
    </w:p>
    <w:p>
      <w:pPr>
        <w:pBdr>
          <w:left w:val="single" w:color="B08D57" w:sz="6"/>
        </w:pBdr>
        <w:shd w:fill="F2F1EE" w:val="clear"/>
        <w:spacing w:after="0"/>
        <w:ind w:left="200"/>
      </w:pPr>
      <w:r>
        <w:rPr>
          <w:rFonts w:ascii="Consolas" w:cs="Consolas" w:eastAsia="Consolas" w:hAnsi="Consolas"/>
          <w:color w:val="3A3A3A"/>
          <w:sz w:val="18"/>
          <w:szCs w:val="18"/>
        </w:rPr>
        <w:t xml:space="preserve">  -&gt; validation</w:t>
      </w:r>
    </w:p>
    <w:p>
      <w:pPr>
        <w:pBdr>
          <w:left w:val="single" w:color="B08D57" w:sz="6"/>
        </w:pBdr>
        <w:shd w:fill="F2F1EE" w:val="clear"/>
        <w:spacing w:after="0"/>
        <w:ind w:left="200"/>
      </w:pPr>
      <w:r>
        <w:rPr>
          <w:rFonts w:ascii="Consolas" w:cs="Consolas" w:eastAsia="Consolas" w:hAnsi="Consolas"/>
          <w:color w:val="3A3A3A"/>
          <w:sz w:val="18"/>
          <w:szCs w:val="18"/>
        </w:rPr>
        <w:t xml:space="preserve">  -&gt; validated carry-forward state</w:t>
      </w:r>
    </w:p>
    <w:p>
      <w:pPr>
        <w:pBdr>
          <w:left w:val="single" w:color="B08D57" w:sz="6"/>
        </w:pBdr>
        <w:shd w:fill="F2F1EE" w:val="clear"/>
        <w:spacing w:after="0"/>
        <w:ind w:left="200"/>
      </w:pPr>
      <w:r>
        <w:rPr>
          <w:rFonts w:ascii="Consolas" w:cs="Consolas" w:eastAsia="Consolas" w:hAnsi="Consolas"/>
          <w:color w:val="3A3A3A"/>
          <w:sz w:val="18"/>
          <w:szCs w:val="18"/>
        </w:rPr>
        <w:t xml:space="preserve">  -&gt; validated-state ring storage</w:t>
      </w:r>
    </w:p>
    <w:p>
      <w:pPr>
        <w:pBdr>
          <w:left w:val="single" w:color="B08D57" w:sz="6"/>
        </w:pBdr>
        <w:shd w:fill="F2F1EE" w:val="clear"/>
        <w:spacing w:after="0"/>
        <w:ind w:left="200"/>
      </w:pPr>
      <w:r>
        <w:rPr>
          <w:rFonts w:ascii="Consolas" w:cs="Consolas" w:eastAsia="Consolas" w:hAnsi="Consolas"/>
          <w:color w:val="3A3A3A"/>
          <w:sz w:val="18"/>
          <w:szCs w:val="18"/>
        </w:rPr>
        <w:t xml:space="preserve">  -&gt; scribing / projection / carrier output</w:t>
      </w:r>
    </w:p>
    <w:p>
      <w:pPr>
        <w:spacing w:after="200"/>
      </w:pPr>
    </w:p>
    <w:p>
      <w:pPr>
        <w:spacing w:after="160" w:line="300"/>
      </w:pPr>
      <w:r>
        <w:rPr>
          <w:sz w:val="22"/>
          <w:szCs w:val="22"/>
        </w:rPr>
        <w:t xml:space="preserve">The full surface expression of the root relation, in dot notation, is:</w:t>
      </w:r>
    </w:p>
    <w:p>
      <w:pPr>
        <w:pBdr>
          <w:left w:val="single" w:color="B08D57" w:sz="6"/>
        </w:pBdr>
        <w:shd w:fill="F2F1EE" w:val="clear"/>
        <w:spacing w:after="0"/>
        <w:ind w:left="200"/>
      </w:pPr>
      <w:r>
        <w:rPr>
          <w:rFonts w:ascii="Consolas" w:cs="Consolas" w:eastAsia="Consolas" w:hAnsi="Consolas"/>
          <w:color w:val="3A3A3A"/>
          <w:sz w:val="18"/>
          <w:szCs w:val="18"/>
        </w:rPr>
        <w:t xml:space="preserve">(omi---imo . '(o---o /---/ ?---? @---@))</w:t>
      </w:r>
    </w:p>
    <w:p>
      <w:pPr>
        <w:spacing w:after="200"/>
      </w:pPr>
    </w:p>
    <w:p>
      <w:pPr>
        <w:spacing w:after="160" w:line="300"/>
      </w:pPr>
      <w:r>
        <w:rPr>
          <w:sz w:val="22"/>
          <w:szCs w:val="22"/>
        </w:rPr>
        <w:t xml:space="preserve">The quote matters: the right-hand side is carried as declared data, not executed merely because it is readable. This single expression is the compact formal object this white paper exists to explain — what each of its parts means, which authority is responsible for it, and what that authority is forbidden from doing to it.</w:t>
      </w:r>
    </w:p>
    <w:p>
      <w:pPr>
        <w:spacing w:after="240" w:before="120"/>
        <w:ind w:left="400"/>
      </w:pPr>
      <w:r>
        <w:rPr>
          <w:i/>
          <w:iCs/>
          <w:color w:val="555555"/>
          <w:sz w:val="22"/>
          <w:szCs w:val="22"/>
        </w:rPr>
        <w:t xml:space="preserve">Canonical invariant: recognition is not acceptance; citation is not acceptance; Omi-Ring formation is not acceptance; projection is not acceptance. Validation accepts. Accepted state may be recorded.</w:t>
      </w:r>
    </w:p>
    <w:p>
      <w:pPr>
        <w:pStyle w:val="Heading1"/>
        <w:spacing w:after="240" w:before="480"/>
      </w:pPr>
      <w:r>
        <w:t xml:space="preserve">3. The Corrected Compass</w:t>
      </w:r>
    </w:p>
    <w:p>
      <w:pPr>
        <w:spacing w:after="160" w:line="300"/>
      </w:pPr>
      <w:r>
        <w:rPr>
          <w:sz w:val="22"/>
          <w:szCs w:val="22"/>
        </w:rPr>
        <w:t xml:space="preserve">Earlier project documents described four roughly equal authorities distinguished by which side effects each was allowed to perform. That framing was useful scaffolding, but it is not exact. The corrected and now-canonical reading is:</w:t>
      </w:r>
    </w:p>
    <w:p>
      <w:pPr>
        <w:spacing w:after="240" w:before="120"/>
        <w:ind w:left="400"/>
      </w:pPr>
      <w:r>
        <w:rPr>
          <w:i/>
          <w:iCs/>
          <w:color w:val="555555"/>
          <w:sz w:val="22"/>
          <w:szCs w:val="22"/>
        </w:rPr>
        <w:t xml:space="preserve">Everything in OMI is an Omi-Ring, or an interpretation of one. The difference between OMI, IMO, Tetragrammatron, Metatron, and Omicron is not substance. The difference is interpretation, binding, and carry-forward role.</w:t>
      </w:r>
    </w:p>
    <w:p>
      <w:pPr>
        <w:pBdr>
          <w:left w:val="single" w:color="B08D57" w:sz="6"/>
        </w:pBdr>
        <w:shd w:fill="F2F1EE" w:val="clear"/>
        <w:spacing w:after="0"/>
        <w:ind w:left="200"/>
      </w:pPr>
      <w:r>
        <w:rPr>
          <w:rFonts w:ascii="Consolas" w:cs="Consolas" w:eastAsia="Consolas" w:hAnsi="Consolas"/>
          <w:color w:val="3A3A3A"/>
          <w:sz w:val="18"/>
          <w:szCs w:val="18"/>
        </w:rPr>
        <w:t xml:space="preserve">             Omicron</w:t>
      </w:r>
    </w:p>
    <w:p>
      <w:pPr>
        <w:pBdr>
          <w:left w:val="single" w:color="B08D57" w:sz="6"/>
        </w:pBdr>
        <w:shd w:fill="F2F1EE" w:val="clear"/>
        <w:spacing w:after="0"/>
        <w:ind w:left="200"/>
      </w:pPr>
      <w:r>
        <w:rPr>
          <w:rFonts w:ascii="Consolas" w:cs="Consolas" w:eastAsia="Consolas" w:hAnsi="Consolas"/>
          <w:color w:val="3A3A3A"/>
          <w:sz w:val="18"/>
          <w:szCs w:val="18"/>
        </w:rPr>
        <w:t xml:space="preserve">     null/full horizon resolver</w:t>
      </w:r>
    </w:p>
    <w:p>
      <w:pPr>
        <w:pBdr>
          <w:left w:val="single" w:color="B08D57" w:sz="6"/>
        </w:pBdr>
        <w:shd w:fill="F2F1EE" w:val="clear"/>
        <w:spacing w:after="0"/>
        <w:ind w:left="200"/>
      </w:pPr>
      <w:r>
        <w:rPr>
          <w:rFonts w:ascii="Consolas" w:cs="Consolas" w:eastAsia="Consolas" w:hAnsi="Consolas"/>
          <w:color w:val="3A3A3A"/>
          <w:sz w:val="18"/>
          <w:szCs w:val="18"/>
        </w:rPr>
        <w:t xml:space="preserve">  portable headless runtime metronome</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v</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Omi-Ring</w:t>
      </w:r>
    </w:p>
    <w:p>
      <w:pPr>
        <w:pBdr>
          <w:left w:val="single" w:color="B08D57" w:sz="6"/>
        </w:pBdr>
        <w:shd w:fill="F2F1EE" w:val="clear"/>
        <w:spacing w:after="0"/>
        <w:ind w:left="200"/>
      </w:pPr>
      <w:r>
        <w:rPr>
          <w:rFonts w:ascii="Consolas" w:cs="Consolas" w:eastAsia="Consolas" w:hAnsi="Consolas"/>
          <w:color w:val="3A3A3A"/>
          <w:sz w:val="18"/>
          <w:szCs w:val="18"/>
        </w:rPr>
        <w:t xml:space="preserve">   addressed omi&lt;-&gt;imo relation witness</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OMI ------------------------- IMO</w:t>
      </w:r>
    </w:p>
    <w:p>
      <w:pPr>
        <w:pBdr>
          <w:left w:val="single" w:color="B08D57" w:sz="6"/>
        </w:pBdr>
        <w:shd w:fill="F2F1EE" w:val="clear"/>
        <w:spacing w:after="0"/>
        <w:ind w:left="200"/>
      </w:pPr>
      <w:r>
        <w:rPr>
          <w:rFonts w:ascii="Consolas" w:cs="Consolas" w:eastAsia="Consolas" w:hAnsi="Consolas"/>
          <w:color w:val="3A3A3A"/>
          <w:sz w:val="18"/>
          <w:szCs w:val="18"/>
        </w:rPr>
        <w:t xml:space="preserve">citation/source          mirror/carrier</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v</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Tetragrammatron</w:t>
      </w:r>
    </w:p>
    <w:p>
      <w:pPr>
        <w:pBdr>
          <w:left w:val="single" w:color="B08D57" w:sz="6"/>
        </w:pBdr>
        <w:shd w:fill="F2F1EE" w:val="clear"/>
        <w:spacing w:after="0"/>
        <w:ind w:left="200"/>
      </w:pPr>
      <w:r>
        <w:rPr>
          <w:rFonts w:ascii="Consolas" w:cs="Consolas" w:eastAsia="Consolas" w:hAnsi="Consolas"/>
          <w:color w:val="3A3A3A"/>
          <w:sz w:val="18"/>
          <w:szCs w:val="18"/>
        </w:rPr>
        <w:t xml:space="preserve">     lawful fold/carry governor</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v</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Metatron</w:t>
      </w:r>
    </w:p>
    <w:p>
      <w:pPr>
        <w:pBdr>
          <w:left w:val="single" w:color="B08D57" w:sz="6"/>
        </w:pBdr>
        <w:shd w:fill="F2F1EE" w:val="clear"/>
        <w:spacing w:after="0"/>
        <w:ind w:left="200"/>
      </w:pPr>
      <w:r>
        <w:rPr>
          <w:rFonts w:ascii="Consolas" w:cs="Consolas" w:eastAsia="Consolas" w:hAnsi="Consolas"/>
          <w:color w:val="3A3A3A"/>
          <w:sz w:val="18"/>
          <w:szCs w:val="18"/>
        </w:rPr>
        <w:t xml:space="preserve">   balanced alternating witness</w:t>
      </w:r>
    </w:p>
    <w:p>
      <w:pPr>
        <w:pBdr>
          <w:left w:val="single" w:color="B08D57" w:sz="6"/>
        </w:pBdr>
        <w:shd w:fill="F2F1EE" w:val="clear"/>
        <w:spacing w:after="0"/>
        <w:ind w:left="200"/>
      </w:pPr>
      <w:r>
        <w:rPr>
          <w:rFonts w:ascii="Consolas" w:cs="Consolas" w:eastAsia="Consolas" w:hAnsi="Consolas"/>
          <w:color w:val="3A3A3A"/>
          <w:sz w:val="18"/>
          <w:szCs w:val="18"/>
        </w:rPr>
        <w:t xml:space="preserve">   scribe of observable crossing</w:t>
      </w:r>
    </w:p>
    <w:p>
      <w:pPr>
        <w:spacing w:after="200"/>
      </w:pPr>
    </w:p>
    <w:p>
      <w:pPr>
        <w:spacing w:after="160" w:line="300"/>
      </w:pPr>
      <w:r>
        <w:rPr>
          <w:sz w:val="22"/>
          <w:szCs w:val="22"/>
        </w:rPr>
        <w:t xml:space="preserve">In short doctrinal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OMI cites.</w:t>
            </w:r>
          </w:p>
          <w:p>
            <w:pPr>
              <w:spacing w:after="40"/>
            </w:pPr>
            <w:r>
              <w:rPr>
                <w:rFonts w:ascii="Consolas" w:cs="Consolas" w:eastAsia="Consolas" w:hAnsi="Consolas"/>
                <w:b/>
                <w:bCs/>
                <w:color w:val="2A2A2A"/>
                <w:sz w:val="19"/>
                <w:szCs w:val="19"/>
              </w:rPr>
              <w:t xml:space="preserve">IMO mirrors and carries.</w:t>
            </w:r>
          </w:p>
          <w:p>
            <w:pPr>
              <w:spacing w:after="40"/>
            </w:pPr>
            <w:r>
              <w:rPr>
                <w:rFonts w:ascii="Consolas" w:cs="Consolas" w:eastAsia="Consolas" w:hAnsi="Consolas"/>
                <w:b/>
                <w:bCs/>
                <w:color w:val="2A2A2A"/>
                <w:sz w:val="19"/>
                <w:szCs w:val="19"/>
              </w:rPr>
              <w:t xml:space="preserve">Omi-Ring witnesses the addressed relation.</w:t>
            </w:r>
          </w:p>
          <w:p>
            <w:pPr>
              <w:spacing w:after="40"/>
            </w:pPr>
            <w:r>
              <w:rPr>
                <w:rFonts w:ascii="Consolas" w:cs="Consolas" w:eastAsia="Consolas" w:hAnsi="Consolas"/>
                <w:b/>
                <w:bCs/>
                <w:color w:val="2A2A2A"/>
                <w:sz w:val="19"/>
                <w:szCs w:val="19"/>
              </w:rPr>
              <w:t xml:space="preserve">Omicron holds the null/full horizon.</w:t>
            </w:r>
          </w:p>
          <w:p>
            <w:pPr>
              <w:spacing w:after="40"/>
            </w:pPr>
            <w:r>
              <w:rPr>
                <w:rFonts w:ascii="Consolas" w:cs="Consolas" w:eastAsia="Consolas" w:hAnsi="Consolas"/>
                <w:b/>
                <w:bCs/>
                <w:color w:val="2A2A2A"/>
                <w:sz w:val="19"/>
                <w:szCs w:val="19"/>
              </w:rPr>
              <w:t xml:space="preserve">Tetragrammatron carries the lawful fold.</w:t>
            </w:r>
          </w:p>
          <w:p>
            <w:pPr>
              <w:spacing w:after="40"/>
            </w:pPr>
            <w:r>
              <w:rPr>
                <w:rFonts w:ascii="Consolas" w:cs="Consolas" w:eastAsia="Consolas" w:hAnsi="Consolas"/>
                <w:b/>
                <w:bCs/>
                <w:color w:val="2A2A2A"/>
                <w:sz w:val="19"/>
                <w:szCs w:val="19"/>
              </w:rPr>
              <w:t xml:space="preserve">Metatron notices the crossing.</w:t>
            </w:r>
          </w:p>
          <w:p>
            <w:pPr>
              <w:spacing w:after="40"/>
            </w:pPr>
            <w:r>
              <w:rPr>
                <w:rFonts w:ascii="Consolas" w:cs="Consolas" w:eastAsia="Consolas" w:hAnsi="Consolas"/>
                <w:b/>
                <w:bCs/>
                <w:color w:val="2A2A2A"/>
                <w:sz w:val="19"/>
                <w:szCs w:val="19"/>
              </w:rPr>
              <w:t xml:space="preserve">Validation and receipt accept.</w:t>
            </w:r>
          </w:p>
        </w:tc>
      </w:tr>
    </w:tbl>
    <w:p>
      <w:pPr>
        <w:spacing w:after="200"/>
      </w:pPr>
    </w:p>
    <w:p>
      <w:pPr>
        <w:spacing w:after="160" w:line="300"/>
      </w:pPr>
      <w:r>
        <w:rPr>
          <w:sz w:val="22"/>
          <w:szCs w:val="22"/>
        </w:rPr>
        <w:t xml:space="preserve">This is a compass of interpretation, not a hierarchy of domination. No one row on the compass is more "real" than another; each names a different way of standing in relation to the same omi---imo witness.</w:t>
      </w:r>
    </w:p>
    <w:p>
      <w:pPr>
        <w:pStyle w:val="Heading1"/>
        <w:spacing w:after="240" w:before="480"/>
      </w:pPr>
      <w:r>
        <w:t xml:space="preserve">4. Omicron: Boot, Dialect, and the Null/Full Horizon</w:t>
      </w:r>
    </w:p>
    <w:p>
      <w:pPr>
        <w:spacing w:after="160" w:line="300"/>
      </w:pPr>
      <w:r>
        <w:rPr>
          <w:sz w:val="22"/>
          <w:szCs w:val="22"/>
        </w:rPr>
        <w:t xml:space="preserve">Omicron is the boot, context, and dialect-induction layer of the runtime, and — under the corrected reading — the runtime's null/full horizon. It is not a fifth authority sitting beside the other three; it is the horizon within which the other roles operate. It prepares execution context, stages the gauge pre-header, binds system object declarations, induces the readable OMI-Lisp surface, and dispatches to Tetragrammatron and Metatron.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Omicron boots and configures.</w:t>
            </w:r>
          </w:p>
          <w:p>
            <w:pPr>
              <w:spacing w:after="40"/>
            </w:pPr>
            <w:r>
              <w:rPr>
                <w:rFonts w:ascii="Consolas" w:cs="Consolas" w:eastAsia="Consolas" w:hAnsi="Consolas"/>
                <w:b/>
                <w:bCs/>
                <w:color w:val="2A2A2A"/>
                <w:sz w:val="19"/>
                <w:szCs w:val="19"/>
              </w:rPr>
              <w:t xml:space="preserve">OMI cites.</w:t>
            </w:r>
          </w:p>
          <w:p>
            <w:pPr>
              <w:spacing w:after="40"/>
            </w:pPr>
            <w:r>
              <w:rPr>
                <w:rFonts w:ascii="Consolas" w:cs="Consolas" w:eastAsia="Consolas" w:hAnsi="Consolas"/>
                <w:b/>
                <w:bCs/>
                <w:color w:val="2A2A2A"/>
                <w:sz w:val="19"/>
                <w:szCs w:val="19"/>
              </w:rPr>
              <w:t xml:space="preserve">Tetragrammatron validates.</w:t>
            </w:r>
          </w:p>
          <w:p>
            <w:pPr>
              <w:spacing w:after="40"/>
            </w:pPr>
            <w:r>
              <w:rPr>
                <w:rFonts w:ascii="Consolas" w:cs="Consolas" w:eastAsia="Consolas" w:hAnsi="Consolas"/>
                <w:b/>
                <w:bCs/>
                <w:color w:val="2A2A2A"/>
                <w:sz w:val="19"/>
                <w:szCs w:val="19"/>
              </w:rPr>
              <w:t xml:space="preserve">Metatron scribes and projects.</w:t>
            </w:r>
          </w:p>
          <w:p>
            <w:pPr>
              <w:spacing w:after="40"/>
            </w:pPr>
            <w:r>
              <w:rPr>
                <w:rFonts w:ascii="Consolas" w:cs="Consolas" w:eastAsia="Consolas" w:hAnsi="Consolas"/>
                <w:b/>
                <w:bCs/>
                <w:color w:val="2A2A2A"/>
                <w:sz w:val="19"/>
                <w:szCs w:val="19"/>
              </w:rPr>
              <w:t xml:space="preserve">IMO carries.</w:t>
            </w:r>
          </w:p>
          <w:p>
            <w:pPr>
              <w:spacing w:after="40"/>
            </w:pPr>
            <w:r>
              <w:rPr>
                <w:rFonts w:ascii="Consolas" w:cs="Consolas" w:eastAsia="Consolas" w:hAnsi="Consolas"/>
                <w:b/>
                <w:bCs/>
                <w:color w:val="2A2A2A"/>
                <w:sz w:val="19"/>
                <w:szCs w:val="19"/>
              </w:rPr>
              <w:t xml:space="preserve">Receipt accepts.</w:t>
            </w:r>
          </w:p>
        </w:tc>
      </w:tr>
    </w:tbl>
    <w:p>
      <w:pPr>
        <w:pStyle w:val="Heading2"/>
        <w:spacing w:after="180" w:before="360"/>
      </w:pPr>
      <w:r>
        <w:t xml:space="preserve">4.1 The Null/Full Horizon</w:t>
      </w:r>
    </w:p>
    <w:p>
      <w:pPr>
        <w:spacing w:after="160" w:line="300"/>
      </w:pPr>
      <w:r>
        <w:rPr>
          <w:sz w:val="22"/>
          <w:szCs w:val="22"/>
        </w:rPr>
        <w:t xml:space="preserve">Omicron is read as the infinite high and infinite low of the addressable field:</w:t>
      </w:r>
    </w:p>
    <w:p>
      <w:pPr>
        <w:pBdr>
          <w:left w:val="single" w:color="B08D57" w:sz="6"/>
        </w:pBdr>
        <w:shd w:fill="F2F1EE" w:val="clear"/>
        <w:spacing w:after="0"/>
        <w:ind w:left="200"/>
      </w:pPr>
      <w:r>
        <w:rPr>
          <w:rFonts w:ascii="Consolas" w:cs="Consolas" w:eastAsia="Consolas" w:hAnsi="Consolas"/>
          <w:color w:val="3A3A3A"/>
          <w:sz w:val="18"/>
          <w:szCs w:val="18"/>
        </w:rPr>
        <w:t xml:space="preserve">0x0000...0000   null horizon</w:t>
      </w:r>
    </w:p>
    <w:p>
      <w:pPr>
        <w:pBdr>
          <w:left w:val="single" w:color="B08D57" w:sz="6"/>
        </w:pBdr>
        <w:shd w:fill="F2F1EE" w:val="clear"/>
        <w:spacing w:after="0"/>
        <w:ind w:left="200"/>
      </w:pPr>
      <w:r>
        <w:rPr>
          <w:rFonts w:ascii="Consolas" w:cs="Consolas" w:eastAsia="Consolas" w:hAnsi="Consolas"/>
          <w:color w:val="3A3A3A"/>
          <w:sz w:val="18"/>
          <w:szCs w:val="18"/>
        </w:rPr>
        <w:t xml:space="preserve">0xFFFF...FFFF   full horizon</w:t>
      </w:r>
    </w:p>
    <w:p>
      <w:pPr>
        <w:spacing w:after="200"/>
      </w:pPr>
    </w:p>
    <w:p>
      <w:pPr>
        <w:spacing w:after="160" w:line="300"/>
      </w:pPr>
      <w:r>
        <w:rPr>
          <w:sz w:val="22"/>
          <w:szCs w:val="22"/>
        </w:rPr>
        <w:t xml:space="preserve">Omicron holds both without collapsing prematurely into either. It is the invisible projective point, the missing Polybius point, the pinch point of branch points, the null/full resolver, the decentralized delta metronome — the stateless state machine that receives any Omi-Ring interpretation and resolves it against this horizon, without itself validating or accepting.</w:t>
      </w:r>
    </w:p>
    <w:p>
      <w:pPr>
        <w:pStyle w:val="Heading2"/>
        <w:spacing w:after="180" w:before="360"/>
      </w:pPr>
      <w:r>
        <w:t xml:space="preserve">4.2 The Gauge Pre-Header</w:t>
      </w:r>
    </w:p>
    <w:p>
      <w:pPr>
        <w:spacing w:after="160" w:line="300"/>
      </w:pPr>
      <w:r>
        <w:rPr>
          <w:sz w:val="22"/>
          <w:szCs w:val="22"/>
        </w:rPr>
        <w:t xml:space="preserve">Omicron stages the deterministic eight-byte gauge pre-header — the Omicron/Omnicron resolver envelope — at the start of a carrier or as an in-stream resynchronization escape:</w:t>
      </w:r>
    </w:p>
    <w:p>
      <w:pPr>
        <w:pBdr>
          <w:left w:val="single" w:color="B08D57" w:sz="6"/>
        </w:pBdr>
        <w:shd w:fill="F2F1EE" w:val="clear"/>
        <w:spacing w:after="0"/>
        <w:ind w:left="200"/>
      </w:pPr>
      <w:r>
        <w:rPr>
          <w:rFonts w:ascii="Consolas" w:cs="Consolas" w:eastAsia="Consolas" w:hAnsi="Consolas"/>
          <w:color w:val="3A3A3A"/>
          <w:sz w:val="18"/>
          <w:szCs w:val="18"/>
        </w:rPr>
        <w:t xml:space="preserve">0xFF 0x00 0x1C 0x1D 0x1E 0x1F 0x20 0xFF</w:t>
      </w:r>
    </w:p>
    <w:p>
      <w:pPr>
        <w:spacing w:after="200"/>
      </w:pPr>
    </w:p>
    <w:p>
      <w:pPr>
        <w:spacing w:after="160" w:line="300"/>
      </w:pPr>
      <w:r>
        <w:rPr>
          <w:sz w:val="22"/>
          <w:szCs w:val="22"/>
        </w:rPr>
        <w:t xml:space="preserve">Read as GAUGE NUL FS GS RS US SP GAUGE, this sequence fast-fails non-OMI carriers, selects the OMI gauge/dialect, opens the pre-language FS/GS/RS/US topology envelope, and resynchronizes binary streams at a known gauge boundary. Under the corrected doctrine, each byte carries an additional horizon-level reading:</w:t>
      </w:r>
    </w:p>
    <w:p>
      <w:pPr>
        <w:pBdr>
          <w:left w:val="single" w:color="B08D57" w:sz="6"/>
        </w:pBdr>
        <w:shd w:fill="F2F1EE" w:val="clear"/>
        <w:spacing w:after="0"/>
        <w:ind w:left="200"/>
      </w:pPr>
      <w:r>
        <w:rPr>
          <w:rFonts w:ascii="Consolas" w:cs="Consolas" w:eastAsia="Consolas" w:hAnsi="Consolas"/>
          <w:color w:val="3A3A3A"/>
          <w:sz w:val="18"/>
          <w:szCs w:val="18"/>
        </w:rPr>
        <w:t xml:space="preserve">FF   canonical resolver horizon (closure of the same horizon)</w:t>
      </w:r>
    </w:p>
    <w:p>
      <w:pPr>
        <w:pBdr>
          <w:left w:val="single" w:color="B08D57" w:sz="6"/>
        </w:pBdr>
        <w:shd w:fill="F2F1EE" w:val="clear"/>
        <w:spacing w:after="0"/>
        <w:ind w:left="200"/>
      </w:pPr>
      <w:r>
        <w:rPr>
          <w:rFonts w:ascii="Consolas" w:cs="Consolas" w:eastAsia="Consolas" w:hAnsi="Consolas"/>
          <w:color w:val="3A3A3A"/>
          <w:sz w:val="18"/>
          <w:szCs w:val="18"/>
        </w:rPr>
        <w:t xml:space="preserve">00   null origin</w:t>
      </w:r>
    </w:p>
    <w:p>
      <w:pPr>
        <w:pBdr>
          <w:left w:val="single" w:color="B08D57" w:sz="6"/>
        </w:pBdr>
        <w:shd w:fill="F2F1EE" w:val="clear"/>
        <w:spacing w:after="0"/>
        <w:ind w:left="200"/>
      </w:pPr>
      <w:r>
        <w:rPr>
          <w:rFonts w:ascii="Consolas" w:cs="Consolas" w:eastAsia="Consolas" w:hAnsi="Consolas"/>
          <w:color w:val="3A3A3A"/>
          <w:sz w:val="18"/>
          <w:szCs w:val="18"/>
        </w:rPr>
        <w:t xml:space="preserve">1C   file/frame boundary</w:t>
      </w:r>
    </w:p>
    <w:p>
      <w:pPr>
        <w:pBdr>
          <w:left w:val="single" w:color="B08D57" w:sz="6"/>
        </w:pBdr>
        <w:shd w:fill="F2F1EE" w:val="clear"/>
        <w:spacing w:after="0"/>
        <w:ind w:left="200"/>
      </w:pPr>
      <w:r>
        <w:rPr>
          <w:rFonts w:ascii="Consolas" w:cs="Consolas" w:eastAsia="Consolas" w:hAnsi="Consolas"/>
          <w:color w:val="3A3A3A"/>
          <w:sz w:val="18"/>
          <w:szCs w:val="18"/>
        </w:rPr>
        <w:t xml:space="preserve">1D   group/graph boundary</w:t>
      </w:r>
    </w:p>
    <w:p>
      <w:pPr>
        <w:pBdr>
          <w:left w:val="single" w:color="B08D57" w:sz="6"/>
        </w:pBdr>
        <w:shd w:fill="F2F1EE" w:val="clear"/>
        <w:spacing w:after="0"/>
        <w:ind w:left="200"/>
      </w:pPr>
      <w:r>
        <w:rPr>
          <w:rFonts w:ascii="Consolas" w:cs="Consolas" w:eastAsia="Consolas" w:hAnsi="Consolas"/>
          <w:color w:val="3A3A3A"/>
          <w:sz w:val="18"/>
          <w:szCs w:val="18"/>
        </w:rPr>
        <w:t xml:space="preserve">1E   record/relation boundary</w:t>
      </w:r>
    </w:p>
    <w:p>
      <w:pPr>
        <w:pBdr>
          <w:left w:val="single" w:color="B08D57" w:sz="6"/>
        </w:pBdr>
        <w:shd w:fill="F2F1EE" w:val="clear"/>
        <w:spacing w:after="0"/>
        <w:ind w:left="200"/>
      </w:pPr>
      <w:r>
        <w:rPr>
          <w:rFonts w:ascii="Consolas" w:cs="Consolas" w:eastAsia="Consolas" w:hAnsi="Consolas"/>
          <w:color w:val="3A3A3A"/>
          <w:sz w:val="18"/>
          <w:szCs w:val="18"/>
        </w:rPr>
        <w:t xml:space="preserve">1F   unit/symbol boundary</w:t>
      </w:r>
    </w:p>
    <w:p>
      <w:pPr>
        <w:pBdr>
          <w:left w:val="single" w:color="B08D57" w:sz="6"/>
        </w:pBdr>
        <w:shd w:fill="F2F1EE" w:val="clear"/>
        <w:spacing w:after="0"/>
        <w:ind w:left="200"/>
      </w:pPr>
      <w:r>
        <w:rPr>
          <w:rFonts w:ascii="Consolas" w:cs="Consolas" w:eastAsia="Consolas" w:hAnsi="Consolas"/>
          <w:color w:val="3A3A3A"/>
          <w:sz w:val="18"/>
          <w:szCs w:val="18"/>
        </w:rPr>
        <w:t xml:space="preserve">20   readable boundary / earned space</w:t>
      </w:r>
    </w:p>
    <w:p>
      <w:pPr>
        <w:spacing w:after="200"/>
      </w:pPr>
    </w:p>
    <w:p>
      <w:pPr>
        <w:spacing w:after="160" w:line="300"/>
      </w:pPr>
      <w:r>
        <w:rPr>
          <w:sz w:val="22"/>
          <w:szCs w:val="22"/>
        </w:rPr>
        <w:t xml:space="preserve">The high nibble 0xF marks a byte as a gauge/meta-initiator; the low nibble selects the dialect or orbit offset (0xF0 for the Omicron bootstrap dialect, 0xFF for canonical OMI). The first and last gauge bytes must match. None of this is acceptance:</w:t>
      </w:r>
    </w:p>
    <w:p>
      <w:pPr>
        <w:spacing w:after="240" w:before="120"/>
        <w:ind w:left="400"/>
      </w:pPr>
      <w:r>
        <w:rPr>
          <w:i/>
          <w:iCs/>
          <w:color w:val="555555"/>
          <w:sz w:val="22"/>
          <w:szCs w:val="22"/>
        </w:rPr>
        <w:t xml:space="preserve">Header is not acceptance. Gauge is not acceptance. NUL, FS, GS, RS, US, and SP are not acceptance. Projection is not acceptance. Validation and receipt accept.</w:t>
      </w:r>
    </w:p>
    <w:p>
      <w:pPr>
        <w:pStyle w:val="Heading2"/>
        <w:spacing w:after="180" w:before="360"/>
      </w:pPr>
      <w:r>
        <w:t xml:space="preserve">4.3 FS/GS/RS/US: Pre-Language Memory Topology</w:t>
      </w:r>
    </w:p>
    <w:p>
      <w:pPr>
        <w:spacing w:after="160" w:line="300"/>
      </w:pPr>
      <w:r>
        <w:rPr>
          <w:sz w:val="22"/>
          <w:szCs w:val="22"/>
        </w:rPr>
        <w:t xml:space="preserve">Omicron owns the pre-language control envelope that replaces the older, deprecated LL/MM/NN argument model. The corrected model treats an OMI declaration not as a function call with argument slots, but as a scoped memory envelope staged before any readable syntax appears:</w:t>
      </w:r>
    </w:p>
    <w:p>
      <w:pPr>
        <w:pBdr>
          <w:left w:val="single" w:color="B08D57" w:sz="6"/>
        </w:pBdr>
        <w:shd w:fill="F2F1EE" w:val="clear"/>
        <w:spacing w:after="0"/>
        <w:ind w:left="200"/>
      </w:pPr>
      <w:r>
        <w:rPr>
          <w:rFonts w:ascii="Consolas" w:cs="Consolas" w:eastAsia="Consolas" w:hAnsi="Consolas"/>
          <w:color w:val="3A3A3A"/>
          <w:sz w:val="18"/>
          <w:szCs w:val="18"/>
        </w:rPr>
        <w:t xml:space="preserve">0x00  NUL  origin / null / zero-point</w:t>
      </w:r>
    </w:p>
    <w:p>
      <w:pPr>
        <w:pBdr>
          <w:left w:val="single" w:color="B08D57" w:sz="6"/>
        </w:pBdr>
        <w:shd w:fill="F2F1EE" w:val="clear"/>
        <w:spacing w:after="0"/>
        <w:ind w:left="200"/>
      </w:pPr>
      <w:r>
        <w:rPr>
          <w:rFonts w:ascii="Consolas" w:cs="Consolas" w:eastAsia="Consolas" w:hAnsi="Consolas"/>
          <w:color w:val="3A3A3A"/>
          <w:sz w:val="18"/>
          <w:szCs w:val="18"/>
        </w:rPr>
        <w:t xml:space="preserve">0x1C  FS   File Separator   -&gt; file scope</w:t>
      </w:r>
    </w:p>
    <w:p>
      <w:pPr>
        <w:pBdr>
          <w:left w:val="single" w:color="B08D57" w:sz="6"/>
        </w:pBdr>
        <w:shd w:fill="F2F1EE" w:val="clear"/>
        <w:spacing w:after="0"/>
        <w:ind w:left="200"/>
      </w:pPr>
      <w:r>
        <w:rPr>
          <w:rFonts w:ascii="Consolas" w:cs="Consolas" w:eastAsia="Consolas" w:hAnsi="Consolas"/>
          <w:color w:val="3A3A3A"/>
          <w:sz w:val="18"/>
          <w:szCs w:val="18"/>
        </w:rPr>
        <w:t xml:space="preserve">0x1D  GS   Group Separator  -&gt; group scope</w:t>
      </w:r>
    </w:p>
    <w:p>
      <w:pPr>
        <w:pBdr>
          <w:left w:val="single" w:color="B08D57" w:sz="6"/>
        </w:pBdr>
        <w:shd w:fill="F2F1EE" w:val="clear"/>
        <w:spacing w:after="0"/>
        <w:ind w:left="200"/>
      </w:pPr>
      <w:r>
        <w:rPr>
          <w:rFonts w:ascii="Consolas" w:cs="Consolas" w:eastAsia="Consolas" w:hAnsi="Consolas"/>
          <w:color w:val="3A3A3A"/>
          <w:sz w:val="18"/>
          <w:szCs w:val="18"/>
        </w:rPr>
        <w:t xml:space="preserve">0x1E  RS   Record Separator -&gt; record scope / closure witness</w:t>
      </w:r>
    </w:p>
    <w:p>
      <w:pPr>
        <w:pBdr>
          <w:left w:val="single" w:color="B08D57" w:sz="6"/>
        </w:pBdr>
        <w:shd w:fill="F2F1EE" w:val="clear"/>
        <w:spacing w:after="0"/>
        <w:ind w:left="200"/>
      </w:pPr>
      <w:r>
        <w:rPr>
          <w:rFonts w:ascii="Consolas" w:cs="Consolas" w:eastAsia="Consolas" w:hAnsi="Consolas"/>
          <w:color w:val="3A3A3A"/>
          <w:sz w:val="18"/>
          <w:szCs w:val="18"/>
        </w:rPr>
        <w:t xml:space="preserve">0x1F  US   Unit Separator   -&gt; unit scope</w:t>
      </w:r>
    </w:p>
    <w:p>
      <w:pPr>
        <w:pBdr>
          <w:left w:val="single" w:color="B08D57" w:sz="6"/>
        </w:pBdr>
        <w:shd w:fill="F2F1EE" w:val="clear"/>
        <w:spacing w:after="0"/>
        <w:ind w:left="200"/>
      </w:pPr>
      <w:r>
        <w:rPr>
          <w:rFonts w:ascii="Consolas" w:cs="Consolas" w:eastAsia="Consolas" w:hAnsi="Consolas"/>
          <w:color w:val="3A3A3A"/>
          <w:sz w:val="18"/>
          <w:szCs w:val="18"/>
        </w:rPr>
        <w:t xml:space="preserve">0x20  SP   readable boundary / visible separator</w:t>
      </w:r>
    </w:p>
    <w:p>
      <w:pPr>
        <w:spacing w:after="200"/>
      </w:pPr>
    </w:p>
    <w:p>
      <w:pPr>
        <w:spacing w:after="160" w:line="300"/>
      </w:pPr>
      <w:r>
        <w:rPr>
          <w:sz w:val="22"/>
          <w:szCs w:val="22"/>
        </w:rPr>
        <w:t xml:space="preserve">FS/GS/RS/US forms a topological memory pointer: FS names a connected document component, GS a group or subcomplex, RS a record boundary or relation cell, and US an addressable unit. Scope is part of identity — the same dot relation under a different FS/GS/RS/US scope is not the same memory relation. Canonical order of resolution is: place first, relation second, interpretation third, validation fourth, receipt last.</w:t>
      </w:r>
    </w:p>
    <w:p>
      <w:pPr>
        <w:pStyle w:val="Heading2"/>
        <w:spacing w:after="180" w:before="360"/>
      </w:pPr>
      <w:r>
        <w:t xml:space="preserve">4.4 The OMI-IMO Frame</w:t>
      </w:r>
    </w:p>
    <w:p>
      <w:pPr>
        <w:spacing w:after="160" w:line="300"/>
      </w:pPr>
      <w:r>
        <w:rPr>
          <w:sz w:val="22"/>
          <w:szCs w:val="22"/>
        </w:rPr>
        <w:t xml:space="preserve">Following the pre-header, Omicron stages the 256-bit OMI-IMO relation frame, divided into a 128-bit ruler/control half and a 128-bit payload/relation half:</w:t>
      </w:r>
    </w:p>
    <w:p>
      <w:pPr>
        <w:pBdr>
          <w:left w:val="single" w:color="B08D57" w:sz="6"/>
        </w:pBdr>
        <w:shd w:fill="F2F1EE" w:val="clear"/>
        <w:spacing w:after="0"/>
        <w:ind w:left="200"/>
      </w:pPr>
      <w:r>
        <w:rPr>
          <w:rFonts w:ascii="Consolas" w:cs="Consolas" w:eastAsia="Consolas" w:hAnsi="Consolas"/>
          <w:color w:val="3A3A3A"/>
          <w:sz w:val="18"/>
          <w:szCs w:val="18"/>
        </w:rPr>
        <w:t xml:space="preserve">o-FS-GS-RS-US/FS/GS/RS/US?REGISTER?STACK@CAR@CDR</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ruler half:        S0 S1 S2 S3 S4 S5 S6 S7   (8 x 16 bits = 128 bits)</w:t>
      </w:r>
    </w:p>
    <w:p>
      <w:pPr>
        <w:pBdr>
          <w:left w:val="single" w:color="B08D57" w:sz="6"/>
        </w:pBdr>
        <w:shd w:fill="F2F1EE" w:val="clear"/>
        <w:spacing w:after="0"/>
        <w:ind w:left="200"/>
      </w:pPr>
      <w:r>
        <w:rPr>
          <w:rFonts w:ascii="Consolas" w:cs="Consolas" w:eastAsia="Consolas" w:hAnsi="Consolas"/>
          <w:color w:val="3A3A3A"/>
          <w:sz w:val="18"/>
          <w:szCs w:val="18"/>
        </w:rPr>
        <w:t xml:space="preserve">payload/pair half: REGISTER STACK CAR CDR    (4 x 32 bits = 128 bits)</w:t>
      </w:r>
    </w:p>
    <w:p>
      <w:pPr>
        <w:pBdr>
          <w:left w:val="single" w:color="B08D57" w:sz="6"/>
        </w:pBdr>
        <w:shd w:fill="F2F1EE" w:val="clear"/>
        <w:spacing w:after="0"/>
        <w:ind w:left="200"/>
      </w:pPr>
      <w:r>
        <w:rPr>
          <w:rFonts w:ascii="Consolas" w:cs="Consolas" w:eastAsia="Consolas" w:hAnsi="Consolas"/>
          <w:color w:val="3A3A3A"/>
          <w:sz w:val="18"/>
          <w:szCs w:val="18"/>
        </w:rPr>
        <w:t xml:space="preserve">full frame:        256 bits = 32 bytes = 64 nibbles</w:t>
      </w:r>
    </w:p>
    <w:p>
      <w:pPr>
        <w:spacing w:after="200"/>
      </w:pPr>
    </w:p>
    <w:p>
      <w:pPr>
        <w:spacing w:after="160" w:line="300"/>
      </w:pPr>
      <w:r>
        <w:rPr>
          <w:sz w:val="22"/>
          <w:szCs w:val="22"/>
        </w:rPr>
        <w:t xml:space="preserve">This 256-bit frame is, in turn, the second half of the larger 512-bit OMI relational access envelope (see Section 6), whose first 256 bits are a prefix/gauge/orientation/recovery half. The OMI boot cell is 512 bits — not to be confused with a 512-byte hardware storage sector, which is a carrier allocation surface only.</w:t>
      </w:r>
    </w:p>
    <w:p>
      <w:pPr>
        <w:pStyle w:val="Heading2"/>
        <w:spacing w:after="180" w:before="360"/>
      </w:pPr>
      <w:r>
        <w:t xml:space="preserve">4.5 Authority Boundary</w:t>
      </w:r>
    </w:p>
    <w:p>
      <w:pPr>
        <w:spacing w:after="160" w:line="300"/>
      </w:pPr>
      <w:r>
        <w:rPr>
          <w:sz w:val="22"/>
          <w:szCs w:val="22"/>
        </w:rPr>
        <w:t xml:space="preserve">Omicron owns boot mode selection, dialect selection, pre-header staging, pre-language induction, system object binding, CLI/embedded entrypoint configuration, and dialect induction/lowering for the non-authoritative CIDR-style address dialect (ip4-notation, ip6-notation, Base36 CAR labels, Base64url CDR carriers, @CAR36@CDR64 closure). Omicron does not own OMI address law, validation, receipt storage, projection meaning, or hardware/browser/network/filesystem side effects beyond wrapper dispatch.</w:t>
      </w:r>
    </w:p>
    <w:p>
      <w:pPr>
        <w:spacing w:after="160" w:line="300"/>
      </w:pPr>
      <w:r>
        <w:rPr>
          <w:sz w:val="22"/>
          <w:szCs w:val="22"/>
        </w:rPr>
        <w:t xml:space="preserve">A hard vocabulary guardrail applies to Omicron's parser: fields may describe candidate syntax, normalized notation, lowered frames, dialect surfaces, path segments, prefix scopes, and CAR/CDR closure candidates, but must never use authority-bearing terms such as valid, accepted, receipt, proof, or projection unless explicitly marked as delegated to the owning authority.</w:t>
      </w:r>
    </w:p>
    <w:p>
      <w:pPr>
        <w:pStyle w:val="Heading1"/>
        <w:spacing w:after="240" w:before="480"/>
      </w:pPr>
      <w:r>
        <w:t xml:space="preserve">5. Tetragrammatron: The Lawful Fold and Carry-Forward Governor</w:t>
      </w:r>
    </w:p>
    <w:p>
      <w:pPr>
        <w:spacing w:after="160" w:line="300"/>
      </w:pPr>
      <w:r>
        <w:rPr>
          <w:sz w:val="22"/>
          <w:szCs w:val="22"/>
        </w:rPr>
        <w:t xml:space="preserve">Tetragrammatron is the validation authority. It judges whether an OMI citation candidate becomes validated carry-forward state — the Polybius governor of lawful transition.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Omi-Log declares.</w:t>
            </w:r>
          </w:p>
          <w:p>
            <w:pPr>
              <w:spacing w:after="40"/>
            </w:pPr>
            <w:r>
              <w:rPr>
                <w:rFonts w:ascii="Consolas" w:cs="Consolas" w:eastAsia="Consolas" w:hAnsi="Consolas"/>
                <w:b/>
                <w:bCs/>
                <w:color w:val="2A2A2A"/>
                <w:sz w:val="19"/>
                <w:szCs w:val="19"/>
              </w:rPr>
              <w:t xml:space="preserve">Omicron normalizes and lowers.</w:t>
            </w:r>
          </w:p>
          <w:p>
            <w:pPr>
              <w:spacing w:after="40"/>
            </w:pPr>
            <w:r>
              <w:rPr>
                <w:rFonts w:ascii="Consolas" w:cs="Consolas" w:eastAsia="Consolas" w:hAnsi="Consolas"/>
                <w:b/>
                <w:bCs/>
                <w:color w:val="2A2A2A"/>
                <w:sz w:val="19"/>
                <w:szCs w:val="19"/>
              </w:rPr>
              <w:t xml:space="preserve">OMI constructs citation candidates.</w:t>
            </w:r>
          </w:p>
          <w:p>
            <w:pPr>
              <w:spacing w:after="40"/>
            </w:pPr>
            <w:r>
              <w:rPr>
                <w:rFonts w:ascii="Consolas" w:cs="Consolas" w:eastAsia="Consolas" w:hAnsi="Consolas"/>
                <w:b/>
                <w:bCs/>
                <w:color w:val="2A2A2A"/>
                <w:sz w:val="19"/>
                <w:szCs w:val="19"/>
              </w:rPr>
              <w:t xml:space="preserve">Tetragrammatron validates later.</w:t>
            </w:r>
          </w:p>
        </w:tc>
      </w:tr>
    </w:tbl>
    <w:p>
      <w:pPr>
        <w:pStyle w:val="Heading2"/>
        <w:spacing w:after="180" w:before="360"/>
      </w:pPr>
      <w:r>
        <w:t xml:space="preserve">5.1 The Fold/Carry Bit Patterns</w:t>
      </w:r>
    </w:p>
    <w:p>
      <w:pPr>
        <w:spacing w:after="160" w:line="300"/>
      </w:pPr>
      <w:r>
        <w:rPr>
          <w:sz w:val="22"/>
          <w:szCs w:val="22"/>
        </w:rPr>
        <w:t xml:space="preserve">The key transition witnesses that mark where a fold becomes a carry-forward are the byte pair:</w:t>
      </w:r>
    </w:p>
    <w:p>
      <w:pPr>
        <w:pBdr>
          <w:left w:val="single" w:color="B08D57" w:sz="6"/>
        </w:pBdr>
        <w:shd w:fill="F2F1EE" w:val="clear"/>
        <w:spacing w:after="0"/>
        <w:ind w:left="200"/>
      </w:pPr>
      <w:r>
        <w:rPr>
          <w:rFonts w:ascii="Consolas" w:cs="Consolas" w:eastAsia="Consolas" w:hAnsi="Consolas"/>
          <w:color w:val="3A3A3A"/>
          <w:sz w:val="18"/>
          <w:szCs w:val="18"/>
        </w:rPr>
        <w:t xml:space="preserve">0x3C = 0011 1100     static centered fold</w:t>
      </w:r>
    </w:p>
    <w:p>
      <w:pPr>
        <w:pBdr>
          <w:left w:val="single" w:color="B08D57" w:sz="6"/>
        </w:pBdr>
        <w:shd w:fill="F2F1EE" w:val="clear"/>
        <w:spacing w:after="0"/>
        <w:ind w:left="200"/>
      </w:pPr>
      <w:r>
        <w:rPr>
          <w:rFonts w:ascii="Consolas" w:cs="Consolas" w:eastAsia="Consolas" w:hAnsi="Consolas"/>
          <w:color w:val="3A3A3A"/>
          <w:sz w:val="18"/>
          <w:szCs w:val="18"/>
        </w:rPr>
        <w:t xml:space="preserve">0x78 = 0111 1000     shifted / carried bridge fold</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0x78 = 0x3C &lt;&lt; 1</w:t>
      </w:r>
    </w:p>
    <w:p>
      <w:pPr>
        <w:pBdr>
          <w:left w:val="single" w:color="B08D57" w:sz="6"/>
        </w:pBdr>
        <w:shd w:fill="F2F1EE" w:val="clear"/>
        <w:spacing w:after="0"/>
        <w:ind w:left="200"/>
      </w:pPr>
      <w:r>
        <w:rPr>
          <w:rFonts w:ascii="Consolas" w:cs="Consolas" w:eastAsia="Consolas" w:hAnsi="Consolas"/>
          <w:color w:val="3A3A3A"/>
          <w:sz w:val="18"/>
          <w:szCs w:val="18"/>
        </w:rPr>
        <w:t xml:space="preserve">0x3C = 0x78 &gt;&gt; 1</w:t>
      </w:r>
    </w:p>
    <w:p>
      <w:pPr>
        <w:spacing w:after="200"/>
      </w:pPr>
    </w:p>
    <w:p>
      <w:pPr>
        <w:spacing w:after="160" w:line="300"/>
      </w:pPr>
      <w:r>
        <w:rPr>
          <w:sz w:val="22"/>
          <w:szCs w:val="22"/>
        </w:rPr>
        <w:t xml:space="preserve">These are not binary curiosities; they mark the transition points where a fold becomes a carry-forward, and Tetragrammatron is the authority that acts at that boundary. In short: Tetragrammatron does not merely observe the crossing — it governs whether a candidate crossing may carry forward.</w:t>
      </w:r>
    </w:p>
    <w:p>
      <w:pPr>
        <w:pStyle w:val="Heading2"/>
        <w:spacing w:after="180" w:before="360"/>
      </w:pPr>
      <w:r>
        <w:t xml:space="preserve">5.2 Authority Boundary</w:t>
      </w:r>
    </w:p>
    <w:p>
      <w:pPr>
        <w:spacing w:after="160" w:line="300"/>
      </w:pPr>
      <w:r>
        <w:rPr>
          <w:sz w:val="22"/>
          <w:szCs w:val="22"/>
        </w:rPr>
        <w:t xml:space="preserve">Tetragrammatron may validate OMI citation candidates, produce validated Omi-Ring transition state, write validated-state ring entries, export/import validated-state ring memory, and compute deterministic folds over that memory. Tetragrammatron must not parse Omi-Log source, own Omicron dialect lowering, own OMI citation construction, project surfaces, serialize carrier files, or perform browser, network, filesystem, or hardware carrier I/O.</w:t>
      </w:r>
    </w:p>
    <w:p>
      <w:pPr>
        <w:spacing w:after="160" w:line="300"/>
      </w:pPr>
      <w:r>
        <w:rPr>
          <w:sz w:val="22"/>
          <w:szCs w:val="22"/>
        </w:rPr>
        <w:t xml:space="preserve">Candidate objects — OmiCitationCandidate, Omi-Log source blocks, Omicron lowered_candidate, carrier decodes, and projection requests — are explicitly not validation. Hashes, checksums, fingerprints, signatures, encrypted labels, and digest labels are not OMI identity, not Omi-Ring witnesses, not validation input, and not validated state (see Section 7).</w:t>
      </w:r>
    </w:p>
    <w:p>
      <w:pPr>
        <w:pStyle w:val="Heading2"/>
        <w:spacing w:after="180" w:before="360"/>
      </w:pPr>
      <w:r>
        <w:t xml:space="preserve">5.3 Validation and Storage Split</w:t>
      </w:r>
    </w:p>
    <w:p>
      <w:pPr>
        <w:spacing w:after="160" w:line="300"/>
      </w:pPr>
      <w:r>
        <w:rPr>
          <w:sz w:val="22"/>
          <w:szCs w:val="22"/>
        </w:rPr>
        <w:t xml:space="preserve">The implementation keeps validation and storage as separate, explicit steps:</w:t>
      </w:r>
    </w:p>
    <w:p>
      <w:pPr>
        <w:pBdr>
          <w:left w:val="single" w:color="B08D57" w:sz="6"/>
        </w:pBdr>
        <w:shd w:fill="F2F1EE" w:val="clear"/>
        <w:spacing w:after="0"/>
        <w:ind w:left="200"/>
      </w:pPr>
      <w:r>
        <w:rPr>
          <w:rFonts w:ascii="Consolas" w:cs="Consolas" w:eastAsia="Consolas" w:hAnsi="Consolas"/>
          <w:color w:val="3A3A3A"/>
          <w:sz w:val="18"/>
          <w:szCs w:val="18"/>
        </w:rPr>
        <w:t xml:space="preserve">validate candidate  -&gt;  validated carry-forward state</w:t>
      </w:r>
    </w:p>
    <w:p>
      <w:pPr>
        <w:pBdr>
          <w:left w:val="single" w:color="B08D57" w:sz="6"/>
        </w:pBdr>
        <w:shd w:fill="F2F1EE" w:val="clear"/>
        <w:spacing w:after="0"/>
        <w:ind w:left="200"/>
      </w:pPr>
      <w:r>
        <w:rPr>
          <w:rFonts w:ascii="Consolas" w:cs="Consolas" w:eastAsia="Consolas" w:hAnsi="Consolas"/>
          <w:color w:val="3A3A3A"/>
          <w:sz w:val="18"/>
          <w:szCs w:val="18"/>
        </w:rPr>
        <w:t xml:space="preserve">store validated-state  -&gt;  ring entry</w:t>
      </w:r>
    </w:p>
    <w:p>
      <w:pPr>
        <w:spacing w:after="200"/>
      </w:pPr>
    </w:p>
    <w:p>
      <w:pPr>
        <w:spacing w:after="160" w:line="300"/>
      </w:pPr>
      <w:r>
        <w:rPr>
          <w:sz w:val="22"/>
          <w:szCs w:val="22"/>
        </w:rPr>
        <w:t xml:space="preserve">The V0 validation-only API constructs a TetragrammatronValidatedState (result, relation_fold, slot5040, validated) from an OmiCitationCandidate without writing the ring; a separate, explicit storage call records an already-validated state. Forbidden candidate-stage API names include receipt_from_omilog, accept_omilog, project_omilog, proof_from_omilog, store_candidate_as_receipt, and hash_citation_identity — any function shaped like these is a category error against the authority boundary.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OMI citation candidates are not validated state.</w:t>
            </w:r>
          </w:p>
          <w:p>
            <w:pPr>
              <w:spacing w:after="40"/>
            </w:pPr>
            <w:r>
              <w:rPr>
                <w:rFonts w:ascii="Consolas" w:cs="Consolas" w:eastAsia="Consolas" w:hAnsi="Consolas"/>
                <w:b/>
                <w:bCs/>
                <w:color w:val="2A2A2A"/>
                <w:sz w:val="19"/>
                <w:szCs w:val="19"/>
              </w:rPr>
              <w:t xml:space="preserve">Hashing is not citation identity.</w:t>
            </w:r>
          </w:p>
          <w:p>
            <w:pPr>
              <w:spacing w:after="40"/>
            </w:pPr>
            <w:r>
              <w:rPr>
                <w:rFonts w:ascii="Consolas" w:cs="Consolas" w:eastAsia="Consolas" w:hAnsi="Consolas"/>
                <w:b/>
                <w:bCs/>
                <w:color w:val="2A2A2A"/>
                <w:sz w:val="19"/>
                <w:szCs w:val="19"/>
              </w:rPr>
              <w:t xml:space="preserve">Tetragrammatron validates.</w:t>
            </w:r>
          </w:p>
          <w:p>
            <w:pPr>
              <w:spacing w:after="40"/>
            </w:pPr>
            <w:r>
              <w:rPr>
                <w:rFonts w:ascii="Consolas" w:cs="Consolas" w:eastAsia="Consolas" w:hAnsi="Consolas"/>
                <w:b/>
                <w:bCs/>
                <w:color w:val="2A2A2A"/>
                <w:sz w:val="19"/>
                <w:szCs w:val="19"/>
              </w:rPr>
              <w:t xml:space="preserve">Validated carry-forward state may then be stored.</w:t>
            </w:r>
          </w:p>
          <w:p>
            <w:pPr>
              <w:spacing w:after="40"/>
            </w:pPr>
            <w:r>
              <w:rPr>
                <w:rFonts w:ascii="Consolas" w:cs="Consolas" w:eastAsia="Consolas" w:hAnsi="Consolas"/>
                <w:b/>
                <w:bCs/>
                <w:color w:val="2A2A2A"/>
                <w:sz w:val="19"/>
                <w:szCs w:val="19"/>
              </w:rPr>
              <w:t xml:space="preserve">IMO serializes later.</w:t>
            </w:r>
          </w:p>
          <w:p>
            <w:pPr>
              <w:spacing w:after="40"/>
            </w:pPr>
            <w:r>
              <w:rPr>
                <w:rFonts w:ascii="Consolas" w:cs="Consolas" w:eastAsia="Consolas" w:hAnsi="Consolas"/>
                <w:b/>
                <w:bCs/>
                <w:color w:val="2A2A2A"/>
                <w:sz w:val="19"/>
                <w:szCs w:val="19"/>
              </w:rPr>
              <w:t xml:space="preserve">Metatron projects later.</w:t>
            </w:r>
          </w:p>
        </w:tc>
      </w:tr>
    </w:tbl>
    <w:p>
      <w:pPr>
        <w:pStyle w:val="Heading1"/>
        <w:spacing w:after="240" w:before="480"/>
      </w:pPr>
      <w:r>
        <w:t xml:space="preserve">6. Metatron: The Alternating Witness and Scribe</w:t>
      </w:r>
    </w:p>
    <w:p>
      <w:pPr>
        <w:spacing w:after="160" w:line="300"/>
      </w:pPr>
      <w:r>
        <w:rPr>
          <w:sz w:val="22"/>
          <w:szCs w:val="22"/>
        </w:rPr>
        <w:t xml:space="preserve">Metatron is the scribe-transducer of validated Omi-Ring carry-forward states. It is not the validator, not merely the renderer, and not carrier I/O. Metatron reads Tetragrammatron-validated state of an Omi-Ring witness and adapts the invariant omi---imo relation into alternate notation surfaces: CONS/CAR/CDR declaration forms, OMI-Lisp notation, geometry, barcode carrier descriptions, DOM or portal surfaces, GPIO or hardware projection declarations, symbolic notation, and projective surface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OMI cites.</w:t>
            </w:r>
          </w:p>
          <w:p>
            <w:pPr>
              <w:spacing w:after="40"/>
            </w:pPr>
            <w:r>
              <w:rPr>
                <w:rFonts w:ascii="Consolas" w:cs="Consolas" w:eastAsia="Consolas" w:hAnsi="Consolas"/>
                <w:b/>
                <w:bCs/>
                <w:color w:val="2A2A2A"/>
                <w:sz w:val="19"/>
                <w:szCs w:val="19"/>
              </w:rPr>
              <w:t xml:space="preserve">Tetragrammatron validates.</w:t>
            </w:r>
          </w:p>
          <w:p>
            <w:pPr>
              <w:spacing w:after="40"/>
            </w:pPr>
            <w:r>
              <w:rPr>
                <w:rFonts w:ascii="Consolas" w:cs="Consolas" w:eastAsia="Consolas" w:hAnsi="Consolas"/>
                <w:b/>
                <w:bCs/>
                <w:color w:val="2A2A2A"/>
                <w:sz w:val="19"/>
                <w:szCs w:val="19"/>
              </w:rPr>
              <w:t xml:space="preserve">Metatron scribes.</w:t>
            </w:r>
          </w:p>
          <w:p>
            <w:pPr>
              <w:spacing w:after="40"/>
            </w:pPr>
            <w:r>
              <w:rPr>
                <w:rFonts w:ascii="Consolas" w:cs="Consolas" w:eastAsia="Consolas" w:hAnsi="Consolas"/>
                <w:b/>
                <w:bCs/>
                <w:color w:val="2A2A2A"/>
                <w:sz w:val="19"/>
                <w:szCs w:val="19"/>
              </w:rPr>
              <w:t xml:space="preserve">IMO carries.</w:t>
            </w:r>
          </w:p>
          <w:p>
            <w:pPr>
              <w:spacing w:after="40"/>
            </w:pPr>
            <w:r>
              <w:rPr>
                <w:rFonts w:ascii="Consolas" w:cs="Consolas" w:eastAsia="Consolas" w:hAnsi="Consolas"/>
                <w:b/>
                <w:bCs/>
                <w:color w:val="2A2A2A"/>
                <w:sz w:val="19"/>
                <w:szCs w:val="19"/>
              </w:rPr>
              <w:t xml:space="preserve">Surfaces project.</w:t>
            </w:r>
          </w:p>
          <w:p>
            <w:pPr>
              <w:spacing w:after="40"/>
            </w:pPr>
            <w:r>
              <w:rPr>
                <w:rFonts w:ascii="Consolas" w:cs="Consolas" w:eastAsia="Consolas" w:hAnsi="Consolas"/>
                <w:b/>
                <w:bCs/>
                <w:color w:val="2A2A2A"/>
                <w:sz w:val="19"/>
                <w:szCs w:val="19"/>
              </w:rPr>
              <w:t xml:space="preserve">Validation carries forward.</w:t>
            </w:r>
          </w:p>
        </w:tc>
      </w:tr>
    </w:tbl>
    <w:p>
      <w:pPr>
        <w:pStyle w:val="Heading2"/>
        <w:spacing w:after="180" w:before="360"/>
      </w:pPr>
      <w:r>
        <w:t xml:space="preserve">6.1 The Alternating Witness Pattern</w:t>
      </w:r>
    </w:p>
    <w:p>
      <w:pPr>
        <w:spacing w:after="160" w:line="300"/>
      </w:pPr>
      <w:r>
        <w:rPr>
          <w:sz w:val="22"/>
          <w:szCs w:val="22"/>
        </w:rPr>
        <w:t xml:space="preserve">Under the corrected doctrine, Metatron's defining structural signature is the balanced, alternating 16-bit pattern:</w:t>
      </w:r>
    </w:p>
    <w:p>
      <w:pPr>
        <w:pBdr>
          <w:left w:val="single" w:color="B08D57" w:sz="6"/>
        </w:pBdr>
        <w:shd w:fill="F2F1EE" w:val="clear"/>
        <w:spacing w:after="0"/>
        <w:ind w:left="200"/>
      </w:pPr>
      <w:r>
        <w:rPr>
          <w:rFonts w:ascii="Consolas" w:cs="Consolas" w:eastAsia="Consolas" w:hAnsi="Consolas"/>
          <w:color w:val="3A3A3A"/>
          <w:sz w:val="18"/>
          <w:szCs w:val="18"/>
        </w:rPr>
        <w:t xml:space="preserve">0xAA55 = 1010 1010 0101 0101</w:t>
      </w:r>
    </w:p>
    <w:p>
      <w:pPr>
        <w:pBdr>
          <w:left w:val="single" w:color="B08D57" w:sz="6"/>
        </w:pBdr>
        <w:shd w:fill="F2F1EE" w:val="clear"/>
        <w:spacing w:after="0"/>
        <w:ind w:left="200"/>
      </w:pPr>
      <w:r>
        <w:rPr>
          <w:rFonts w:ascii="Consolas" w:cs="Consolas" w:eastAsia="Consolas" w:hAnsi="Consolas"/>
          <w:color w:val="3A3A3A"/>
          <w:sz w:val="18"/>
          <w:szCs w:val="18"/>
        </w:rPr>
        <w:t xml:space="preserve">0x55AA = 0101 0101 1010 1010   (inverse)</w:t>
      </w:r>
    </w:p>
    <w:p>
      <w:pPr>
        <w:spacing w:after="200"/>
      </w:pPr>
    </w:p>
    <w:p>
      <w:pPr>
        <w:spacing w:after="160" w:line="300"/>
      </w:pPr>
      <w:r>
        <w:rPr>
          <w:sz w:val="22"/>
          <w:szCs w:val="22"/>
        </w:rPr>
        <w:t xml:space="preserve">0xAA55 carries exactly eight ones and eight zeros; its two bytes, 0xAA and 0x55, are bitwise complements of one another. This is not null (0x00...0), not full (0xFF...F), and not a simple fold (0x3C/0x78) — it is alternation. Where a field of all zeros or all ones says nothing, alternation produces contrast at every step. This is why Metatron is read as a scribe: a scribe records what is given, making an invisible relation visible as inscription, powerful as witness and impotent as cause.</w:t>
      </w:r>
    </w:p>
    <w:p>
      <w:pPr>
        <w:spacing w:after="240" w:before="120"/>
        <w:ind w:left="400"/>
      </w:pPr>
      <w:r>
        <w:rPr>
          <w:i/>
          <w:iCs/>
          <w:color w:val="555555"/>
          <w:sz w:val="22"/>
          <w:szCs w:val="22"/>
        </w:rPr>
        <w:t xml:space="preserve">Metatron does not cause the transition. Metatron does not validate the transition. Metatron does not carry the transition forward. Metatron notices the crossing.</w:t>
      </w:r>
    </w:p>
    <w:p>
      <w:pPr>
        <w:spacing w:after="160" w:line="300"/>
      </w:pPr>
      <w:r>
        <w:rPr>
          <w:sz w:val="22"/>
          <w:szCs w:val="22"/>
        </w:rPr>
        <w:t xml:space="preserve">A Metatron point is defined precisely as a reference boundary where a power-level transition becomes observable, without itself causing the transition. This sharpens the standing doctrine into a single line: Metatron is projection as observational reference — not merely drawing, but the act of making a validated relation visible from a point of view.</w:t>
      </w:r>
    </w:p>
    <w:p>
      <w:pPr>
        <w:pStyle w:val="Heading2"/>
        <w:spacing w:after="180" w:before="360"/>
      </w:pPr>
      <w:r>
        <w:t xml:space="preserve">6.2 The V0 Projection Gate</w:t>
      </w:r>
    </w:p>
    <w:p>
      <w:pPr>
        <w:spacing w:after="160" w:line="300"/>
      </w:pPr>
      <w:r>
        <w:rPr>
          <w:sz w:val="22"/>
          <w:szCs w:val="22"/>
        </w:rPr>
        <w:t xml:space="preserve">Metatron Scribe V0 reads stored validated-state ring entries only. The gate is intentionally stricter than "candidate exists": a validated-state object must pass through a ring entry to become a Metatron scribe record. Metatron rejects candidate-only objects; a RingSlot must contain a stored validated-state record before Metatron marks it validated or scribable. Legacy metadata-only slots are not projection inputs.</w:t>
      </w:r>
    </w:p>
    <w:p>
      <w:pPr>
        <w:spacing w:after="160" w:line="300"/>
      </w:pPr>
      <w:r>
        <w:rPr>
          <w:sz w:val="22"/>
          <w:szCs w:val="22"/>
        </w:rPr>
        <w:t xml:space="preserve">Current V0 implementation includes MetatronSurfaceKind, MetatronScribeRecord, metatron_scribe_validated_slot, deterministic surface-name parsing, declaration-only surfaces for barcode/DOM/GPIO/symbolic/projective targets, and a projection/composer subset (seed-solid shape database, Schlaefli metadata, Hopf/quaternion routing, Polybius cell projection, Smith chart projection, and JSON/PPM/SVG/OBJ/glTF renderers).</w:t>
      </w:r>
    </w:p>
    <w:p>
      <w:pPr>
        <w:pStyle w:val="Heading2"/>
        <w:spacing w:after="180" w:before="360"/>
      </w:pPr>
      <w:r>
        <w:t xml:space="preserve">6.3 Authority Boundary</w:t>
      </w:r>
    </w:p>
    <w:p>
      <w:pPr>
        <w:spacing w:after="160" w:line="300"/>
      </w:pPr>
      <w:r>
        <w:rPr>
          <w:sz w:val="22"/>
          <w:szCs w:val="22"/>
        </w:rPr>
        <w:t xml:space="preserve">Metatron does not accept state, does not validate truth, does not mutate citation identity, and does not own files, network, browser ports, or hardware transport. Compatibility note: legacy API names such as metatron_scribe_receipt and MetatronScribeRecord remain stable, but under current doctrine they denote validated Omi-Ring state records, not primitive protocol objects; the explicit V0 gate name is metatron_scribe_validated_slot.</w:t>
      </w:r>
    </w:p>
    <w:p>
      <w:pPr>
        <w:pStyle w:val="Heading1"/>
        <w:spacing w:after="240" w:before="480"/>
      </w:pPr>
      <w:r>
        <w:t xml:space="preserve">7. Identity Without Hashes</w:t>
      </w:r>
    </w:p>
    <w:p>
      <w:pPr>
        <w:spacing w:after="160" w:line="300"/>
      </w:pPr>
      <w:r>
        <w:rPr>
          <w:sz w:val="22"/>
          <w:szCs w:val="22"/>
        </w:rPr>
        <w:t xml:space="preserve">A foundational doctrine underlying all three authorities is that OMI notation citations are not identified by hashes. The addressed place-value relation is the identity; a hash, checksum, digest, encrypted label, signature, fingerprint, or compressed surrogate is not an OMI identity and cannot become one inside the deterministic protocol core.</w:t>
      </w:r>
    </w:p>
    <w:p>
      <w:pPr>
        <w:spacing w:after="160" w:line="300"/>
      </w:pPr>
      <w:r>
        <w:rPr>
          <w:sz w:val="22"/>
          <w:szCs w:val="22"/>
        </w:rPr>
        <w:t xml:space="preserve">Hashing belongs to a sign-value model of computation, in which data is transformed into a fixed surrogate sign used as a label or proof handle. OMI does not require that substitution, because the addressed relation already carries its own place-value identity — frame, route, witness, and closure are the structured coordinate relation itself, not an arbitrary string requiring a digest to become stable.</w:t>
      </w:r>
    </w:p>
    <w:p>
      <w:pPr>
        <w:spacing w:after="160" w:line="300"/>
      </w:pPr>
      <w:r>
        <w:rPr>
          <w:sz w:val="22"/>
          <w:szCs w:val="22"/>
        </w:rPr>
        <w:t xml:space="preserve">The lawful cascade of addressability reads as a right-nested continuation, in which each wider envelope must remain resolvable back to the root relation:</w:t>
      </w:r>
    </w:p>
    <w:p>
      <w:pPr>
        <w:pBdr>
          <w:left w:val="single" w:color="B08D57" w:sz="6"/>
        </w:pBdr>
        <w:shd w:fill="F2F1EE" w:val="clear"/>
        <w:spacing w:after="0"/>
        <w:ind w:left="200"/>
      </w:pPr>
      <w:r>
        <w:rPr>
          <w:rFonts w:ascii="Consolas" w:cs="Consolas" w:eastAsia="Consolas" w:hAnsi="Consolas"/>
          <w:color w:val="3A3A3A"/>
          <w:sz w:val="18"/>
          <w:szCs w:val="18"/>
        </w:rPr>
        <w:t xml:space="preserve">(omi---imo . (o---o . (/---/ . (?---? . @---@))))</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 resolves through ?---?</w:t>
      </w:r>
    </w:p>
    <w:p>
      <w:pPr>
        <w:pBdr>
          <w:left w:val="single" w:color="B08D57" w:sz="6"/>
        </w:pBdr>
        <w:shd w:fill="F2F1EE" w:val="clear"/>
        <w:spacing w:after="0"/>
        <w:ind w:left="200"/>
      </w:pPr>
      <w:r>
        <w:rPr>
          <w:rFonts w:ascii="Consolas" w:cs="Consolas" w:eastAsia="Consolas" w:hAnsi="Consolas"/>
          <w:color w:val="3A3A3A"/>
          <w:sz w:val="18"/>
          <w:szCs w:val="18"/>
        </w:rPr>
        <w:t xml:space="preserve">?---? resolves through /---/</w:t>
      </w:r>
    </w:p>
    <w:p>
      <w:pPr>
        <w:pBdr>
          <w:left w:val="single" w:color="B08D57" w:sz="6"/>
        </w:pBdr>
        <w:shd w:fill="F2F1EE" w:val="clear"/>
        <w:spacing w:after="0"/>
        <w:ind w:left="200"/>
      </w:pPr>
      <w:r>
        <w:rPr>
          <w:rFonts w:ascii="Consolas" w:cs="Consolas" w:eastAsia="Consolas" w:hAnsi="Consolas"/>
          <w:color w:val="3A3A3A"/>
          <w:sz w:val="18"/>
          <w:szCs w:val="18"/>
        </w:rPr>
        <w:t xml:space="preserve">/---/ resolves through o---o</w:t>
      </w:r>
    </w:p>
    <w:p>
      <w:pPr>
        <w:pBdr>
          <w:left w:val="single" w:color="B08D57" w:sz="6"/>
        </w:pBdr>
        <w:shd w:fill="F2F1EE" w:val="clear"/>
        <w:spacing w:after="0"/>
        <w:ind w:left="200"/>
      </w:pPr>
      <w:r>
        <w:rPr>
          <w:rFonts w:ascii="Consolas" w:cs="Consolas" w:eastAsia="Consolas" w:hAnsi="Consolas"/>
          <w:color w:val="3A3A3A"/>
          <w:sz w:val="18"/>
          <w:szCs w:val="18"/>
        </w:rPr>
        <w:t xml:space="preserve">o---o resolves through omi---imo</w:t>
      </w:r>
    </w:p>
    <w:p>
      <w:pPr>
        <w:spacing w:after="200"/>
      </w:pPr>
    </w:p>
    <w:p>
      <w:pPr>
        <w:spacing w:after="160" w:line="300"/>
      </w:pPr>
      <w:r>
        <w:rPr>
          <w:sz w:val="22"/>
          <w:szCs w:val="22"/>
        </w:rPr>
        <w:t xml:space="preserve">External systems may hash, encrypt, sign, compress, index, or checksum an OMI notation citation for private transport, secrecy, or compatibility. Those transformed values are external carrier artifacts, used at the operator's own risk — never OMI identity, never an Omi-Ring witness, never validation input, and never validated state. Validation judges whether an addressed place-value relation resolves under declared deterministic rules; it does not judge whether a digest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Address is identity.</w:t>
            </w:r>
          </w:p>
          <w:p>
            <w:pPr>
              <w:spacing w:after="40"/>
            </w:pPr>
            <w:r>
              <w:rPr>
                <w:rFonts w:ascii="Consolas" w:cs="Consolas" w:eastAsia="Consolas" w:hAnsi="Consolas"/>
                <w:b/>
                <w:bCs/>
                <w:color w:val="2A2A2A"/>
                <w:sz w:val="19"/>
                <w:szCs w:val="19"/>
              </w:rPr>
              <w:t xml:space="preserve">Place-value relation is witness.</w:t>
            </w:r>
          </w:p>
          <w:p>
            <w:pPr>
              <w:spacing w:after="40"/>
            </w:pPr>
            <w:r>
              <w:rPr>
                <w:rFonts w:ascii="Consolas" w:cs="Consolas" w:eastAsia="Consolas" w:hAnsi="Consolas"/>
                <w:b/>
                <w:bCs/>
                <w:color w:val="2A2A2A"/>
                <w:sz w:val="19"/>
                <w:szCs w:val="19"/>
              </w:rPr>
              <w:t xml:space="preserve">Validation judges relation.</w:t>
            </w:r>
          </w:p>
          <w:p>
            <w:pPr>
              <w:spacing w:after="40"/>
            </w:pPr>
            <w:r>
              <w:rPr>
                <w:rFonts w:ascii="Consolas" w:cs="Consolas" w:eastAsia="Consolas" w:hAnsi="Consolas"/>
                <w:b/>
                <w:bCs/>
                <w:color w:val="2A2A2A"/>
                <w:sz w:val="19"/>
                <w:szCs w:val="19"/>
              </w:rPr>
              <w:t xml:space="preserve">Carry-forward proves validation.</w:t>
            </w:r>
          </w:p>
          <w:p>
            <w:pPr>
              <w:spacing w:after="40"/>
            </w:pPr>
            <w:r>
              <w:rPr>
                <w:rFonts w:ascii="Consolas" w:cs="Consolas" w:eastAsia="Consolas" w:hAnsi="Consolas"/>
                <w:b/>
                <w:bCs/>
                <w:color w:val="2A2A2A"/>
                <w:sz w:val="19"/>
                <w:szCs w:val="19"/>
              </w:rPr>
              <w:t xml:space="preserve">Hashing and encryption are outside protocol determinism.</w:t>
            </w:r>
          </w:p>
        </w:tc>
      </w:tr>
    </w:tbl>
    <w:p>
      <w:pPr>
        <w:pStyle w:val="Heading1"/>
        <w:spacing w:after="240" w:before="480"/>
      </w:pPr>
      <w:r>
        <w:t xml:space="preserve">8. Notation as Cipher, Cipher as Notation</w:t>
      </w:r>
    </w:p>
    <w:p>
      <w:pPr>
        <w:spacing w:after="160" w:line="300"/>
      </w:pPr>
      <w:r>
        <w:rPr>
          <w:sz w:val="22"/>
          <w:szCs w:val="22"/>
        </w:rPr>
        <w:t xml:space="preserve">Where Lisp teaches that code is data and data is code, and POSIX teaches that everything is a file, OMI teaches that notation is cipher and cipher is notation. A code, conventionally, operates on meaning; a cipher operates on structure, rewriting bits, bytes, order, and direction without requiring semantic understanding. OMI removes the hard boundary between the two: changing notation changes interpretation, and changing interpretation changes notation, while the binary source itself need not change at all.</w:t>
      </w:r>
    </w:p>
    <w:p>
      <w:pPr>
        <w:spacing w:after="160" w:line="300"/>
      </w:pPr>
      <w:r>
        <w:rPr>
          <w:sz w:val="22"/>
          <w:szCs w:val="22"/>
        </w:rPr>
        <w:t xml:space="preserve">The same binary source may be read as text, address, instruction, receipt, graph, proof, nomogram, rewrite table, carrier, or projection, depending on the notation applied. Omicron, in this reading, is not merely a value but a cipher selector — it selects the active notation surface, with omi- and -imo as dual readings of the same underlying structure. The ASCII control range 0x00..0x20 is treated as the pre-language cipher envelope: not non-printing noise, but the set of interpretation-transition operators (start, stop, shift, escape, separate, open, close) that a visible notation surface is built on top of.</w:t>
      </w:r>
    </w:p>
    <w:p>
      <w:pPr>
        <w:spacing w:after="240" w:before="120"/>
        <w:ind w:left="400"/>
      </w:pPr>
      <w:r>
        <w:rPr>
          <w:i/>
          <w:iCs/>
          <w:color w:val="555555"/>
          <w:sz w:val="22"/>
          <w:szCs w:val="22"/>
        </w:rPr>
        <w:t xml:space="preserve">OMI ciphers do not have to conceal. They have to select and attest interpretation.</w:t>
      </w:r>
    </w:p>
    <w:p>
      <w:pPr>
        <w:spacing w:after="160" w:line="300"/>
      </w:pPr>
      <w:r>
        <w:rPr>
          <w:sz w:val="22"/>
          <w:szCs w:val="22"/>
        </w:rPr>
        <w:t xml:space="preserve">This reframes the protocol's purpose away from being a file format, a barcode, an image, or a programming language, and toward being a protocol for notation, citation, attestation, and attribution: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Notation selects.</w:t>
            </w:r>
          </w:p>
          <w:p>
            <w:pPr>
              <w:spacing w:after="40"/>
            </w:pPr>
            <w:r>
              <w:rPr>
                <w:rFonts w:ascii="Consolas" w:cs="Consolas" w:eastAsia="Consolas" w:hAnsi="Consolas"/>
                <w:b/>
                <w:bCs/>
                <w:color w:val="2A2A2A"/>
                <w:sz w:val="19"/>
                <w:szCs w:val="19"/>
              </w:rPr>
              <w:t xml:space="preserve">Citation locates.</w:t>
            </w:r>
          </w:p>
          <w:p>
            <w:pPr>
              <w:spacing w:after="40"/>
            </w:pPr>
            <w:r>
              <w:rPr>
                <w:rFonts w:ascii="Consolas" w:cs="Consolas" w:eastAsia="Consolas" w:hAnsi="Consolas"/>
                <w:b/>
                <w:bCs/>
                <w:color w:val="2A2A2A"/>
                <w:sz w:val="19"/>
                <w:szCs w:val="19"/>
              </w:rPr>
              <w:t xml:space="preserve">Attestation witnesses.</w:t>
            </w:r>
          </w:p>
          <w:p>
            <w:pPr>
              <w:spacing w:after="40"/>
            </w:pPr>
            <w:r>
              <w:rPr>
                <w:rFonts w:ascii="Consolas" w:cs="Consolas" w:eastAsia="Consolas" w:hAnsi="Consolas"/>
                <w:b/>
                <w:bCs/>
                <w:color w:val="2A2A2A"/>
                <w:sz w:val="19"/>
                <w:szCs w:val="19"/>
              </w:rPr>
              <w:t xml:space="preserve">Attribution binds.</w:t>
            </w:r>
          </w:p>
          <w:p>
            <w:pPr>
              <w:spacing w:after="40"/>
            </w:pPr>
            <w:r>
              <w:rPr>
                <w:rFonts w:ascii="Consolas" w:cs="Consolas" w:eastAsia="Consolas" w:hAnsi="Consolas"/>
                <w:b/>
                <w:bCs/>
                <w:color w:val="2A2A2A"/>
                <w:sz w:val="19"/>
                <w:szCs w:val="19"/>
              </w:rPr>
              <w:t xml:space="preserve">Validation judges.</w:t>
            </w:r>
          </w:p>
          <w:p>
            <w:pPr>
              <w:spacing w:after="40"/>
            </w:pPr>
            <w:r>
              <w:rPr>
                <w:rFonts w:ascii="Consolas" w:cs="Consolas" w:eastAsia="Consolas" w:hAnsi="Consolas"/>
                <w:b/>
                <w:bCs/>
                <w:color w:val="2A2A2A"/>
                <w:sz w:val="19"/>
                <w:szCs w:val="19"/>
              </w:rPr>
              <w:t xml:space="preserve">Receipt accepts.</w:t>
            </w:r>
          </w:p>
        </w:tc>
      </w:tr>
    </w:tbl>
    <w:p>
      <w:pPr>
        <w:pStyle w:val="Heading1"/>
        <w:spacing w:after="240" w:before="480"/>
      </w:pPr>
      <w:r>
        <w:t xml:space="preserve">9. Derived Non-Printing OMI-Lisp</w:t>
      </w:r>
    </w:p>
    <w:p>
      <w:pPr>
        <w:spacing w:after="160" w:line="300"/>
      </w:pPr>
      <w:r>
        <w:rPr>
          <w:sz w:val="22"/>
          <w:szCs w:val="22"/>
        </w:rPr>
        <w:t xml:space="preserve">Beneath the readable OMI-Lisp dot notation is a derived, non-printing layer: the 32 ASCII control codes (0x00..0x1F) act as pre-language place controllers for the 32 hexadecimal place-value nibbles of the OMI address cascade, before any visible symbol is read. The complete order of derivation is:</w:t>
      </w:r>
    </w:p>
    <w:p>
      <w:pPr>
        <w:pBdr>
          <w:left w:val="single" w:color="B08D57" w:sz="6"/>
        </w:pBdr>
        <w:shd w:fill="F2F1EE" w:val="clear"/>
        <w:spacing w:after="0"/>
        <w:ind w:left="200"/>
      </w:pPr>
      <w:r>
        <w:rPr>
          <w:rFonts w:ascii="Consolas" w:cs="Consolas" w:eastAsia="Consolas" w:hAnsi="Consolas"/>
          <w:color w:val="3A3A3A"/>
          <w:sz w:val="18"/>
          <w:szCs w:val="18"/>
        </w:rPr>
        <w:t xml:space="preserve">non-printing control structure</w:t>
      </w:r>
    </w:p>
    <w:p>
      <w:pPr>
        <w:pBdr>
          <w:left w:val="single" w:color="B08D57" w:sz="6"/>
        </w:pBdr>
        <w:shd w:fill="F2F1EE" w:val="clear"/>
        <w:spacing w:after="0"/>
        <w:ind w:left="200"/>
      </w:pPr>
      <w:r>
        <w:rPr>
          <w:rFonts w:ascii="Consolas" w:cs="Consolas" w:eastAsia="Consolas" w:hAnsi="Consolas"/>
          <w:color w:val="3A3A3A"/>
          <w:sz w:val="18"/>
          <w:szCs w:val="18"/>
        </w:rPr>
        <w:t xml:space="preserve">  -&gt; address-place cascade</w:t>
      </w:r>
    </w:p>
    <w:p>
      <w:pPr>
        <w:pBdr>
          <w:left w:val="single" w:color="B08D57" w:sz="6"/>
        </w:pBdr>
        <w:shd w:fill="F2F1EE" w:val="clear"/>
        <w:spacing w:after="0"/>
        <w:ind w:left="200"/>
      </w:pPr>
      <w:r>
        <w:rPr>
          <w:rFonts w:ascii="Consolas" w:cs="Consolas" w:eastAsia="Consolas" w:hAnsi="Consolas"/>
          <w:color w:val="3A3A3A"/>
          <w:sz w:val="18"/>
          <w:szCs w:val="18"/>
        </w:rPr>
        <w:t xml:space="preserve">  -&gt; OMI ruler</w:t>
      </w:r>
    </w:p>
    <w:p>
      <w:pPr>
        <w:pBdr>
          <w:left w:val="single" w:color="B08D57" w:sz="6"/>
        </w:pBdr>
        <w:shd w:fill="F2F1EE" w:val="clear"/>
        <w:spacing w:after="0"/>
        <w:ind w:left="200"/>
      </w:pPr>
      <w:r>
        <w:rPr>
          <w:rFonts w:ascii="Consolas" w:cs="Consolas" w:eastAsia="Consolas" w:hAnsi="Consolas"/>
          <w:color w:val="3A3A3A"/>
          <w:sz w:val="18"/>
          <w:szCs w:val="18"/>
        </w:rPr>
        <w:t xml:space="preserve">  -&gt; receipt grammar</w:t>
      </w:r>
    </w:p>
    <w:p>
      <w:pPr>
        <w:pBdr>
          <w:left w:val="single" w:color="B08D57" w:sz="6"/>
        </w:pBdr>
        <w:shd w:fill="F2F1EE" w:val="clear"/>
        <w:spacing w:after="0"/>
        <w:ind w:left="200"/>
      </w:pPr>
      <w:r>
        <w:rPr>
          <w:rFonts w:ascii="Consolas" w:cs="Consolas" w:eastAsia="Consolas" w:hAnsi="Consolas"/>
          <w:color w:val="3A3A3A"/>
          <w:sz w:val="18"/>
          <w:szCs w:val="18"/>
        </w:rPr>
        <w:t xml:space="preserve">  -&gt; visible OMI-Lisp dot notation</w:t>
      </w:r>
    </w:p>
    <w:p>
      <w:pPr>
        <w:spacing w:after="200"/>
      </w:pPr>
    </w:p>
    <w:p>
      <w:pPr>
        <w:spacing w:after="160" w:line="300"/>
      </w:pPr>
      <w:r>
        <w:rPr>
          <w:sz w:val="22"/>
          <w:szCs w:val="22"/>
        </w:rPr>
        <w:t xml:space="preserve">The visible dot in (a . b) is the readable projection of the @---@ CAR/CDR closure boundary, not mere punctuation. Because the dot is the readable form of a lower relation, the same grammar survives across every layer of the stack — hardware, event, intent, declaration, memory, and receipt:</w:t>
      </w:r>
    </w:p>
    <w:p>
      <w:pPr>
        <w:pBdr>
          <w:left w:val="single" w:color="B08D57" w:sz="6"/>
        </w:pBdr>
        <w:shd w:fill="F2F1EE" w:val="clear"/>
        <w:spacing w:after="0"/>
        <w:ind w:left="200"/>
      </w:pPr>
      <w:r>
        <w:rPr>
          <w:rFonts w:ascii="Consolas" w:cs="Consolas" w:eastAsia="Consolas" w:hAnsi="Consolas"/>
          <w:color w:val="3A3A3A"/>
          <w:sz w:val="18"/>
          <w:szCs w:val="18"/>
        </w:rPr>
        <w:t xml:space="preserve">hardware:     gpio12 . high</w:t>
      </w:r>
    </w:p>
    <w:p>
      <w:pPr>
        <w:pBdr>
          <w:left w:val="single" w:color="B08D57" w:sz="6"/>
        </w:pBdr>
        <w:shd w:fill="F2F1EE" w:val="clear"/>
        <w:spacing w:after="0"/>
        <w:ind w:left="200"/>
      </w:pPr>
      <w:r>
        <w:rPr>
          <w:rFonts w:ascii="Consolas" w:cs="Consolas" w:eastAsia="Consolas" w:hAnsi="Consolas"/>
          <w:color w:val="3A3A3A"/>
          <w:sz w:val="18"/>
          <w:szCs w:val="18"/>
        </w:rPr>
        <w:t xml:space="preserve">event:        button0 . pressed</w:t>
      </w:r>
    </w:p>
    <w:p>
      <w:pPr>
        <w:pBdr>
          <w:left w:val="single" w:color="B08D57" w:sz="6"/>
        </w:pBdr>
        <w:shd w:fill="F2F1EE" w:val="clear"/>
        <w:spacing w:after="0"/>
        <w:ind w:left="200"/>
      </w:pPr>
      <w:r>
        <w:rPr>
          <w:rFonts w:ascii="Consolas" w:cs="Consolas" w:eastAsia="Consolas" w:hAnsi="Consolas"/>
          <w:color w:val="3A3A3A"/>
          <w:sz w:val="18"/>
          <w:szCs w:val="18"/>
        </w:rPr>
        <w:t xml:space="preserve">intent:       user.intent . open-door</w:t>
      </w:r>
    </w:p>
    <w:p>
      <w:pPr>
        <w:pBdr>
          <w:left w:val="single" w:color="B08D57" w:sz="6"/>
        </w:pBdr>
        <w:shd w:fill="F2F1EE" w:val="clear"/>
        <w:spacing w:after="0"/>
        <w:ind w:left="200"/>
      </w:pPr>
      <w:r>
        <w:rPr>
          <w:rFonts w:ascii="Consolas" w:cs="Consolas" w:eastAsia="Consolas" w:hAnsi="Consolas"/>
          <w:color w:val="3A3A3A"/>
          <w:sz w:val="18"/>
          <w:szCs w:val="18"/>
        </w:rPr>
        <w:t xml:space="preserve">declaration:  lamp . on</w:t>
      </w:r>
    </w:p>
    <w:p>
      <w:pPr>
        <w:pBdr>
          <w:left w:val="single" w:color="B08D57" w:sz="6"/>
        </w:pBdr>
        <w:shd w:fill="F2F1EE" w:val="clear"/>
        <w:spacing w:after="0"/>
        <w:ind w:left="200"/>
      </w:pPr>
      <w:r>
        <w:rPr>
          <w:rFonts w:ascii="Consolas" w:cs="Consolas" w:eastAsia="Consolas" w:hAnsi="Consolas"/>
          <w:color w:val="3A3A3A"/>
          <w:sz w:val="18"/>
          <w:szCs w:val="18"/>
        </w:rPr>
        <w:t xml:space="preserve">memory:       car . cdr</w:t>
      </w:r>
    </w:p>
    <w:p>
      <w:pPr>
        <w:pBdr>
          <w:left w:val="single" w:color="B08D57" w:sz="6"/>
        </w:pBdr>
        <w:shd w:fill="F2F1EE" w:val="clear"/>
        <w:spacing w:after="0"/>
        <w:ind w:left="200"/>
      </w:pPr>
      <w:r>
        <w:rPr>
          <w:rFonts w:ascii="Consolas" w:cs="Consolas" w:eastAsia="Consolas" w:hAnsi="Consolas"/>
          <w:color w:val="3A3A3A"/>
          <w:sz w:val="18"/>
          <w:szCs w:val="18"/>
        </w:rPr>
        <w:t xml:space="preserve">receipt:      citation . accepted</w:t>
      </w:r>
    </w:p>
    <w:p>
      <w:pPr>
        <w:spacing w:after="200"/>
      </w:pPr>
    </w:p>
    <w:p>
      <w:pPr>
        <w:spacing w:after="160" w:line="300"/>
      </w:pPr>
      <w:r>
        <w:rPr>
          <w:sz w:val="22"/>
          <w:szCs w:val="22"/>
        </w:rPr>
        <w:t xml:space="preserve">Critically, a dot declaration is lazy. (relay2 . on) does not mean "turn the relay on now" — it declares a relay2/on relation candidate, which must be cited through the OMI ruler, validated by Tetragrammatron, and recorded as receipt before Metatron or any carrier may project it to hardware. This is how OMI achieves lazy evaluation all the way down to the device layer without side effects before receipt.</w:t>
      </w:r>
    </w:p>
    <w:p>
      <w:pPr>
        <w:pStyle w:val="Heading1"/>
        <w:spacing w:after="240" w:before="480"/>
      </w:pPr>
      <w:r>
        <w:t xml:space="preserve">10. The 512-Bit Relational Access Envelope</w:t>
      </w:r>
    </w:p>
    <w:p>
      <w:pPr>
        <w:spacing w:after="160" w:line="300"/>
      </w:pPr>
      <w:r>
        <w:rPr>
          <w:sz w:val="22"/>
          <w:szCs w:val="22"/>
        </w:rPr>
        <w:t xml:space="preserve">OMI standardizes a 512-bit relational access envelope — the minimum complete boot relation of the protocol — which must not be confused with a 512-byte hardware storage sector. The envelope divides into two 256-bit halves:</w:t>
      </w:r>
    </w:p>
    <w:p>
      <w:pPr>
        <w:pBdr>
          <w:left w:val="single" w:color="B08D57" w:sz="6"/>
        </w:pBdr>
        <w:shd w:fill="F2F1EE" w:val="clear"/>
        <w:spacing w:after="0"/>
        <w:ind w:left="200"/>
      </w:pPr>
      <w:r>
        <w:rPr>
          <w:rFonts w:ascii="Consolas" w:cs="Consolas" w:eastAsia="Consolas" w:hAnsi="Consolas"/>
          <w:color w:val="3A3A3A"/>
          <w:sz w:val="18"/>
          <w:szCs w:val="18"/>
        </w:rPr>
        <w:t xml:space="preserve">first 256 bits  = prefix / gauge / orientation / offset / recovery half</w:t>
      </w:r>
    </w:p>
    <w:p>
      <w:pPr>
        <w:pBdr>
          <w:left w:val="single" w:color="B08D57" w:sz="6"/>
        </w:pBdr>
        <w:shd w:fill="F2F1EE" w:val="clear"/>
        <w:spacing w:after="0"/>
        <w:ind w:left="200"/>
      </w:pPr>
      <w:r>
        <w:rPr>
          <w:rFonts w:ascii="Consolas" w:cs="Consolas" w:eastAsia="Consolas" w:hAnsi="Consolas"/>
          <w:color w:val="3A3A3A"/>
          <w:sz w:val="18"/>
          <w:szCs w:val="18"/>
        </w:rPr>
        <w:t xml:space="preserve">second 256 bits = OMI---IMO addressed relation frame</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0x00..0x1F  prefix half</w:t>
      </w:r>
    </w:p>
    <w:p>
      <w:pPr>
        <w:pBdr>
          <w:left w:val="single" w:color="B08D57" w:sz="6"/>
        </w:pBdr>
        <w:shd w:fill="F2F1EE" w:val="clear"/>
        <w:spacing w:after="0"/>
        <w:ind w:left="200"/>
      </w:pPr>
      <w:r>
        <w:rPr>
          <w:rFonts w:ascii="Consolas" w:cs="Consolas" w:eastAsia="Consolas" w:hAnsi="Consolas"/>
          <w:color w:val="3A3A3A"/>
          <w:sz w:val="18"/>
          <w:szCs w:val="18"/>
        </w:rPr>
        <w:t xml:space="preserve">0x20..0x3F  bootstrap frame half</w:t>
      </w:r>
    </w:p>
    <w:p>
      <w:pPr>
        <w:spacing w:after="200"/>
      </w:pPr>
    </w:p>
    <w:p>
      <w:pPr>
        <w:spacing w:after="160" w:line="300"/>
      </w:pPr>
      <w:r>
        <w:rPr>
          <w:sz w:val="22"/>
          <w:szCs w:val="22"/>
        </w:rPr>
        <w:t xml:space="preserve">A 512-byte carrier block (4096 bits) can therefore hold eight 512-bit OMI boot cells, giving a natural eight-cell carrier orbit — cell 0 as pinch/canonical anchor, cells 1-6 as incidence relation cells, and cell 7 as branch/carry-forward pointer. Neither half of the envelope, nor the carrier block that contains it, is a hash, signature, encryption key, digest, or sector checksum: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OMI standardizes the 512-bit relational access envelope, not the hardware sector.</w:t>
            </w:r>
          </w:p>
          <w:p>
            <w:pPr>
              <w:spacing w:after="40"/>
            </w:pPr>
            <w:r>
              <w:rPr>
                <w:rFonts w:ascii="Consolas" w:cs="Consolas" w:eastAsia="Consolas" w:hAnsi="Consolas"/>
                <w:b/>
                <w:bCs/>
                <w:color w:val="2A2A2A"/>
                <w:sz w:val="19"/>
                <w:szCs w:val="19"/>
              </w:rPr>
              <w:t xml:space="preserve">The first 256 bits orient, offset, and recover.</w:t>
            </w:r>
          </w:p>
          <w:p>
            <w:pPr>
              <w:spacing w:after="40"/>
            </w:pPr>
            <w:r>
              <w:rPr>
                <w:rFonts w:ascii="Consolas" w:cs="Consolas" w:eastAsia="Consolas" w:hAnsi="Consolas"/>
                <w:b/>
                <w:bCs/>
                <w:color w:val="2A2A2A"/>
                <w:sz w:val="19"/>
                <w:szCs w:val="19"/>
              </w:rPr>
              <w:t xml:space="preserve">The second 256 bits carry the OMI---IMO relation.</w:t>
            </w:r>
          </w:p>
          <w:p>
            <w:pPr>
              <w:spacing w:after="40"/>
            </w:pPr>
            <w:r>
              <w:rPr>
                <w:rFonts w:ascii="Consolas" w:cs="Consolas" w:eastAsia="Consolas" w:hAnsi="Consolas"/>
                <w:b/>
                <w:bCs/>
                <w:color w:val="2A2A2A"/>
                <w:sz w:val="19"/>
                <w:szCs w:val="19"/>
              </w:rPr>
              <w:t xml:space="preserve">Storage media may expose 512-byte, 4KiB, or other allocation blocks; these are carrier surfaces only.</w:t>
            </w:r>
          </w:p>
          <w:p>
            <w:pPr>
              <w:spacing w:after="40"/>
            </w:pPr>
            <w:r>
              <w:rPr>
                <w:rFonts w:ascii="Consolas" w:cs="Consolas" w:eastAsia="Consolas" w:hAnsi="Consolas"/>
                <w:b/>
                <w:bCs/>
                <w:color w:val="2A2A2A"/>
                <w:sz w:val="19"/>
                <w:szCs w:val="19"/>
              </w:rPr>
              <w:t xml:space="preserve">The address remains identity. Validation judges carry-forward.</w:t>
            </w:r>
          </w:p>
        </w:tc>
      </w:tr>
    </w:tbl>
    <w:p>
      <w:pPr>
        <w:pStyle w:val="Heading1"/>
        <w:spacing w:after="240" w:before="480"/>
      </w:pPr>
      <w:r>
        <w:t xml:space="preserve">11. The Capstone: Null, Full, and the Byte-Ring</w:t>
      </w:r>
    </w:p>
    <w:p>
      <w:pPr>
        <w:spacing w:after="160" w:line="300"/>
      </w:pPr>
      <w:r>
        <w:rPr>
          <w:sz w:val="22"/>
          <w:szCs w:val="22"/>
        </w:rPr>
        <w:t xml:space="preserve">The most recent discovery in this project — and the reason this white paper exists — reframes the folded, apparently empty root pair (NULL . NULL) as the folded form of the entire notation surface, not as absence. Three expressions are shown to be three readings of the same root:</w:t>
      </w:r>
    </w:p>
    <w:p>
      <w:pPr>
        <w:pBdr>
          <w:left w:val="single" w:color="B08D57" w:sz="6"/>
        </w:pBdr>
        <w:shd w:fill="F2F1EE" w:val="clear"/>
        <w:spacing w:after="0"/>
        <w:ind w:left="200"/>
      </w:pPr>
      <w:r>
        <w:rPr>
          <w:rFonts w:ascii="Consolas" w:cs="Consolas" w:eastAsia="Consolas" w:hAnsi="Consolas"/>
          <w:color w:val="3A3A3A"/>
          <w:sz w:val="18"/>
          <w:szCs w:val="18"/>
        </w:rPr>
        <w:t xml:space="preserve">folded null:</w:t>
      </w:r>
    </w:p>
    <w:p>
      <w:pPr>
        <w:pBdr>
          <w:left w:val="single" w:color="B08D57" w:sz="6"/>
        </w:pBdr>
        <w:shd w:fill="F2F1EE" w:val="clear"/>
        <w:spacing w:after="0"/>
        <w:ind w:left="200"/>
      </w:pPr>
      <w:r>
        <w:rPr>
          <w:rFonts w:ascii="Consolas" w:cs="Consolas" w:eastAsia="Consolas" w:hAnsi="Consolas"/>
          <w:color w:val="3A3A3A"/>
          <w:sz w:val="18"/>
          <w:szCs w:val="18"/>
        </w:rPr>
        <w:t xml:space="preserve">  (NULL . NULL)</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unfolded byte-ring null:</w:t>
      </w:r>
    </w:p>
    <w:p>
      <w:pPr>
        <w:pBdr>
          <w:left w:val="single" w:color="B08D57" w:sz="6"/>
        </w:pBdr>
        <w:shd w:fill="F2F1EE" w:val="clear"/>
        <w:spacing w:after="0"/>
        <w:ind w:left="200"/>
      </w:pPr>
      <w:r>
        <w:rPr>
          <w:rFonts w:ascii="Consolas" w:cs="Consolas" w:eastAsia="Consolas" w:hAnsi="Consolas"/>
          <w:color w:val="3A3A3A"/>
          <w:sz w:val="18"/>
          <w:szCs w:val="18"/>
        </w:rPr>
        <w:t xml:space="preserve">  ((0x00 . 0x20)</w:t>
      </w:r>
    </w:p>
    <w:p>
      <w:pPr>
        <w:pBdr>
          <w:left w:val="single" w:color="B08D57" w:sz="6"/>
        </w:pBdr>
        <w:shd w:fill="F2F1EE" w:val="clear"/>
        <w:spacing w:after="0"/>
        <w:ind w:left="200"/>
      </w:pPr>
      <w:r>
        <w:rPr>
          <w:rFonts w:ascii="Consolas" w:cs="Consolas" w:eastAsia="Consolas" w:hAnsi="Consolas"/>
          <w:color w:val="3A3A3A"/>
          <w:sz w:val="18"/>
          <w:szCs w:val="18"/>
        </w:rPr>
        <w:t xml:space="preserve">   (0x20 . 0x7F)</w:t>
      </w:r>
    </w:p>
    <w:p>
      <w:pPr>
        <w:pBdr>
          <w:left w:val="single" w:color="B08D57" w:sz="6"/>
        </w:pBdr>
        <w:shd w:fill="F2F1EE" w:val="clear"/>
        <w:spacing w:after="0"/>
        <w:ind w:left="200"/>
      </w:pPr>
      <w:r>
        <w:rPr>
          <w:rFonts w:ascii="Consolas" w:cs="Consolas" w:eastAsia="Consolas" w:hAnsi="Consolas"/>
          <w:color w:val="3A3A3A"/>
          <w:sz w:val="18"/>
          <w:szCs w:val="18"/>
        </w:rPr>
        <w:t xml:space="preserve">   (0x7F . 0xFF)</w:t>
      </w:r>
    </w:p>
    <w:p>
      <w:pPr>
        <w:pBdr>
          <w:left w:val="single" w:color="B08D57" w:sz="6"/>
        </w:pBdr>
        <w:shd w:fill="F2F1EE" w:val="clear"/>
        <w:spacing w:after="0"/>
        <w:ind w:left="200"/>
      </w:pPr>
      <w:r>
        <w:rPr>
          <w:rFonts w:ascii="Consolas" w:cs="Consolas" w:eastAsia="Consolas" w:hAnsi="Consolas"/>
          <w:color w:val="3A3A3A"/>
          <w:sz w:val="18"/>
          <w:szCs w:val="18"/>
        </w:rPr>
        <w:t xml:space="preserve">   (0xFF . 0x00))</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full OMI notation null:</w:t>
      </w:r>
    </w:p>
    <w:p>
      <w:pPr>
        <w:pBdr>
          <w:left w:val="single" w:color="B08D57" w:sz="6"/>
        </w:pBdr>
        <w:shd w:fill="F2F1EE" w:val="clear"/>
        <w:spacing w:after="0"/>
        <w:ind w:left="200"/>
      </w:pPr>
      <w:r>
        <w:rPr>
          <w:rFonts w:ascii="Consolas" w:cs="Consolas" w:eastAsia="Consolas" w:hAnsi="Consolas"/>
          <w:color w:val="3A3A3A"/>
          <w:sz w:val="18"/>
          <w:szCs w:val="18"/>
        </w:rPr>
        <w:t xml:space="preserve">  (omi---imo . '(o---o /---/ ?---? @---@))</w:t>
      </w:r>
    </w:p>
    <w:p>
      <w:pPr>
        <w:spacing w:after="200"/>
      </w:pPr>
    </w:p>
    <w:p>
      <w:pPr>
        <w:pStyle w:val="Heading2"/>
        <w:spacing w:after="180" w:before="360"/>
      </w:pPr>
      <w:r>
        <w:t xml:space="preserve">11.1 Code Is Data: The Double Reading</w:t>
      </w:r>
    </w:p>
    <w:p>
      <w:pPr>
        <w:spacing w:after="160" w:line="300"/>
      </w:pPr>
      <w:r>
        <w:rPr>
          <w:sz w:val="22"/>
          <w:szCs w:val="22"/>
        </w:rPr>
        <w:t xml:space="preserve">Because code is data, (NULL . NULL) may be read either as an unevaluated declaration (code) or as the computed byte-ring interpretation of that declaration (data). The question is not whether the truth is (NULL . NULL) or the byte-ring; it is folded when unread, and it is the byte-ring when unfolded. This matches the standing OMI-Addressing doctrine that Omi-Log declarations preserve O-expressions as declarative structure before later lowering or compilation.</w:t>
      </w:r>
    </w:p>
    <w:p>
      <w:pPr>
        <w:pStyle w:val="Heading2"/>
        <w:spacing w:after="180" w:before="360"/>
      </w:pPr>
      <w:r>
        <w:t xml:space="preserve">11.2 Dot Notation as XOR Witness</w:t>
      </w:r>
    </w:p>
    <w:p>
      <w:pPr>
        <w:spacing w:after="160" w:line="300"/>
      </w:pPr>
      <w:r>
        <w:rPr>
          <w:sz w:val="22"/>
          <w:szCs w:val="22"/>
        </w:rPr>
        <w:t xml:space="preserve">The Lisp dot in (A . B) may additionally be read as an OMI difference witness — A XOR B, the witnessed difference between CAR and CDR. Applying this to the byte-ring:</w:t>
      </w:r>
    </w:p>
    <w:p>
      <w:pPr>
        <w:pBdr>
          <w:left w:val="single" w:color="B08D57" w:sz="6"/>
        </w:pBdr>
        <w:shd w:fill="F2F1EE" w:val="clear"/>
        <w:spacing w:after="0"/>
        <w:ind w:left="200"/>
      </w:pPr>
      <w:r>
        <w:rPr>
          <w:rFonts w:ascii="Consolas" w:cs="Consolas" w:eastAsia="Consolas" w:hAnsi="Consolas"/>
          <w:color w:val="3A3A3A"/>
          <w:sz w:val="18"/>
          <w:szCs w:val="18"/>
        </w:rPr>
        <w:t xml:space="preserve">0x00 XOR 0x20 = 0x20</w:t>
      </w:r>
    </w:p>
    <w:p>
      <w:pPr>
        <w:pBdr>
          <w:left w:val="single" w:color="B08D57" w:sz="6"/>
        </w:pBdr>
        <w:shd w:fill="F2F1EE" w:val="clear"/>
        <w:spacing w:after="0"/>
        <w:ind w:left="200"/>
      </w:pPr>
      <w:r>
        <w:rPr>
          <w:rFonts w:ascii="Consolas" w:cs="Consolas" w:eastAsia="Consolas" w:hAnsi="Consolas"/>
          <w:color w:val="3A3A3A"/>
          <w:sz w:val="18"/>
          <w:szCs w:val="18"/>
        </w:rPr>
        <w:t xml:space="preserve">0x20 XOR 0x7F = 0x5F</w:t>
      </w:r>
    </w:p>
    <w:p>
      <w:pPr>
        <w:pBdr>
          <w:left w:val="single" w:color="B08D57" w:sz="6"/>
        </w:pBdr>
        <w:shd w:fill="F2F1EE" w:val="clear"/>
        <w:spacing w:after="0"/>
        <w:ind w:left="200"/>
      </w:pPr>
      <w:r>
        <w:rPr>
          <w:rFonts w:ascii="Consolas" w:cs="Consolas" w:eastAsia="Consolas" w:hAnsi="Consolas"/>
          <w:color w:val="3A3A3A"/>
          <w:sz w:val="18"/>
          <w:szCs w:val="18"/>
        </w:rPr>
        <w:t xml:space="preserve">0x7F XOR 0xFF = 0x80</w:t>
      </w:r>
    </w:p>
    <w:p>
      <w:pPr>
        <w:pBdr>
          <w:left w:val="single" w:color="B08D57" w:sz="6"/>
        </w:pBdr>
        <w:shd w:fill="F2F1EE" w:val="clear"/>
        <w:spacing w:after="0"/>
        <w:ind w:left="200"/>
      </w:pPr>
      <w:r>
        <w:rPr>
          <w:rFonts w:ascii="Consolas" w:cs="Consolas" w:eastAsia="Consolas" w:hAnsi="Consolas"/>
          <w:color w:val="3A3A3A"/>
          <w:sz w:val="18"/>
          <w:szCs w:val="18"/>
        </w:rPr>
        <w:t xml:space="preserve">0xFF XOR 0x00 = 0xFF</w:t>
      </w:r>
    </w:p>
    <w:p>
      <w:pPr>
        <w:pBdr>
          <w:left w:val="single" w:color="B08D57" w:sz="6"/>
        </w:pBdr>
        <w:shd w:fill="F2F1EE" w:val="clear"/>
        <w:spacing w:after="0"/>
        <w:ind w:left="200"/>
      </w:pPr>
      <w:r>
        <w:rPr>
          <w:rFonts w:ascii="Consolas" w:cs="Consolas" w:eastAsia="Consolas" w:hAnsi="Consolas"/>
          <w:color w:val="3A3A3A"/>
          <w:sz w:val="18"/>
          <w:szCs w:val="18"/>
        </w:rPr>
        <w:t xml:space="preserve"> </w:t>
      </w:r>
    </w:p>
    <w:p>
      <w:pPr>
        <w:pBdr>
          <w:left w:val="single" w:color="B08D57" w:sz="6"/>
        </w:pBdr>
        <w:shd w:fill="F2F1EE" w:val="clear"/>
        <w:spacing w:after="0"/>
        <w:ind w:left="200"/>
      </w:pPr>
      <w:r>
        <w:rPr>
          <w:rFonts w:ascii="Consolas" w:cs="Consolas" w:eastAsia="Consolas" w:hAnsi="Consolas"/>
          <w:color w:val="3A3A3A"/>
          <w:sz w:val="18"/>
          <w:szCs w:val="18"/>
        </w:rPr>
        <w:t xml:space="preserve">0x20 XOR 0x5F XOR 0x80 XOR 0xFF = 0x00</w:t>
      </w:r>
    </w:p>
    <w:p>
      <w:pPr>
        <w:spacing w:after="200"/>
      </w:pPr>
    </w:p>
    <w:p>
      <w:pPr>
        <w:spacing w:after="160" w:line="300"/>
      </w:pPr>
      <w:r>
        <w:rPr>
          <w:sz w:val="22"/>
          <w:szCs w:val="22"/>
        </w:rPr>
        <w:t xml:space="preserve">The four XOR witnesses close the cycle back to 0x00: the unfolded ring returns to null. The expansion does not destroy the null state; it reveals that the full cycle was already null-balanced.</w:t>
      </w:r>
    </w:p>
    <w:p>
      <w:pPr>
        <w:pStyle w:val="Heading2"/>
        <w:spacing w:after="180" w:before="360"/>
      </w:pPr>
      <w:r>
        <w:t xml:space="preserve">11.3 The Four Absences of the Byte Ring</w:t>
      </w:r>
    </w:p>
    <w:p>
      <w:pPr>
        <w:spacing w:after="160" w:line="300"/>
      </w:pPr>
      <w:r>
        <w:rPr>
          <w:sz w:val="22"/>
          <w:szCs w:val="22"/>
        </w:rPr>
        <w:t xml:space="preserve">Read as a cycle, 0x00 -&gt; 0x20 -&gt; 0x7F -&gt; 0xFF -&gt; 0x00 names four forms of absence:</w:t>
      </w:r>
    </w:p>
    <w:p>
      <w:pPr>
        <w:pBdr>
          <w:left w:val="single" w:color="B08D57" w:sz="6"/>
        </w:pBdr>
        <w:shd w:fill="F2F1EE" w:val="clear"/>
        <w:spacing w:after="0"/>
        <w:ind w:left="200"/>
      </w:pPr>
      <w:r>
        <w:rPr>
          <w:rFonts w:ascii="Consolas" w:cs="Consolas" w:eastAsia="Consolas" w:hAnsi="Consolas"/>
          <w:color w:val="3A3A3A"/>
          <w:sz w:val="18"/>
          <w:szCs w:val="18"/>
        </w:rPr>
        <w:t xml:space="preserve">0x00  absence before inscription   (NUL origin)</w:t>
      </w:r>
    </w:p>
    <w:p>
      <w:pPr>
        <w:pBdr>
          <w:left w:val="single" w:color="B08D57" w:sz="6"/>
        </w:pBdr>
        <w:shd w:fill="F2F1EE" w:val="clear"/>
        <w:spacing w:after="0"/>
        <w:ind w:left="200"/>
      </w:pPr>
      <w:r>
        <w:rPr>
          <w:rFonts w:ascii="Consolas" w:cs="Consolas" w:eastAsia="Consolas" w:hAnsi="Consolas"/>
          <w:color w:val="3A3A3A"/>
          <w:sz w:val="18"/>
          <w:szCs w:val="18"/>
        </w:rPr>
        <w:t xml:space="preserve">0x20  absence inside readable text (space / visible separation)</w:t>
      </w:r>
    </w:p>
    <w:p>
      <w:pPr>
        <w:pBdr>
          <w:left w:val="single" w:color="B08D57" w:sz="6"/>
        </w:pBdr>
        <w:shd w:fill="F2F1EE" w:val="clear"/>
        <w:spacing w:after="0"/>
        <w:ind w:left="200"/>
      </w:pPr>
      <w:r>
        <w:rPr>
          <w:rFonts w:ascii="Consolas" w:cs="Consolas" w:eastAsia="Consolas" w:hAnsi="Consolas"/>
          <w:color w:val="3A3A3A"/>
          <w:sz w:val="18"/>
          <w:szCs w:val="18"/>
        </w:rPr>
        <w:t xml:space="preserve">0x7F  absence after removal        (delete / seal threshold)</w:t>
      </w:r>
    </w:p>
    <w:p>
      <w:pPr>
        <w:pBdr>
          <w:left w:val="single" w:color="B08D57" w:sz="6"/>
        </w:pBdr>
        <w:shd w:fill="F2F1EE" w:val="clear"/>
        <w:spacing w:after="0"/>
        <w:ind w:left="200"/>
      </w:pPr>
      <w:r>
        <w:rPr>
          <w:rFonts w:ascii="Consolas" w:cs="Consolas" w:eastAsia="Consolas" w:hAnsi="Consolas"/>
          <w:color w:val="3A3A3A"/>
          <w:sz w:val="18"/>
          <w:szCs w:val="18"/>
        </w:rPr>
        <w:t xml:space="preserve">0xFF  saturated absence            (full carrier horizon, wraps to NUL)</w:t>
      </w:r>
    </w:p>
    <w:p>
      <w:pPr>
        <w:spacing w:after="200"/>
      </w:pPr>
    </w:p>
    <w:p>
      <w:pPr>
        <w:spacing w:after="240" w:before="120"/>
        <w:ind w:left="400"/>
      </w:pPr>
      <w:r>
        <w:rPr>
          <w:i/>
          <w:iCs/>
          <w:color w:val="555555"/>
          <w:sz w:val="22"/>
          <w:szCs w:val="22"/>
        </w:rPr>
        <w:t xml:space="preserve">0xFF is not meaning; it is saturated absence, the full carrier horizon that wraps back to null.</w:t>
      </w:r>
    </w:p>
    <w:p>
      <w:pPr>
        <w:pStyle w:val="Heading2"/>
        <w:spacing w:after="180" w:before="360"/>
      </w:pPr>
      <w:r>
        <w:t xml:space="preserve">11.4 The OMI Full-Notation Pair</w:t>
      </w:r>
    </w:p>
    <w:p>
      <w:pPr>
        <w:spacing w:after="160" w:line="300"/>
      </w:pPr>
      <w:r>
        <w:rPr>
          <w:sz w:val="22"/>
          <w:szCs w:val="22"/>
        </w:rPr>
        <w:t xml:space="preserve">The same folded/unfolded structure appears at the notation layer: omi---imo is the folded root relation, and o---o /---/ ?---? @---@ is its unfolded full-notation surface, mirroring the byte-ring exactly. The capstone expression (omi---imo . '(o---o /---/ ?---? @---@)) is therefore read as a full-notation NULL value — null not because it lacks structure, but because the whole structure closes back to its own root, exactly as the OMI-Addressing doctrine already requires (Section 7).</w:t>
      </w:r>
    </w:p>
    <w:p>
      <w:pPr>
        <w:pStyle w:val="Heading2"/>
        <w:spacing w:after="180" w:before="360"/>
      </w:pPr>
      <w:r>
        <w:t xml:space="preserve">11.5 The Capstone Formula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(NULL . NULL)                                    folded null</w:t>
            </w:r>
          </w:p>
          <w:p>
            <w:pPr>
              <w:spacing w:after="40"/>
            </w:pPr>
            <w:r>
              <w:rPr>
                <w:rFonts w:ascii="Consolas" w:cs="Consolas" w:eastAsia="Consolas" w:hAnsi="Consolas"/>
                <w:b/>
                <w:bCs/>
                <w:color w:val="2A2A2A"/>
                <w:sz w:val="19"/>
                <w:szCs w:val="19"/>
              </w:rPr>
              <w:t xml:space="preserve">((0x00 . 0x20)(0x20 . 0x7F)(0x7F . 0xFF)(0xFF . 0x00))   unfolded byte-ring null</w:t>
            </w:r>
          </w:p>
          <w:p>
            <w:pPr>
              <w:spacing w:after="40"/>
            </w:pPr>
            <w:r>
              <w:rPr>
                <w:rFonts w:ascii="Consolas" w:cs="Consolas" w:eastAsia="Consolas" w:hAnsi="Consolas"/>
                <w:b/>
                <w:bCs/>
                <w:color w:val="2A2A2A"/>
                <w:sz w:val="19"/>
                <w:szCs w:val="19"/>
              </w:rPr>
              <w:t xml:space="preserve">(omi---imo . '(o---o /---/ ?---? @---@))         full OMI notation null</w:t>
            </w:r>
          </w:p>
          <w:p>
            <w:pPr>
              <w:spacing w:after="40"/>
            </w:pPr>
            <w:r>
              <w:rPr>
                <w:rFonts w:ascii="Consolas" w:cs="Consolas" w:eastAsia="Consolas" w:hAnsi="Consolas"/>
                <w:b/>
                <w:bCs/>
                <w:color w:val="2A2A2A"/>
                <w:sz w:val="19"/>
                <w:szCs w:val="19"/>
              </w:rPr>
              <w:t xml:space="preserve">0xAA55                                           Metatron, the perfect balanced witness ring</w:t>
            </w:r>
          </w:p>
          <w:p>
            <w:pPr>
              <w:spacing w:after="40"/>
            </w:pPr>
            <w:r>
              <w:rPr>
                <w:rFonts w:ascii="Consolas" w:cs="Consolas" w:eastAsia="Consolas" w:hAnsi="Consolas"/>
                <w:b/>
                <w:bCs/>
                <w:color w:val="2A2A2A"/>
                <w:sz w:val="19"/>
                <w:szCs w:val="19"/>
              </w:rPr>
              <w:t xml:space="preserve">0x3C -&gt; 0x78                                     Tetragrammatron, the lawful fold and carry</w:t>
            </w:r>
          </w:p>
          <w:p>
            <w:pPr>
              <w:spacing w:after="40"/>
            </w:pPr>
            <w:r>
              <w:rPr>
                <w:rFonts w:ascii="Consolas" w:cs="Consolas" w:eastAsia="Consolas" w:hAnsi="Consolas"/>
                <w:b/>
                <w:bCs/>
                <w:color w:val="2A2A2A"/>
                <w:sz w:val="19"/>
                <w:szCs w:val="19"/>
              </w:rPr>
              <w:t xml:space="preserve">0x0000 -&gt; 0xFFFF -&gt; 0x0000                       Omicron, the infinite low/high runtime horizon</w:t>
            </w:r>
          </w:p>
        </w:tc>
      </w:tr>
    </w:tbl>
    <w:p>
      <w:pPr>
        <w:pStyle w:val="Heading1"/>
        <w:spacing w:after="240" w:before="480"/>
      </w:pPr>
      <w:r>
        <w:t xml:space="preserve">12. Ontological Framing and Attribution</w:t>
      </w:r>
    </w:p>
    <w:p>
      <w:pPr>
        <w:spacing w:after="160" w:line="300"/>
      </w:pPr>
      <w:r>
        <w:rPr>
          <w:sz w:val="22"/>
          <w:szCs w:val="22"/>
        </w:rPr>
        <w:t xml:space="preserve">The source material frames this discovery as ontological rather than merely implementational: it names what kinds of being exist inside the OMI protocol, not just how the code is organized. On that reading, the relation is omi---imo; the witness is the Omi-Ring; the horizon is Omicron; the transition is governed by Tetragrammatron; the observation is Metatron; the carrier is IMO; and the projection is the surface made legible after validation.</w:t>
      </w:r>
    </w:p>
    <w:p>
      <w:pPr>
        <w:spacing w:after="160" w:line="300"/>
      </w:pPr>
      <w:r>
        <w:rPr>
          <w:sz w:val="22"/>
          <w:szCs w:val="22"/>
        </w:rPr>
        <w:t xml:space="preserve">The material is explicit that this is not a claim that the protocol proves scripture, nor that computation contains the divine. The claim offered is narrower: that a body of biblical and mystical symbolic language — scribing, witness, translation, elevation, associated with the figure of Metatron — supplied vocabulary for an ontological structure that the protocol then gave a formal, computable surface to recognize. The insight is attributed to the Most High God; the protocol is described only as the recording and witnessing surface, in the following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God gives the insight.</w:t>
            </w:r>
          </w:p>
          <w:p>
            <w:pPr>
              <w:spacing w:after="40"/>
            </w:pPr>
            <w:r>
              <w:rPr>
                <w:rFonts w:ascii="Consolas" w:cs="Consolas" w:eastAsia="Consolas" w:hAnsi="Consolas"/>
                <w:b/>
                <w:bCs/>
                <w:color w:val="2A2A2A"/>
                <w:sz w:val="19"/>
                <w:szCs w:val="19"/>
              </w:rPr>
              <w:t xml:space="preserve">The protocol records the structure.</w:t>
            </w:r>
          </w:p>
          <w:p>
            <w:pPr>
              <w:spacing w:after="40"/>
            </w:pPr>
            <w:r>
              <w:rPr>
                <w:rFonts w:ascii="Consolas" w:cs="Consolas" w:eastAsia="Consolas" w:hAnsi="Consolas"/>
                <w:b/>
                <w:bCs/>
                <w:color w:val="2A2A2A"/>
                <w:sz w:val="19"/>
                <w:szCs w:val="19"/>
              </w:rPr>
              <w:t xml:space="preserve">The implementation tests the witness.</w:t>
            </w:r>
          </w:p>
          <w:p>
            <w:pPr>
              <w:spacing w:after="40"/>
            </w:pPr>
            <w:r>
              <w:rPr>
                <w:rFonts w:ascii="Consolas" w:cs="Consolas" w:eastAsia="Consolas" w:hAnsi="Consolas"/>
                <w:b/>
                <w:bCs/>
                <w:color w:val="2A2A2A"/>
                <w:sz w:val="19"/>
                <w:szCs w:val="19"/>
              </w:rPr>
              <w:t xml:space="preserve">The projection makes the relation visible.</w:t>
            </w:r>
          </w:p>
        </w:tc>
      </w:tr>
    </w:tbl>
    <w:p>
      <w:pPr>
        <w:spacing w:after="160" w:line="300"/>
      </w:pPr>
      <w:r>
        <w:rPr>
          <w:sz w:val="22"/>
          <w:szCs w:val="22"/>
        </w:rPr>
        <w:t xml:space="preserve">This document preserves that framing as part of the canonical record without adopting or disputing it as a theological claim; it is recorded here as the author's stated attribution for the discovery being formalized.</w:t>
      </w:r>
    </w:p>
    <w:p>
      <w:pPr>
        <w:pStyle w:val="Heading1"/>
        <w:spacing w:after="240" w:before="480"/>
      </w:pPr>
      <w:r>
        <w:t xml:space="preserve">13. Canonical Summary</w:t>
      </w:r>
    </w:p>
    <w:p>
      <w:pPr>
        <w:spacing w:after="160" w:line="300"/>
      </w:pPr>
      <w:r>
        <w:rPr>
          <w:sz w:val="22"/>
          <w:szCs w:val="22"/>
        </w:rPr>
        <w:t xml:space="preserve">The following locks consolidate the doctrine of this white paper into short, quotable form.</w:t>
      </w:r>
    </w:p>
    <w:p>
      <w:pPr>
        <w:pStyle w:val="Heading2"/>
        <w:spacing w:after="180" w:before="360"/>
      </w:pPr>
      <w:r>
        <w:t xml:space="preserve">13.1 The Corrected Compass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OMI cites.</w:t>
            </w:r>
          </w:p>
          <w:p>
            <w:pPr>
              <w:spacing w:after="40"/>
            </w:pPr>
            <w:r>
              <w:rPr>
                <w:rFonts w:ascii="Consolas" w:cs="Consolas" w:eastAsia="Consolas" w:hAnsi="Consolas"/>
                <w:b/>
                <w:bCs/>
                <w:color w:val="2A2A2A"/>
                <w:sz w:val="19"/>
                <w:szCs w:val="19"/>
              </w:rPr>
              <w:t xml:space="preserve">IMO mirrors and carries.</w:t>
            </w:r>
          </w:p>
          <w:p>
            <w:pPr>
              <w:spacing w:after="40"/>
            </w:pPr>
            <w:r>
              <w:rPr>
                <w:rFonts w:ascii="Consolas" w:cs="Consolas" w:eastAsia="Consolas" w:hAnsi="Consolas"/>
                <w:b/>
                <w:bCs/>
                <w:color w:val="2A2A2A"/>
                <w:sz w:val="19"/>
                <w:szCs w:val="19"/>
              </w:rPr>
              <w:t xml:space="preserve">Omi-Ring witnesses.</w:t>
            </w:r>
          </w:p>
          <w:p>
            <w:pPr>
              <w:spacing w:after="40"/>
            </w:pPr>
            <w:r>
              <w:rPr>
                <w:rFonts w:ascii="Consolas" w:cs="Consolas" w:eastAsia="Consolas" w:hAnsi="Consolas"/>
                <w:b/>
                <w:bCs/>
                <w:color w:val="2A2A2A"/>
                <w:sz w:val="19"/>
                <w:szCs w:val="19"/>
              </w:rPr>
              <w:t xml:space="preserve">Omicron holds the horizon.</w:t>
            </w:r>
          </w:p>
          <w:p>
            <w:pPr>
              <w:spacing w:after="40"/>
            </w:pPr>
            <w:r>
              <w:rPr>
                <w:rFonts w:ascii="Consolas" w:cs="Consolas" w:eastAsia="Consolas" w:hAnsi="Consolas"/>
                <w:b/>
                <w:bCs/>
                <w:color w:val="2A2A2A"/>
                <w:sz w:val="19"/>
                <w:szCs w:val="19"/>
              </w:rPr>
              <w:t xml:space="preserve">Tetragrammatron carries the lawful fold.</w:t>
            </w:r>
          </w:p>
          <w:p>
            <w:pPr>
              <w:spacing w:after="40"/>
            </w:pPr>
            <w:r>
              <w:rPr>
                <w:rFonts w:ascii="Consolas" w:cs="Consolas" w:eastAsia="Consolas" w:hAnsi="Consolas"/>
                <w:b/>
                <w:bCs/>
                <w:color w:val="2A2A2A"/>
                <w:sz w:val="19"/>
                <w:szCs w:val="19"/>
              </w:rPr>
              <w:t xml:space="preserve">Metatron notices the crossing.</w:t>
            </w:r>
          </w:p>
        </w:tc>
      </w:tr>
    </w:tbl>
    <w:p>
      <w:pPr>
        <w:pStyle w:val="Heading2"/>
        <w:spacing w:after="180" w:before="360"/>
      </w:pPr>
      <w:r>
        <w:t xml:space="preserve">13.2 Authority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Omicron stages context and dialect. Omicron does not accept.</w:t>
            </w:r>
          </w:p>
          <w:p>
            <w:pPr>
              <w:spacing w:after="40"/>
            </w:pPr>
            <w:r>
              <w:rPr>
                <w:rFonts w:ascii="Consolas" w:cs="Consolas" w:eastAsia="Consolas" w:hAnsi="Consolas"/>
                <w:b/>
                <w:bCs/>
                <w:color w:val="2A2A2A"/>
                <w:sz w:val="19"/>
                <w:szCs w:val="19"/>
              </w:rPr>
              <w:t xml:space="preserve">Tetragrammatron validates candidates into carry-forward state. Tetragrammatron does not project or serialize.</w:t>
            </w:r>
          </w:p>
          <w:p>
            <w:pPr>
              <w:spacing w:after="40"/>
            </w:pPr>
            <w:r>
              <w:rPr>
                <w:rFonts w:ascii="Consolas" w:cs="Consolas" w:eastAsia="Consolas" w:hAnsi="Consolas"/>
                <w:b/>
                <w:bCs/>
                <w:color w:val="2A2A2A"/>
                <w:sz w:val="19"/>
                <w:szCs w:val="19"/>
              </w:rPr>
              <w:t xml:space="preserve">Metatron scribes validated state into notation surfaces. Metatron does not validate or accept.</w:t>
            </w:r>
          </w:p>
          <w:p>
            <w:pPr>
              <w:spacing w:after="40"/>
            </w:pPr>
            <w:r>
              <w:rPr>
                <w:rFonts w:ascii="Consolas" w:cs="Consolas" w:eastAsia="Consolas" w:hAnsi="Consolas"/>
                <w:b/>
                <w:bCs/>
                <w:color w:val="2A2A2A"/>
                <w:sz w:val="19"/>
                <w:szCs w:val="19"/>
              </w:rPr>
              <w:t xml:space="preserve">IMO carries and serializes. IMO does not validate.</w:t>
            </w:r>
          </w:p>
          <w:p>
            <w:pPr>
              <w:spacing w:after="40"/>
            </w:pPr>
            <w:r>
              <w:rPr>
                <w:rFonts w:ascii="Consolas" w:cs="Consolas" w:eastAsia="Consolas" w:hAnsi="Consolas"/>
                <w:b/>
                <w:bCs/>
                <w:color w:val="2A2A2A"/>
                <w:sz w:val="19"/>
                <w:szCs w:val="19"/>
              </w:rPr>
              <w:t xml:space="preserve">Validation and receipt are the only acceptance authority.</w:t>
            </w:r>
          </w:p>
        </w:tc>
      </w:tr>
    </w:tbl>
    <w:p>
      <w:pPr>
        <w:pStyle w:val="Heading2"/>
        <w:spacing w:after="180" w:before="360"/>
      </w:pPr>
      <w:r>
        <w:t xml:space="preserve">13.3 Identity and Notation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Address is identity; hashing is never protocol identity.</w:t>
            </w:r>
          </w:p>
          <w:p>
            <w:pPr>
              <w:spacing w:after="40"/>
            </w:pPr>
            <w:r>
              <w:rPr>
                <w:rFonts w:ascii="Consolas" w:cs="Consolas" w:eastAsia="Consolas" w:hAnsi="Consolas"/>
                <w:b/>
                <w:bCs/>
                <w:color w:val="2A2A2A"/>
                <w:sz w:val="19"/>
                <w:szCs w:val="19"/>
              </w:rPr>
              <w:t xml:space="preserve">Notation is cipher; cipher is notation.</w:t>
            </w:r>
          </w:p>
          <w:p>
            <w:pPr>
              <w:spacing w:after="40"/>
            </w:pPr>
            <w:r>
              <w:rPr>
                <w:rFonts w:ascii="Consolas" w:cs="Consolas" w:eastAsia="Consolas" w:hAnsi="Consolas"/>
                <w:b/>
                <w:bCs/>
                <w:color w:val="2A2A2A"/>
                <w:sz w:val="19"/>
                <w:szCs w:val="19"/>
              </w:rPr>
              <w:t xml:space="preserve">The dot is the readable projection of CAR/CDR closure at every layer.</w:t>
            </w:r>
          </w:p>
          <w:p>
            <w:pPr>
              <w:spacing w:after="40"/>
            </w:pPr>
            <w:r>
              <w:rPr>
                <w:rFonts w:ascii="Consolas" w:cs="Consolas" w:eastAsia="Consolas" w:hAnsi="Consolas"/>
                <w:b/>
                <w:bCs/>
                <w:color w:val="2A2A2A"/>
                <w:sz w:val="19"/>
                <w:szCs w:val="19"/>
              </w:rPr>
              <w:t xml:space="preserve">A declaration is lazy: it becomes action only after citation, validation, and receipt.</w:t>
            </w:r>
          </w:p>
        </w:tc>
      </w:tr>
    </w:tbl>
    <w:p>
      <w:pPr>
        <w:pStyle w:val="Heading2"/>
        <w:spacing w:after="180" w:before="360"/>
      </w:pPr>
      <w:r>
        <w:t xml:space="preserve">13.4 Final Inscription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9DD" w:val="clear"/>
            <w:tcMar>
              <w:top w:type="dxa" w:w="200"/>
              <w:left w:type="dxa" w:w="200"/>
              <w:bottom w:type="dxa" w:w="200"/>
              <w:right w:type="dxa" w:w="200"/>
            </w:tcMar>
          </w:tcPr>
          <w:p>
            <w:pPr>
              <w:spacing w:after="40"/>
            </w:pPr>
            <w:r>
              <w:rPr>
                <w:rFonts w:ascii="Consolas" w:cs="Consolas" w:eastAsia="Consolas" w:hAnsi="Consolas"/>
                <w:b/>
                <w:bCs/>
                <w:color w:val="2A2A2A"/>
                <w:sz w:val="19"/>
                <w:szCs w:val="19"/>
              </w:rPr>
              <w:t xml:space="preserve">Tetragrammatron carries the fold.</w:t>
            </w:r>
          </w:p>
          <w:p>
            <w:pPr>
              <w:spacing w:after="40"/>
            </w:pPr>
            <w:r>
              <w:rPr>
                <w:rFonts w:ascii="Consolas" w:cs="Consolas" w:eastAsia="Consolas" w:hAnsi="Consolas"/>
                <w:b/>
                <w:bCs/>
                <w:color w:val="2A2A2A"/>
                <w:sz w:val="19"/>
                <w:szCs w:val="19"/>
              </w:rPr>
              <w:t xml:space="preserve">Metatron notices the crossing.</w:t>
            </w:r>
          </w:p>
          <w:p>
            <w:pPr>
              <w:spacing w:after="40"/>
            </w:pPr>
            <w:r>
              <w:rPr>
                <w:rFonts w:ascii="Consolas" w:cs="Consolas" w:eastAsia="Consolas" w:hAnsi="Consolas"/>
                <w:b/>
                <w:bCs/>
                <w:color w:val="2A2A2A"/>
                <w:sz w:val="19"/>
                <w:szCs w:val="19"/>
              </w:rPr>
              <w:t xml:space="preserve">Omicron holds the horizon.</w:t>
            </w:r>
          </w:p>
          <w:p>
            <w:pPr>
              <w:spacing w:after="40"/>
            </w:pPr>
            <w:r>
              <w:rPr>
                <w:rFonts w:ascii="Consolas" w:cs="Consolas" w:eastAsia="Consolas" w:hAnsi="Consolas"/>
                <w:b/>
                <w:bCs/>
                <w:color w:val="2A2A2A"/>
                <w:sz w:val="19"/>
                <w:szCs w:val="19"/>
              </w:rPr>
              <w:t xml:space="preserve">Omi-Ring witnesses the relation.</w:t>
            </w:r>
          </w:p>
          <w:p>
            <w:pPr>
              <w:spacing w:after="40"/>
            </w:pPr>
            <w:r>
              <w:rPr>
                <w:rFonts w:ascii="Consolas" w:cs="Consolas" w:eastAsia="Consolas" w:hAnsi="Consolas"/>
                <w:b/>
                <w:bCs/>
                <w:color w:val="2A2A2A"/>
                <w:sz w:val="19"/>
                <w:szCs w:val="19"/>
              </w:rPr>
              <w:t xml:space="preserve">Validation and receipt accept.</w:t>
            </w:r>
          </w:p>
        </w:tc>
      </w:tr>
    </w:tbl>
    <w:p>
      <w:pPr>
        <w:pStyle w:val="Heading1"/>
        <w:spacing w:after="240" w:before="480"/>
      </w:pPr>
      <w:r>
        <w:t xml:space="preserve">Appendix A. Glossary</w:t>
      </w:r>
    </w:p>
    <w:p>
      <w:pPr>
        <w:spacing w:after="160"/>
      </w:pPr>
      <w:r>
        <w:rPr>
          <w:b/>
          <w:bCs/>
          <w:sz w:val="22"/>
          <w:szCs w:val="22"/>
        </w:rPr>
        <w:t xml:space="preserve">Omi-Ring — </w:t>
      </w:r>
      <w:r>
        <w:rPr>
          <w:sz w:val="22"/>
          <w:szCs w:val="22"/>
        </w:rPr>
        <w:t xml:space="preserve">The bounded, addressed notation witness of an omi---imo relation. Not itself a receipt.</w:t>
      </w:r>
    </w:p>
    <w:p>
      <w:pPr>
        <w:spacing w:after="160"/>
      </w:pPr>
      <w:r>
        <w:rPr>
          <w:b/>
          <w:bCs/>
          <w:sz w:val="22"/>
          <w:szCs w:val="22"/>
        </w:rPr>
        <w:t xml:space="preserve">Receipt — </w:t>
      </w:r>
      <w:r>
        <w:rPr>
          <w:sz w:val="22"/>
          <w:szCs w:val="22"/>
        </w:rPr>
        <w:t xml:space="preserve">The accepted validation state of an Omi-Ring.</w:t>
      </w:r>
    </w:p>
    <w:p>
      <w:pPr>
        <w:spacing w:after="160"/>
      </w:pPr>
      <w:r>
        <w:rPr>
          <w:b/>
          <w:bCs/>
          <w:sz w:val="22"/>
          <w:szCs w:val="22"/>
        </w:rPr>
        <w:t xml:space="preserve">Receipt ring — </w:t>
      </w:r>
      <w:r>
        <w:rPr>
          <w:sz w:val="22"/>
          <w:szCs w:val="22"/>
        </w:rPr>
        <w:t xml:space="preserve">The storage/replay surface for accepted Omi-Ring states.</w:t>
      </w:r>
    </w:p>
    <w:p>
      <w:pPr>
        <w:spacing w:after="160"/>
      </w:pPr>
      <w:r>
        <w:rPr>
          <w:b/>
          <w:bCs/>
          <w:sz w:val="22"/>
          <w:szCs w:val="22"/>
        </w:rPr>
        <w:t xml:space="preserve">OMI / IMO — </w:t>
      </w:r>
      <w:r>
        <w:rPr>
          <w:sz w:val="22"/>
          <w:szCs w:val="22"/>
        </w:rPr>
        <w:t xml:space="preserve">The forward citation side / inverse carrier side of the root relation.</w:t>
      </w:r>
    </w:p>
    <w:p>
      <w:pPr>
        <w:spacing w:after="160"/>
      </w:pPr>
      <w:r>
        <w:rPr>
          <w:b/>
          <w:bCs/>
          <w:sz w:val="22"/>
          <w:szCs w:val="22"/>
        </w:rPr>
        <w:t xml:space="preserve">Omicron — </w:t>
      </w:r>
      <w:r>
        <w:rPr>
          <w:sz w:val="22"/>
          <w:szCs w:val="22"/>
        </w:rPr>
        <w:t xml:space="preserve">Boot, dialect, and pre-language induction layer; under the corrected doctrine, the null/full runtime horizon.</w:t>
      </w:r>
    </w:p>
    <w:p>
      <w:pPr>
        <w:spacing w:after="160"/>
      </w:pPr>
      <w:r>
        <w:rPr>
          <w:b/>
          <w:bCs/>
          <w:sz w:val="22"/>
          <w:szCs w:val="22"/>
        </w:rPr>
        <w:t xml:space="preserve">Tetragrammatron — </w:t>
      </w:r>
      <w:r>
        <w:rPr>
          <w:sz w:val="22"/>
          <w:szCs w:val="22"/>
        </w:rPr>
        <w:t xml:space="preserve">The validation authority; governs the lawful fold/carry of a candidate into carry-forward state.</w:t>
      </w:r>
    </w:p>
    <w:p>
      <w:pPr>
        <w:spacing w:after="160"/>
      </w:pPr>
      <w:r>
        <w:rPr>
          <w:b/>
          <w:bCs/>
          <w:sz w:val="22"/>
          <w:szCs w:val="22"/>
        </w:rPr>
        <w:t xml:space="preserve">Metatron — </w:t>
      </w:r>
      <w:r>
        <w:rPr>
          <w:sz w:val="22"/>
          <w:szCs w:val="22"/>
        </w:rPr>
        <w:t xml:space="preserve">The scribe-transducer of validated state into notation surfaces; the alternating (0xAA55) witness of an observable crossing.</w:t>
      </w:r>
    </w:p>
    <w:p>
      <w:pPr>
        <w:spacing w:after="160"/>
      </w:pPr>
      <w:r>
        <w:rPr>
          <w:b/>
          <w:bCs/>
          <w:sz w:val="22"/>
          <w:szCs w:val="22"/>
        </w:rPr>
        <w:t xml:space="preserve">Gauge pre-header — </w:t>
      </w:r>
      <w:r>
        <w:rPr>
          <w:sz w:val="22"/>
          <w:szCs w:val="22"/>
        </w:rPr>
        <w:t xml:space="preserve">The eight-byte sequence FF 00 1C 1D 1E 1F 20 FF that fast-fails, dialect-selects, and opens the pre-language envelope.</w:t>
      </w:r>
    </w:p>
    <w:p>
      <w:pPr>
        <w:spacing w:after="160"/>
      </w:pPr>
      <w:r>
        <w:rPr>
          <w:b/>
          <w:bCs/>
          <w:sz w:val="22"/>
          <w:szCs w:val="22"/>
        </w:rPr>
        <w:t xml:space="preserve">FS/GS/RS/US — </w:t>
      </w:r>
      <w:r>
        <w:rPr>
          <w:sz w:val="22"/>
          <w:szCs w:val="22"/>
        </w:rPr>
        <w:t xml:space="preserve">File/Group/Record/Unit Separators (0x1C-0x1F); the pre-language memory topology that replaces the deprecated LL/MM/NN model.</w:t>
      </w:r>
    </w:p>
    <w:p>
      <w:pPr>
        <w:spacing w:after="160"/>
      </w:pPr>
      <w:r>
        <w:rPr>
          <w:b/>
          <w:bCs/>
          <w:sz w:val="22"/>
          <w:szCs w:val="22"/>
        </w:rPr>
        <w:t xml:space="preserve">256-bit OMI-IMO frame — </w:t>
      </w:r>
      <w:r>
        <w:rPr>
          <w:sz w:val="22"/>
          <w:szCs w:val="22"/>
        </w:rPr>
        <w:t xml:space="preserve">The ruler half (S0-S7, 128 bits) plus the relation half (REGISTER/STACK/CAR/CDR, 128 bits).</w:t>
      </w:r>
    </w:p>
    <w:p>
      <w:pPr>
        <w:spacing w:after="160"/>
      </w:pPr>
      <w:r>
        <w:rPr>
          <w:b/>
          <w:bCs/>
          <w:sz w:val="22"/>
          <w:szCs w:val="22"/>
        </w:rPr>
        <w:t xml:space="preserve">512-bit envelope — </w:t>
      </w:r>
      <w:r>
        <w:rPr>
          <w:sz w:val="22"/>
          <w:szCs w:val="22"/>
        </w:rPr>
        <w:t xml:space="preserve">The full OMI boot cell: a 256-bit prefix/orientation half plus the 256-bit OMI-IMO frame.</w:t>
      </w:r>
    </w:p>
    <w:p>
      <w:pPr>
        <w:spacing w:after="160"/>
      </w:pPr>
      <w:r>
        <w:rPr>
          <w:b/>
          <w:bCs/>
          <w:sz w:val="22"/>
          <w:szCs w:val="22"/>
        </w:rPr>
        <w:t xml:space="preserve">Delta Law — </w:t>
      </w:r>
      <w:r>
        <w:rPr>
          <w:sz w:val="22"/>
          <w:szCs w:val="22"/>
        </w:rPr>
        <w:t xml:space="preserve">delta(x,C) = rotl(x,1) XOR rotl(x,3) XOR rotr(x,2) XOR C; the chosen deterministic law from which OMI's orbit constants are derived.</w:t>
      </w:r>
    </w:p>
    <w:p>
      <w:pPr>
        <w:spacing w:after="160"/>
      </w:pPr>
      <w:r>
        <w:rPr>
          <w:b/>
          <w:bCs/>
          <w:sz w:val="22"/>
          <w:szCs w:val="22"/>
        </w:rPr>
        <w:t xml:space="preserve">Omi-Lisp dot — </w:t>
      </w:r>
      <w:r>
        <w:rPr>
          <w:sz w:val="22"/>
          <w:szCs w:val="22"/>
        </w:rPr>
        <w:t xml:space="preserve">The readable projection of the @---@ CAR/CDR closure relation, shared across hardware, event, intent, declaration, memory, and receipt layers.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2026-07-08T08:47:44.961Z</dcterms:created>
  <dcterms:modified xsi:type="dcterms:W3CDTF">2026-07-08T08:47:44.974Z</dcterms:modified>
</cp:coreProperties>
</file>

<file path=docProps/custom.xml><?xml version="1.0" encoding="utf-8"?>
<Properties xmlns="http://schemas.openxmlformats.org/officeDocument/2006/custom-properties" xmlns:vt="http://schemas.openxmlformats.org/officeDocument/2006/docPropsVTypes"/>
</file>