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cfaca74b8fd20c8a534f685b4f5135de0c4597c"/>
    <w:p>
      <w:pPr>
        <w:pStyle w:val="Heading1"/>
      </w:pPr>
      <w:r>
        <w:t xml:space="preserve">OMI—IMO as Canonical Chiral URI-Compatible Memory Notation</w:t>
      </w:r>
    </w:p>
    <w:bookmarkStart w:id="21" w:name="Xa7316d53f432cce21e3a5988db19d345f0dbc42"/>
    <w:p>
      <w:pPr>
        <w:pStyle w:val="Heading2"/>
      </w:pPr>
      <w:r>
        <w:t xml:space="preserve">A Dialogic Explainer on</w:t>
      </w:r>
      <w:r>
        <w:t xml:space="preserve"> </w:t>
      </w:r>
      <w:r>
        <w:rPr>
          <w:rStyle w:val="VerbatimChar"/>
        </w:rPr>
        <w:t xml:space="preserve">omi---imo</w:t>
      </w:r>
      <w:r>
        <w:t xml:space="preserve">,</w:t>
      </w:r>
      <w:r>
        <w:t xml:space="preserve"> </w:t>
      </w:r>
      <w:r>
        <w:rPr>
          <w:rStyle w:val="VerbatimChar"/>
        </w:rPr>
        <w:t xml:space="preserve">o---o/---/?---?@---@</w:t>
      </w:r>
      <w:r>
        <w:t xml:space="preserve">, ASCII Chirality, FS/GS/RS/US, and Bidi Projection</w:t>
      </w:r>
    </w:p>
    <w:bookmarkStart w:id="20" w:name="abstract"/>
    <w:p>
      <w:pPr>
        <w:pStyle w:val="Heading3"/>
      </w:pPr>
      <w:r>
        <w:t xml:space="preserve">Abstract</w:t>
      </w:r>
    </w:p>
    <w:p>
      <w:pPr>
        <w:pStyle w:val="FirstParagraph"/>
      </w:pPr>
      <w:r>
        <w:t xml:space="preserve">This paper explains why the notation:</w:t>
      </w:r>
    </w:p>
    <w:p>
      <w:pPr>
        <w:pStyle w:val="SourceCode"/>
      </w:pPr>
      <w:r>
        <w:rPr>
          <w:rStyle w:val="VerbatimChar"/>
        </w:rPr>
        <w:t xml:space="preserve">omi---imo</w:t>
      </w:r>
    </w:p>
    <w:p>
      <w:pPr>
        <w:pStyle w:val="FirstParagraph"/>
      </w:pPr>
      <w:r>
        <w:t xml:space="preserve">and its expanded form:</w:t>
      </w:r>
    </w:p>
    <w:p>
      <w:pPr>
        <w:pStyle w:val="SourceCode"/>
      </w:pPr>
      <w:r>
        <w:rPr>
          <w:rStyle w:val="VerbatimChar"/>
        </w:rPr>
        <w:t xml:space="preserve">o---o/---/?---?@---@</w:t>
      </w:r>
    </w:p>
    <w:p>
      <w:pPr>
        <w:pStyle w:val="FirstParagraph"/>
      </w:pPr>
      <w:r>
        <w:t xml:space="preserve">should be treated as the canonical printable OMI-IMO route form. The central claim is that the notation is not merely decorative, mnemonic, or poetic. It is a compact ASCII-compatible rendering of a deeper memory topology:</w:t>
      </w:r>
    </w:p>
    <w:p>
      <w:pPr>
        <w:pStyle w:val="SourceCode"/>
      </w:pPr>
      <w:r>
        <w:rPr>
          <w:rStyle w:val="VerbatimChar"/>
        </w:rPr>
        <w:t xml:space="preserve">o-FS-GS-RS-US/FS/GS/RS/US?REGISTER?STACK@CAR@CDR</w:t>
      </w:r>
    </w:p>
    <w:p>
      <w:pPr>
        <w:pStyle w:val="FirstParagraph"/>
      </w:pPr>
      <w:r>
        <w:t xml:space="preserve">In this model, hyphens encode the forward OMI scope cascade, slash encodes the inverse/carrier IMO route, question mark encodes register/stack/query fields, and at-sign encodes CAR/CDR relation pointers. The more recent FS/GS/RS/US authority model replaces the older LL/MM/NN argument model by treating OMI as pre-language memory topology, not as a function call. The 256-bit OMI-IMO frame is divided into a 128-bit FS/GS/RS/US ruler cascade and a 128-bit REGISTER/STACK/CAR/CDR relation cascade.</w:t>
      </w:r>
    </w:p>
    <w:p>
      <w:pPr>
        <w:pStyle w:val="BodyText"/>
      </w:pPr>
      <w:r>
        <w:t xml:space="preserve">The additional claim of this paper is that the visible notation may be interpreted as a chiral, URL-compatible carrier surface. In ASCII, the case bit difference between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0x20</w:t>
      </w:r>
      <w:r>
        <w:t xml:space="preserve">, the same byte value as</w:t>
      </w:r>
      <w:r>
        <w:t xml:space="preserve"> </w:t>
      </w:r>
      <w:r>
        <w:rPr>
          <w:rStyle w:val="VerbatimChar"/>
        </w:rPr>
        <w:t xml:space="preserve">SP</w:t>
      </w:r>
      <w:r>
        <w:t xml:space="preserve">, the readable boundary. Thus</w:t>
      </w:r>
      <w:r>
        <w:t xml:space="preserve"> </w:t>
      </w:r>
      <w:r>
        <w:rPr>
          <w:rStyle w:val="VerbatimChar"/>
        </w:rPr>
        <w:t xml:space="preserve">O/o</w:t>
      </w:r>
      <w:r>
        <w:t xml:space="preserve"> </w:t>
      </w:r>
      <w:r>
        <w:t xml:space="preserve">can serve as portable omicron chirality markers, while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marks the stuffed route span. Unicode bidi projection may then reverse or mirror the display order at the rendering layer without changing canonical bytes. In short:</w:t>
      </w:r>
    </w:p>
    <w:p>
      <w:pPr>
        <w:pStyle w:val="SourceCode"/>
      </w:pPr>
      <w:r>
        <w:rPr>
          <w:rStyle w:val="VerbatimChar"/>
        </w:rPr>
        <w:t xml:space="preserve">bytes are authority;</w:t>
      </w:r>
      <w:r>
        <w:br/>
      </w:r>
      <w:r>
        <w:rPr>
          <w:rStyle w:val="VerbatimChar"/>
        </w:rPr>
        <w:t xml:space="preserve">display is projection;</w:t>
      </w:r>
      <w:r>
        <w:br/>
      </w:r>
      <w:r>
        <w:rPr>
          <w:rStyle w:val="VerbatimChar"/>
        </w:rPr>
        <w:t xml:space="preserve">bidi is a cost-free view transform;</w:t>
      </w:r>
      <w:r>
        <w:br/>
      </w:r>
      <w:r>
        <w:rPr>
          <w:rStyle w:val="VerbatimChar"/>
        </w:rPr>
        <w:t xml:space="preserve">validation and receipt accept.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opening-statement-the-canonist"/>
    <w:p>
      <w:pPr>
        <w:pStyle w:val="Heading1"/>
      </w:pPr>
      <w:r>
        <w:t xml:space="preserve">1. Opening Statement: The Canonist</w:t>
      </w:r>
    </w:p>
    <w:p>
      <w:pPr>
        <w:pStyle w:val="FirstParagraph"/>
      </w:pPr>
      <w:r>
        <w:rPr>
          <w:b/>
          <w:bCs/>
        </w:rPr>
        <w:t xml:space="preserve">Canonist:</w:t>
      </w:r>
      <w:r>
        <w:br/>
      </w:r>
      <w:r>
        <w:t xml:space="preserve">The canonical form is:</w:t>
      </w:r>
    </w:p>
    <w:p>
      <w:pPr>
        <w:pStyle w:val="SourceCode"/>
      </w:pPr>
      <w:r>
        <w:rPr>
          <w:rStyle w:val="VerbatimChar"/>
        </w:rPr>
        <w:t xml:space="preserve">omi---imo</w:t>
      </w:r>
    </w:p>
    <w:p>
      <w:pPr>
        <w:pStyle w:val="FirstParagraph"/>
      </w:pPr>
      <w:r>
        <w:t xml:space="preserve">Expanded:</w:t>
      </w:r>
    </w:p>
    <w:p>
      <w:pPr>
        <w:pStyle w:val="SourceCode"/>
      </w:pPr>
      <w:r>
        <w:rPr>
          <w:rStyle w:val="VerbatimChar"/>
        </w:rPr>
        <w:t xml:space="preserve">o---o/---/?---?@---@</w:t>
      </w:r>
    </w:p>
    <w:p>
      <w:pPr>
        <w:pStyle w:val="FirstParagraph"/>
      </w:pPr>
      <w:r>
        <w:t xml:space="preserve">Machine-expanded:</w:t>
      </w:r>
    </w:p>
    <w:p>
      <w:pPr>
        <w:pStyle w:val="SourceCode"/>
      </w:pPr>
      <w:r>
        <w:rPr>
          <w:rStyle w:val="VerbatimChar"/>
        </w:rPr>
        <w:t xml:space="preserve">o-FS-GS-RS-US/FS/GS/RS/US?REGISTER?STACK@CAR@CDR</w:t>
      </w:r>
    </w:p>
    <w:p>
      <w:pPr>
        <w:pStyle w:val="FirstParagraph"/>
      </w:pPr>
      <w:r>
        <w:t xml:space="preserve">This is not an after-the-fact interpretation. The newer OMI pre-language authority document explicitly names</w:t>
      </w:r>
      <w:r>
        <w:t xml:space="preserve"> </w:t>
      </w:r>
      <w:r>
        <w:rPr>
          <w:rStyle w:val="VerbatimChar"/>
        </w:rPr>
        <w:t xml:space="preserve">omi---imo</w:t>
      </w:r>
      <w:r>
        <w:t xml:space="preserve"> </w:t>
      </w:r>
      <w:r>
        <w:t xml:space="preserve">as the canonical frame and</w:t>
      </w:r>
      <w:r>
        <w:t xml:space="preserve"> </w:t>
      </w:r>
      <w:r>
        <w:rPr>
          <w:rStyle w:val="VerbatimChar"/>
        </w:rPr>
        <w:t xml:space="preserve">o---o/---/?---?@---@</w:t>
      </w:r>
      <w:r>
        <w:t xml:space="preserve"> </w:t>
      </w:r>
      <w:r>
        <w:t xml:space="preserve">as the expanded relation form. It further defines the compact machine-readable ruler form as:</w:t>
      </w:r>
    </w:p>
    <w:p>
      <w:pPr>
        <w:pStyle w:val="SourceCode"/>
      </w:pPr>
      <w:r>
        <w:rPr>
          <w:rStyle w:val="VerbatimChar"/>
        </w:rPr>
        <w:t xml:space="preserve">o-S0-S1-S2-S3/S4/S5/S6/S7?REGISTER?STACK@CAR@CDR</w:t>
      </w:r>
    </w:p>
    <w:p>
      <w:pPr>
        <w:pStyle w:val="FirstParagraph"/>
      </w:pPr>
      <w:r>
        <w:t xml:space="preserve">with semantic expansion into FS/GS/RS/US and REGISTER/STACK/CAR/CDR.</w:t>
      </w:r>
    </w:p>
    <w:p>
      <w:pPr>
        <w:pStyle w:val="BodyText"/>
      </w:pPr>
      <w:r>
        <w:t xml:space="preserve">The notation is canonical because it satisfies four constraints at once:</w:t>
      </w:r>
    </w:p>
    <w:p>
      <w:pPr>
        <w:pStyle w:val="Compact"/>
        <w:numPr>
          <w:ilvl w:val="0"/>
          <w:numId w:val="1001"/>
        </w:numPr>
      </w:pPr>
      <w:r>
        <w:t xml:space="preserve">It is ASCII-compatible.</w:t>
      </w:r>
    </w:p>
    <w:p>
      <w:pPr>
        <w:pStyle w:val="Compact"/>
        <w:numPr>
          <w:ilvl w:val="0"/>
          <w:numId w:val="1001"/>
        </w:numPr>
      </w:pPr>
      <w:r>
        <w:t xml:space="preserve">It is URI-compatible.</w:t>
      </w:r>
    </w:p>
    <w:p>
      <w:pPr>
        <w:pStyle w:val="Compact"/>
        <w:numPr>
          <w:ilvl w:val="0"/>
          <w:numId w:val="1001"/>
        </w:numPr>
      </w:pPr>
      <w:r>
        <w:t xml:space="preserve">It is structurally aligned with FS/GS/RS/US.</w:t>
      </w:r>
    </w:p>
    <w:p>
      <w:pPr>
        <w:pStyle w:val="Compact"/>
        <w:numPr>
          <w:ilvl w:val="0"/>
          <w:numId w:val="1001"/>
        </w:numPr>
      </w:pPr>
      <w:r>
        <w:t xml:space="preserve">It can be rendered left-to-right or right-to-left without changing its byte authority.</w:t>
      </w:r>
    </w:p>
    <w:p>
      <w:pPr>
        <w:pStyle w:val="FirstParagraph"/>
      </w:pPr>
      <w:r>
        <w:t xml:space="preserve">The notation is not merely:</w:t>
      </w:r>
    </w:p>
    <w:p>
      <w:pPr>
        <w:pStyle w:val="SourceCode"/>
      </w:pPr>
      <w:r>
        <w:rPr>
          <w:rStyle w:val="VerbatimChar"/>
        </w:rPr>
        <w:t xml:space="preserve">a string</w:t>
      </w:r>
    </w:p>
    <w:p>
      <w:pPr>
        <w:pStyle w:val="FirstParagraph"/>
      </w:pPr>
      <w:r>
        <w:t xml:space="preserve">It is:</w:t>
      </w:r>
    </w:p>
    <w:p>
      <w:pPr>
        <w:pStyle w:val="SourceCode"/>
      </w:pPr>
      <w:r>
        <w:rPr>
          <w:rStyle w:val="VerbatimChar"/>
        </w:rPr>
        <w:t xml:space="preserve">a printable memory pointer surface</w:t>
      </w:r>
    </w:p>
    <w:p>
      <w:pPr>
        <w:pStyle w:val="FirstParagraph"/>
      </w:pPr>
      <w:r>
        <w:t xml:space="preserve">The source document says this directly: the frame is not just text; it is a memory pointer surface.</w:t>
      </w:r>
    </w:p>
    <w:p>
      <w:r>
        <w:pict>
          <v:rect style="width:0;height:1.5pt" o:hralign="center" o:hrstd="t" o:hr="t"/>
        </w:pict>
      </w:r>
    </w:p>
    <w:bookmarkEnd w:id="23"/>
    <w:bookmarkStart w:id="24" w:name="the-skeptic-objects"/>
    <w:p>
      <w:pPr>
        <w:pStyle w:val="Heading1"/>
      </w:pPr>
      <w:r>
        <w:t xml:space="preserve">2. The Skeptic Objects</w:t>
      </w:r>
    </w:p>
    <w:p>
      <w:pPr>
        <w:pStyle w:val="FirstParagraph"/>
      </w:pPr>
      <w:r>
        <w:rPr>
          <w:b/>
          <w:bCs/>
        </w:rPr>
        <w:t xml:space="preserve">Skeptic:</w:t>
      </w:r>
      <w:r>
        <w:br/>
      </w:r>
      <w:r>
        <w:t xml:space="preserve">But why should</w:t>
      </w:r>
      <w:r>
        <w:t xml:space="preserve"> </w:t>
      </w:r>
      <w:r>
        <w:rPr>
          <w:rStyle w:val="VerbatimChar"/>
        </w:rPr>
        <w:t xml:space="preserve">omi---imo</w:t>
      </w:r>
      <w:r>
        <w:t xml:space="preserve"> </w:t>
      </w:r>
      <w:r>
        <w:t xml:space="preserve">be canonical? It looks like a slogan. Why not use JSON, XML, URI syntax, S-expressions, or raw bytes?</w:t>
      </w:r>
    </w:p>
    <w:p>
      <w:pPr>
        <w:pStyle w:val="BodyText"/>
      </w:pPr>
      <w:r>
        <w:rPr>
          <w:b/>
          <w:bCs/>
        </w:rPr>
        <w:t xml:space="preserve">Canonist:</w:t>
      </w:r>
      <w:r>
        <w:br/>
      </w:r>
      <w:r>
        <w:t xml:space="preserve">Because</w:t>
      </w:r>
      <w:r>
        <w:t xml:space="preserve"> </w:t>
      </w:r>
      <w:r>
        <w:rPr>
          <w:rStyle w:val="VerbatimChar"/>
        </w:rPr>
        <w:t xml:space="preserve">omi---imo</w:t>
      </w:r>
      <w:r>
        <w:t xml:space="preserve"> </w:t>
      </w:r>
      <w:r>
        <w:t xml:space="preserve">is the shortest reversible surface that still preserves the directional distinction:</w:t>
      </w:r>
    </w:p>
    <w:p>
      <w:pPr>
        <w:pStyle w:val="SourceCode"/>
      </w:pPr>
      <w:r>
        <w:rPr>
          <w:rStyle w:val="VerbatimChar"/>
        </w:rPr>
        <w:t xml:space="preserve">OMI → IMO</w:t>
      </w:r>
    </w:p>
    <w:p>
      <w:pPr>
        <w:pStyle w:val="FirstParagraph"/>
      </w:pPr>
      <w:r>
        <w:t xml:space="preserve">It names the forward/inverse pair. The expanded surface then exposes the four relation zones:</w:t>
      </w:r>
    </w:p>
    <w:p>
      <w:pPr>
        <w:pStyle w:val="SourceCode"/>
      </w:pPr>
      <w:r>
        <w:rPr>
          <w:rStyle w:val="VerbatimChar"/>
        </w:rPr>
        <w:t xml:space="preserve">o---o      forward OMI scope</w:t>
      </w:r>
      <w:r>
        <w:br/>
      </w:r>
      <w:r>
        <w:rPr>
          <w:rStyle w:val="VerbatimChar"/>
        </w:rPr>
        <w:t xml:space="preserve">/---/      inverse/carrier scope</w:t>
      </w:r>
      <w:r>
        <w:br/>
      </w:r>
      <w:r>
        <w:rPr>
          <w:rStyle w:val="VerbatimChar"/>
        </w:rPr>
        <w:t xml:space="preserve">?---?      register/stack/query field</w:t>
      </w:r>
      <w:r>
        <w:br/>
      </w:r>
      <w:r>
        <w:rPr>
          <w:rStyle w:val="VerbatimChar"/>
        </w:rPr>
        <w:t xml:space="preserve">@---@      CAR/CDR relation pointer field</w:t>
      </w:r>
    </w:p>
    <w:p>
      <w:pPr>
        <w:pStyle w:val="FirstParagraph"/>
      </w:pPr>
      <w:r>
        <w:t xml:space="preserve">This fits the official separator interpretation:</w:t>
      </w:r>
    </w:p>
    <w:p>
      <w:pPr>
        <w:pStyle w:val="SourceCode"/>
      </w:pPr>
      <w:r>
        <w:rPr>
          <w:rStyle w:val="VerbatimChar"/>
        </w:rPr>
        <w:t xml:space="preserve">-  OMI forward scope / citation route</w:t>
      </w:r>
      <w:r>
        <w:br/>
      </w:r>
      <w:r>
        <w:rPr>
          <w:rStyle w:val="VerbatimChar"/>
        </w:rPr>
        <w:t xml:space="preserve">/  IMO inverse scope / carrier route</w:t>
      </w:r>
      <w:r>
        <w:br/>
      </w:r>
      <w:r>
        <w:rPr>
          <w:rStyle w:val="VerbatimChar"/>
        </w:rPr>
        <w:t xml:space="preserve">?  payload, register, stack, mask, or query field</w:t>
      </w:r>
      <w:r>
        <w:br/>
      </w:r>
      <w:r>
        <w:rPr>
          <w:rStyle w:val="VerbatimChar"/>
        </w:rPr>
        <w:t xml:space="preserve">@  CAR/CDR relation pointer</w:t>
      </w:r>
    </w:p>
    <w:p>
      <w:pPr>
        <w:pStyle w:val="FirstParagraph"/>
      </w:pPr>
      <w:r>
        <w:t xml:space="preserve">That separator interpretation is already in the canonical FS/GS/RS/US document.</w:t>
      </w:r>
    </w:p>
    <w:p>
      <w:pPr>
        <w:pStyle w:val="BodyText"/>
      </w:pPr>
      <w:r>
        <w:rPr>
          <w:b/>
          <w:bCs/>
        </w:rPr>
        <w:t xml:space="preserve">Skeptic:</w:t>
      </w:r>
      <w:r>
        <w:br/>
      </w:r>
      <w:r>
        <w:t xml:space="preserve">But isn’t this too much meaning for punctuation?</w:t>
      </w:r>
    </w:p>
    <w:p>
      <w:pPr>
        <w:pStyle w:val="BodyText"/>
      </w:pPr>
      <w:r>
        <w:rPr>
          <w:b/>
          <w:bCs/>
        </w:rPr>
        <w:t xml:space="preserve">Parser Engineer:</w:t>
      </w:r>
      <w:r>
        <w:br/>
      </w:r>
      <w:r>
        <w:t xml:space="preserve">No. URI syntax already does this.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are not arbitrary in URLs either. They are compact separator classes. OMI is doing something similar but with memory topology rather than web-only resource addressing.</w:t>
      </w:r>
    </w:p>
    <w:p>
      <w:pPr>
        <w:pStyle w:val="BodyText"/>
      </w:pPr>
      <w:r>
        <w:t xml:space="preserve">The difference is:</w:t>
      </w:r>
    </w:p>
    <w:p>
      <w:pPr>
        <w:pStyle w:val="SourceCode"/>
      </w:pPr>
      <w:r>
        <w:rPr>
          <w:rStyle w:val="VerbatimChar"/>
        </w:rPr>
        <w:t xml:space="preserve">URI:</w:t>
      </w:r>
      <w:r>
        <w:br/>
      </w:r>
      <w:r>
        <w:rPr>
          <w:rStyle w:val="VerbatimChar"/>
        </w:rPr>
        <w:t xml:space="preserve">    scheme://authority/path?query#fragment</w:t>
      </w:r>
      <w:r>
        <w:br/>
      </w:r>
      <w:r>
        <w:br/>
      </w:r>
      <w:r>
        <w:rPr>
          <w:rStyle w:val="VerbatimChar"/>
        </w:rPr>
        <w:t xml:space="preserve">OMI:</w:t>
      </w:r>
      <w:r>
        <w:br/>
      </w:r>
      <w:r>
        <w:rPr>
          <w:rStyle w:val="VerbatimChar"/>
        </w:rPr>
        <w:t xml:space="preserve">    o-FS-GS-RS-US/FS/GS/RS/US?REGISTER?STACK@CAR@CDR</w:t>
      </w:r>
    </w:p>
    <w:p>
      <w:pPr>
        <w:pStyle w:val="FirstParagraph"/>
      </w:pPr>
      <w:r>
        <w:t xml:space="preserve">A URI identifies a resource path. OMI identifies a scoped memory relation before interpretation, validation, and receipt.</w:t>
      </w:r>
    </w:p>
    <w:p>
      <w:r>
        <w:pict>
          <v:rect style="width:0;height:1.5pt" o:hralign="center" o:hrstd="t" o:hr="t"/>
        </w:pict>
      </w:r>
    </w:p>
    <w:bookmarkEnd w:id="24"/>
    <w:bookmarkStart w:id="25" w:name="X343c86e8196aa5612eec173c4444a6d18eb8e54"/>
    <w:p>
      <w:pPr>
        <w:pStyle w:val="Heading1"/>
      </w:pPr>
      <w:r>
        <w:t xml:space="preserve">3. The Parser Engineer Explains the ASCII Mechanics</w:t>
      </w:r>
    </w:p>
    <w:p>
      <w:pPr>
        <w:pStyle w:val="FirstParagraph"/>
      </w:pPr>
      <w:r>
        <w:rPr>
          <w:b/>
          <w:bCs/>
        </w:rPr>
        <w:t xml:space="preserve">Parser Engineer:</w:t>
      </w:r>
      <w:r>
        <w:br/>
      </w:r>
      <w:r>
        <w:t xml:space="preserve">The strongest mechanical point is the</w:t>
      </w:r>
      <w:r>
        <w:t xml:space="preserve"> </w:t>
      </w:r>
      <w:r>
        <w:rPr>
          <w:rStyle w:val="VerbatimChar"/>
        </w:rPr>
        <w:t xml:space="preserve">0x20</w:t>
      </w:r>
      <w:r>
        <w:t xml:space="preserve"> </w:t>
      </w:r>
      <w:r>
        <w:t xml:space="preserve">case bit.</w:t>
      </w:r>
    </w:p>
    <w:p>
      <w:pPr>
        <w:pStyle w:val="BodyText"/>
      </w:pPr>
      <w:r>
        <w:t xml:space="preserve">ASCII gives:</w:t>
      </w:r>
    </w:p>
    <w:p>
      <w:pPr>
        <w:pStyle w:val="SourceCode"/>
      </w:pPr>
      <w:r>
        <w:rPr>
          <w:rStyle w:val="VerbatimChar"/>
        </w:rPr>
        <w:t xml:space="preserve">'O' = 0x4F</w:t>
      </w:r>
      <w:r>
        <w:br/>
      </w:r>
      <w:r>
        <w:rPr>
          <w:rStyle w:val="VerbatimChar"/>
        </w:rPr>
        <w:t xml:space="preserve">'o' = 0x6F</w:t>
      </w:r>
    </w:p>
    <w:p>
      <w:pPr>
        <w:pStyle w:val="FirstParagraph"/>
      </w:pPr>
      <w:r>
        <w:t xml:space="preserve">The difference is:</w:t>
      </w:r>
    </w:p>
    <w:p>
      <w:pPr>
        <w:pStyle w:val="SourceCode"/>
      </w:pPr>
      <w:r>
        <w:rPr>
          <w:rStyle w:val="VerbatimChar"/>
        </w:rPr>
        <w:t xml:space="preserve">0x6F - 0x4F = 0x20</w:t>
      </w:r>
    </w:p>
    <w:p>
      <w:pPr>
        <w:pStyle w:val="FirstParagraph"/>
      </w:pPr>
      <w:r>
        <w:t xml:space="preserve">So a resolver can compute:</w:t>
      </w:r>
    </w:p>
    <w:p>
      <w:pPr>
        <w:pStyle w:val="SourceCode"/>
      </w:pPr>
      <w:r>
        <w:rPr>
          <w:rStyle w:val="NormalTok"/>
        </w:rPr>
        <w:t xml:space="preserve">chirality_bit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or flip case with:</w:t>
      </w:r>
    </w:p>
    <w:p>
      <w:pPr>
        <w:pStyle w:val="SourceCode"/>
      </w:pPr>
      <w:r>
        <w:rPr>
          <w:rStyle w:val="NormalTok"/>
        </w:rPr>
        <w:t xml:space="preserve">flipped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That gives a cheap carrier-level distinction:</w:t>
      </w:r>
    </w:p>
    <w:p>
      <w:pPr>
        <w:pStyle w:val="SourceCode"/>
      </w:pPr>
      <w:r>
        <w:rPr>
          <w:rStyle w:val="VerbatimChar"/>
        </w:rPr>
        <w:t xml:space="preserve">O = high / closed / resolved / upper / right-facing</w:t>
      </w:r>
      <w:r>
        <w:br/>
      </w:r>
      <w:r>
        <w:rPr>
          <w:rStyle w:val="VerbatimChar"/>
        </w:rPr>
        <w:t xml:space="preserve">o = low / open / unresolved / lower / left-facing</w:t>
      </w:r>
    </w:p>
    <w:p>
      <w:pPr>
        <w:pStyle w:val="FirstParagraph"/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0x20</w:t>
      </w:r>
      <w:r>
        <w:t xml:space="preserve"> </w:t>
      </w:r>
      <w:r>
        <w:t xml:space="preserve">that marks</w:t>
      </w:r>
      <w:r>
        <w:t xml:space="preserve"> </w:t>
      </w:r>
      <w:r>
        <w:rPr>
          <w:rStyle w:val="VerbatimChar"/>
        </w:rPr>
        <w:t xml:space="preserve">SP</w:t>
      </w:r>
      <w:r>
        <w:t xml:space="preserve">, the readable boundary, also toggles ASCII uppercase/lowercase for letters. The FS/GS/RS/US document defines</w:t>
      </w:r>
      <w:r>
        <w:t xml:space="preserve"> </w:t>
      </w:r>
      <w:r>
        <w:rPr>
          <w:rStyle w:val="VerbatimChar"/>
        </w:rPr>
        <w:t xml:space="preserve">0x20 SP</w:t>
      </w:r>
      <w:r>
        <w:t xml:space="preserve"> </w:t>
      </w:r>
      <w:r>
        <w:t xml:space="preserve">as the readable boundary / visible separator.</w:t>
      </w:r>
    </w:p>
    <w:p>
      <w:pPr>
        <w:pStyle w:val="BodyText"/>
      </w:pPr>
      <w:r>
        <w:t xml:space="preserve">Therefore, ASCII itself gives the bridge:</w:t>
      </w:r>
    </w:p>
    <w:p>
      <w:pPr>
        <w:pStyle w:val="SourceCode"/>
      </w:pPr>
      <w:r>
        <w:rPr>
          <w:rStyle w:val="VerbatimChar"/>
        </w:rPr>
        <w:t xml:space="preserve">0x20 = readable boundary</w:t>
      </w:r>
      <w:r>
        <w:br/>
      </w:r>
      <w:r>
        <w:rPr>
          <w:rStyle w:val="VerbatimChar"/>
        </w:rPr>
        <w:t xml:space="preserve">0x20 = case/chirality toggle</w:t>
      </w:r>
    </w:p>
    <w:p>
      <w:pPr>
        <w:pStyle w:val="FirstParagraph"/>
      </w:pPr>
      <w:r>
        <w:t xml:space="preserve">This makes</w:t>
      </w:r>
      <w:r>
        <w:t xml:space="preserve"> </w:t>
      </w:r>
      <w:r>
        <w:rPr>
          <w:rStyle w:val="VerbatimChar"/>
        </w:rPr>
        <w:t xml:space="preserve">O/o</w:t>
      </w:r>
      <w:r>
        <w:t xml:space="preserve"> </w:t>
      </w:r>
      <w:r>
        <w:t xml:space="preserve">useful as ASCII-safe omicron chirality markers.</w:t>
      </w:r>
    </w:p>
    <w:p>
      <w:r>
        <w:pict>
          <v:rect style="width:0;height:1.5pt" o:hralign="center" o:hrstd="t" o:hr="t"/>
        </w:pict>
      </w:r>
    </w:p>
    <w:bookmarkEnd w:id="25"/>
    <w:bookmarkStart w:id="26" w:name="the-skeptic-pushes-back-on-hyphens"/>
    <w:p>
      <w:pPr>
        <w:pStyle w:val="Heading1"/>
      </w:pPr>
      <w:r>
        <w:t xml:space="preserve">4. The Skeptic Pushes Back on Hyphens</w:t>
      </w:r>
    </w:p>
    <w:p>
      <w:pPr>
        <w:pStyle w:val="FirstParagraph"/>
      </w:pPr>
      <w:r>
        <w:rPr>
          <w:b/>
          <w:bCs/>
        </w:rPr>
        <w:t xml:space="preserve">Skeptic:</w:t>
      </w:r>
      <w:r>
        <w:br/>
      </w:r>
      <w:r>
        <w:t xml:space="preserve">But the user says the hyphens represent</w:t>
      </w:r>
      <w:r>
        <w:t xml:space="preserve"> </w:t>
      </w:r>
      <w:r>
        <w:rPr>
          <w:rStyle w:val="VerbatimChar"/>
        </w:rPr>
        <w:t xml:space="preserve">chirality_bit = byte &amp; 0x20</w:t>
      </w:r>
      <w:r>
        <w:t xml:space="preserve">. Hyphen is</w:t>
      </w:r>
      <w:r>
        <w:t xml:space="preserve"> </w:t>
      </w:r>
      <w:r>
        <w:rPr>
          <w:rStyle w:val="VerbatimChar"/>
        </w:rPr>
        <w:t xml:space="preserve">0x2D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0x20</w:t>
      </w:r>
      <w:r>
        <w:t xml:space="preserve">. Isn’t that a mismatch?</w:t>
      </w:r>
    </w:p>
    <w:p>
      <w:pPr>
        <w:pStyle w:val="BodyText"/>
      </w:pPr>
      <w:r>
        <w:rPr>
          <w:b/>
          <w:bCs/>
        </w:rPr>
        <w:t xml:space="preserve">Parser Engineer:</w:t>
      </w:r>
      <w:r>
        <w:br/>
      </w:r>
      <w:r>
        <w:t xml:space="preserve">Literal byte-for-byte, yes: hyphen is not the</w:t>
      </w:r>
      <w:r>
        <w:t xml:space="preserve"> </w:t>
      </w:r>
      <w:r>
        <w:rPr>
          <w:rStyle w:val="VerbatimChar"/>
        </w:rPr>
        <w:t xml:space="preserve">0x20</w:t>
      </w:r>
      <w:r>
        <w:t xml:space="preserve"> </w:t>
      </w:r>
      <w:r>
        <w:t xml:space="preserve">bit. But structurally, the hyphen is the URL-safe printable</w:t>
      </w:r>
      <w:r>
        <w:t xml:space="preserve"> </w:t>
      </w:r>
      <w:r>
        <w:rPr>
          <w:b/>
          <w:bCs/>
        </w:rPr>
        <w:t xml:space="preserve">route interval</w:t>
      </w:r>
      <w:r>
        <w:t xml:space="preserve"> </w:t>
      </w:r>
      <w:r>
        <w:t xml:space="preserve">that becomes available after</w:t>
      </w:r>
      <w:r>
        <w:t xml:space="preserve"> </w:t>
      </w:r>
      <w:r>
        <w:rPr>
          <w:rStyle w:val="VerbatimChar"/>
        </w:rPr>
        <w:t xml:space="preserve">SP</w:t>
      </w:r>
      <w:r>
        <w:t xml:space="preserve">.</w:t>
      </w:r>
    </w:p>
    <w:p>
      <w:pPr>
        <w:pStyle w:val="BodyText"/>
      </w:pPr>
      <w:r>
        <w:t xml:space="preserve">The better distinction is:</w:t>
      </w:r>
    </w:p>
    <w:p>
      <w:pPr>
        <w:pStyle w:val="SourceCode"/>
      </w:pPr>
      <w:r>
        <w:rPr>
          <w:rStyle w:val="VerbatimChar"/>
        </w:rPr>
        <w:t xml:space="preserve">O/o</w:t>
      </w:r>
      <w:r>
        <w:br/>
      </w:r>
      <w:r>
        <w:rPr>
          <w:rStyle w:val="VerbatimChar"/>
        </w:rPr>
        <w:t xml:space="preserve">    carries the ASCII case/chirality bit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    carries the printable stuffed span / route interval</w:t>
      </w:r>
    </w:p>
    <w:p>
      <w:pPr>
        <w:pStyle w:val="FirstParagraph"/>
      </w:pPr>
      <w:r>
        <w:t xml:space="preserve">So the corrected rule is:</w:t>
      </w:r>
    </w:p>
    <w:p>
      <w:pPr>
        <w:pStyle w:val="SourceCode"/>
      </w:pPr>
      <w:r>
        <w:rPr>
          <w:rStyle w:val="VerbatimChar"/>
        </w:rPr>
        <w:t xml:space="preserve">O/o declares chirality.</w:t>
      </w:r>
      <w:r>
        <w:br/>
      </w:r>
      <w:r>
        <w:rPr>
          <w:rStyle w:val="VerbatimChar"/>
        </w:rPr>
        <w:t xml:space="preserve">--- marks the chiral span.</w:t>
      </w:r>
    </w:p>
    <w:p>
      <w:pPr>
        <w:pStyle w:val="FirstParagraph"/>
      </w:pPr>
      <w:r>
        <w:t xml:space="preserve">The hyphen is not the bit itself. It is the visible, URI-compatible rail over which the chirality rule is applied.</w:t>
      </w:r>
    </w:p>
    <w:p>
      <w:pPr>
        <w:pStyle w:val="BodyText"/>
      </w:pPr>
      <w:r>
        <w:t xml:space="preserve">That means these are different layers:</w:t>
      </w:r>
    </w:p>
    <w:p>
      <w:pPr>
        <w:pStyle w:val="SourceCode"/>
      </w:pPr>
      <w:r>
        <w:rPr>
          <w:rStyle w:val="VerbatimChar"/>
        </w:rPr>
        <w:t xml:space="preserve">0x20</w:t>
      </w:r>
      <w:r>
        <w:br/>
      </w:r>
      <w:r>
        <w:rPr>
          <w:rStyle w:val="VerbatimChar"/>
        </w:rPr>
        <w:t xml:space="preserve">    bit-level readable/case transition</w:t>
      </w:r>
      <w:r>
        <w:br/>
      </w:r>
      <w:r>
        <w:br/>
      </w:r>
      <w:r>
        <w:rPr>
          <w:rStyle w:val="VerbatimChar"/>
        </w:rPr>
        <w:t xml:space="preserve">O/o</w:t>
      </w:r>
      <w:r>
        <w:br/>
      </w:r>
      <w:r>
        <w:rPr>
          <w:rStyle w:val="VerbatimChar"/>
        </w:rPr>
        <w:t xml:space="preserve">    endpoint chirality marker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    route-span / stuffed-span carrier</w:t>
      </w:r>
      <w:r>
        <w:br/>
      </w:r>
      <w:r>
        <w:br/>
      </w:r>
      <w:r>
        <w:rPr>
          <w:rStyle w:val="VerbatimChar"/>
        </w:rPr>
        <w:t xml:space="preserve">/ ? @</w:t>
      </w:r>
      <w:r>
        <w:br/>
      </w:r>
      <w:r>
        <w:rPr>
          <w:rStyle w:val="VerbatimChar"/>
        </w:rPr>
        <w:t xml:space="preserve">    region separators</w:t>
      </w:r>
    </w:p>
    <w:p>
      <w:pPr>
        <w:pStyle w:val="FirstParagraph"/>
      </w:pPr>
      <w:r>
        <w:t xml:space="preserve">So the user’s intuition is right if phrased as:</w:t>
      </w:r>
    </w:p>
    <w:p>
      <w:pPr>
        <w:pStyle w:val="SourceCode"/>
      </w:pPr>
      <w:r>
        <w:rPr>
          <w:rStyle w:val="VerbatimChar"/>
        </w:rPr>
        <w:t xml:space="preserve">The hyphen-run is the URL-compatible visible span governed by the 0x20 chirality rule.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The hyphen byte itself is the 0x20 bit.</w:t>
      </w:r>
    </w:p>
    <w:p>
      <w:r>
        <w:pict>
          <v:rect style="width:0;height:1.5pt" o:hralign="center" o:hrstd="t" o:hr="t"/>
        </w:pict>
      </w:r>
    </w:p>
    <w:bookmarkEnd w:id="26"/>
    <w:bookmarkStart w:id="27" w:name="the-cons-logician-enters"/>
    <w:p>
      <w:pPr>
        <w:pStyle w:val="Heading1"/>
      </w:pPr>
      <w:r>
        <w:t xml:space="preserve">5. The Cons Logician Enters</w:t>
      </w:r>
    </w:p>
    <w:p>
      <w:pPr>
        <w:pStyle w:val="FirstParagraph"/>
      </w:pPr>
      <w:r>
        <w:rPr>
          <w:b/>
          <w:bCs/>
        </w:rPr>
        <w:t xml:space="preserve">Cons Logician:</w:t>
      </w:r>
      <w:r>
        <w:br/>
      </w:r>
      <w:r>
        <w:t xml:space="preserve">The nested CONS form is decisive:</w:t>
      </w:r>
    </w:p>
    <w:p>
      <w:pPr>
        <w:pStyle w:val="SourceCode"/>
      </w:pPr>
      <w:r>
        <w:rPr>
          <w:rStyle w:val="NormalTok"/>
        </w:rPr>
        <w:t xml:space="preserve">(omi---imo . (o---o . (/---/ . (?---? . @---@))))</w:t>
      </w:r>
    </w:p>
    <w:p>
      <w:pPr>
        <w:pStyle w:val="FirstParagraph"/>
      </w:pPr>
      <w:r>
        <w:t xml:space="preserve">This says the notation is not only a string. It is a cons spine.</w:t>
      </w:r>
    </w:p>
    <w:p>
      <w:pPr>
        <w:pStyle w:val="BodyText"/>
      </w:pPr>
      <w:r>
        <w:t xml:space="preserve">Read it as:</w:t>
      </w:r>
    </w:p>
    <w:p>
      <w:pPr>
        <w:pStyle w:val="SourceCode"/>
      </w:pPr>
      <w:r>
        <w:rPr>
          <w:rStyle w:val="VerbatimChar"/>
        </w:rPr>
        <w:t xml:space="preserve">head:</w:t>
      </w:r>
      <w:r>
        <w:br/>
      </w:r>
      <w:r>
        <w:rPr>
          <w:rStyle w:val="VerbatimChar"/>
        </w:rPr>
        <w:t xml:space="preserve">    omi---imo</w:t>
      </w:r>
      <w:r>
        <w:br/>
      </w:r>
      <w:r>
        <w:br/>
      </w:r>
      <w:r>
        <w:rPr>
          <w:rStyle w:val="VerbatimChar"/>
        </w:rPr>
        <w:t xml:space="preserve">tail:</w:t>
      </w:r>
      <w:r>
        <w:br/>
      </w:r>
      <w:r>
        <w:rPr>
          <w:rStyle w:val="VerbatimChar"/>
        </w:rPr>
        <w:t xml:space="preserve">    o---o</w:t>
      </w:r>
      <w:r>
        <w:br/>
      </w:r>
      <w:r>
        <w:rPr>
          <w:rStyle w:val="VerbatimChar"/>
        </w:rPr>
        <w:t xml:space="preserve">    /---/</w:t>
      </w:r>
      <w:r>
        <w:br/>
      </w:r>
      <w:r>
        <w:rPr>
          <w:rStyle w:val="VerbatimChar"/>
        </w:rPr>
        <w:t xml:space="preserve">    ?---?</w:t>
      </w:r>
      <w:r>
        <w:br/>
      </w:r>
      <w:r>
        <w:rPr>
          <w:rStyle w:val="VerbatimChar"/>
        </w:rPr>
        <w:t xml:space="preserve">    @---@</w:t>
      </w:r>
    </w:p>
    <w:p>
      <w:pPr>
        <w:pStyle w:val="FirstParagraph"/>
      </w:pPr>
      <w:r>
        <w:t xml:space="preserve">That spine composes the whole route surface:</w:t>
      </w:r>
    </w:p>
    <w:p>
      <w:pPr>
        <w:pStyle w:val="SourceCode"/>
      </w:pPr>
      <w:r>
        <w:rPr>
          <w:rStyle w:val="VerbatimChar"/>
        </w:rPr>
        <w:t xml:space="preserve">canonical frame</w:t>
      </w:r>
      <w:r>
        <w:br/>
      </w:r>
      <w:r>
        <w:rPr>
          <w:rStyle w:val="VerbatimChar"/>
        </w:rPr>
        <w:t xml:space="preserve">    forward scope</w:t>
      </w:r>
      <w:r>
        <w:br/>
      </w:r>
      <w:r>
        <w:rPr>
          <w:rStyle w:val="VerbatimChar"/>
        </w:rPr>
        <w:t xml:space="preserve">        inverse carrier scope</w:t>
      </w:r>
      <w:r>
        <w:br/>
      </w:r>
      <w:r>
        <w:rPr>
          <w:rStyle w:val="VerbatimChar"/>
        </w:rPr>
        <w:t xml:space="preserve">            query/register/witness field</w:t>
      </w:r>
      <w:r>
        <w:br/>
      </w:r>
      <w:r>
        <w:rPr>
          <w:rStyle w:val="VerbatimChar"/>
        </w:rPr>
        <w:t xml:space="preserve">                CAR/CDR relation field</w:t>
      </w:r>
    </w:p>
    <w:p>
      <w:pPr>
        <w:pStyle w:val="FirstParagraph"/>
      </w:pPr>
      <w:r>
        <w:t xml:space="preserve">A CONS form can be traversed left-to-right as construction or right-to-left as deconstruction:</w:t>
      </w:r>
    </w:p>
    <w:p>
      <w:pPr>
        <w:pStyle w:val="SourceCode"/>
      </w:pPr>
      <w:r>
        <w:rPr>
          <w:rStyle w:val="VerbatimChar"/>
        </w:rPr>
        <w:t xml:space="preserve">left-to-right:</w:t>
      </w:r>
      <w:r>
        <w:br/>
      </w:r>
      <w:r>
        <w:rPr>
          <w:rStyle w:val="VerbatimChar"/>
        </w:rPr>
        <w:t xml:space="preserve">    declare → scope → carry → query → relate</w:t>
      </w:r>
      <w:r>
        <w:br/>
      </w:r>
      <w:r>
        <w:br/>
      </w:r>
      <w:r>
        <w:rPr>
          <w:rStyle w:val="VerbatimChar"/>
        </w:rPr>
        <w:t xml:space="preserve">right-to-left:</w:t>
      </w:r>
      <w:r>
        <w:br/>
      </w:r>
      <w:r>
        <w:rPr>
          <w:rStyle w:val="VerbatimChar"/>
        </w:rPr>
        <w:t xml:space="preserve">    relation → query → carrier → scope → declaration</w:t>
      </w:r>
    </w:p>
    <w:p>
      <w:pPr>
        <w:pStyle w:val="FirstParagraph"/>
      </w:pPr>
      <w:r>
        <w:t xml:space="preserve">This matches the user’s phrasing:</w:t>
      </w:r>
    </w:p>
    <w:p>
      <w:pPr>
        <w:pStyle w:val="SourceCode"/>
      </w:pPr>
      <w:r>
        <w:rPr>
          <w:rStyle w:val="VerbatimChar"/>
        </w:rPr>
        <w:t xml:space="preserve">renders down in a cascade from left to right</w:t>
      </w:r>
      <w:r>
        <w:br/>
      </w:r>
      <w:r>
        <w:rPr>
          <w:rStyle w:val="VerbatimChar"/>
        </w:rPr>
        <w:t xml:space="preserve">or up from right to left</w:t>
      </w:r>
    </w:p>
    <w:p>
      <w:pPr>
        <w:pStyle w:val="FirstParagraph"/>
      </w:pPr>
      <w:r>
        <w:t xml:space="preserve">That is exactly how a reversible memory route should behave.</w:t>
      </w:r>
    </w:p>
    <w:p>
      <w:r>
        <w:pict>
          <v:rect style="width:0;height:1.5pt" o:hralign="center" o:hrstd="t" o:hr="t"/>
        </w:pict>
      </w:r>
    </w:p>
    <w:bookmarkEnd w:id="27"/>
    <w:bookmarkStart w:id="28" w:name="the-fsgsrsus-authority-layer"/>
    <w:p>
      <w:pPr>
        <w:pStyle w:val="Heading1"/>
      </w:pPr>
      <w:r>
        <w:t xml:space="preserve">6. The FS/GS/RS/US Authority Layer</w:t>
      </w:r>
    </w:p>
    <w:p>
      <w:pPr>
        <w:pStyle w:val="FirstParagraph"/>
      </w:pPr>
      <w:r>
        <w:rPr>
          <w:b/>
          <w:bCs/>
        </w:rPr>
        <w:t xml:space="preserve">Canonist:</w:t>
      </w:r>
      <w:r>
        <w:br/>
      </w:r>
      <w:r>
        <w:t xml:space="preserve">The newer authority document is critical because it prevents the notation from collapsing into the older LL/MM/NN function-call model.</w:t>
      </w:r>
    </w:p>
    <w:p>
      <w:pPr>
        <w:pStyle w:val="BodyText"/>
      </w:pPr>
      <w:r>
        <w:t xml:space="preserve">The older model was:</w:t>
      </w:r>
    </w:p>
    <w:p>
      <w:pPr>
        <w:pStyle w:val="SourceCode"/>
      </w:pPr>
      <w:r>
        <w:rPr>
          <w:rStyle w:val="VerbatimChar"/>
        </w:rPr>
        <w:t xml:space="preserve">LL/MM/NN</w:t>
      </w:r>
    </w:p>
    <w:p>
      <w:pPr>
        <w:pStyle w:val="FirstParagraph"/>
      </w:pPr>
      <w:r>
        <w:t xml:space="preserve">The newer model is:</w:t>
      </w:r>
    </w:p>
    <w:p>
      <w:pPr>
        <w:pStyle w:val="SourceCode"/>
      </w:pPr>
      <w:r>
        <w:rPr>
          <w:rStyle w:val="VerbatimChar"/>
        </w:rPr>
        <w:t xml:space="preserve">FS/GS/RS/US</w:t>
      </w:r>
    </w:p>
    <w:p>
      <w:pPr>
        <w:pStyle w:val="FirstParagraph"/>
      </w:pPr>
      <w:r>
        <w:t xml:space="preserve">The document states that this is not merely a rename but a change of authority:</w:t>
      </w:r>
    </w:p>
    <w:p>
      <w:pPr>
        <w:pStyle w:val="SourceCode"/>
      </w:pPr>
      <w:r>
        <w:rPr>
          <w:rStyle w:val="VerbatimChar"/>
        </w:rPr>
        <w:t xml:space="preserve">old: arguments first</w:t>
      </w:r>
      <w:r>
        <w:br/>
      </w:r>
      <w:r>
        <w:rPr>
          <w:rStyle w:val="VerbatimChar"/>
        </w:rPr>
        <w:t xml:space="preserve">new: scope topology first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OMI does not begin as a function call.</w:t>
      </w:r>
      <w:r>
        <w:br/>
      </w:r>
      <w:r>
        <w:rPr>
          <w:rStyle w:val="VerbatimChar"/>
        </w:rPr>
        <w:t xml:space="preserve">OMI begins as a scoped memory envelope.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omi---imo</w:t>
      </w:r>
      <w:r>
        <w:t xml:space="preserve"> </w:t>
      </w:r>
      <w:r>
        <w:t xml:space="preserve">must not be explained as</w:t>
      </w:r>
      <w:r>
        <w:t xml:space="preserve"> </w:t>
      </w:r>
      <w:r>
        <w:t xml:space="preserve">“call this function with these arguments.”</w:t>
      </w:r>
      <w:r>
        <w:t xml:space="preserve"> </w:t>
      </w:r>
      <w:r>
        <w:t xml:space="preserve">It should be explained as:</w:t>
      </w:r>
    </w:p>
    <w:p>
      <w:pPr>
        <w:pStyle w:val="SourceCode"/>
      </w:pPr>
      <w:r>
        <w:rPr>
          <w:rStyle w:val="VerbatimChar"/>
        </w:rPr>
        <w:t xml:space="preserve">stage a scoped memory envelope;</w:t>
      </w:r>
      <w:r>
        <w:br/>
      </w:r>
      <w:r>
        <w:rPr>
          <w:rStyle w:val="VerbatimChar"/>
        </w:rPr>
        <w:t xml:space="preserve">then declare relation;</w:t>
      </w:r>
      <w:r>
        <w:br/>
      </w:r>
      <w:r>
        <w:rPr>
          <w:rStyle w:val="VerbatimChar"/>
        </w:rPr>
        <w:t xml:space="preserve">then interpret;</w:t>
      </w:r>
      <w:r>
        <w:br/>
      </w:r>
      <w:r>
        <w:rPr>
          <w:rStyle w:val="VerbatimChar"/>
        </w:rPr>
        <w:t xml:space="preserve">then validate;</w:t>
      </w:r>
      <w:r>
        <w:br/>
      </w:r>
      <w:r>
        <w:rPr>
          <w:rStyle w:val="VerbatimChar"/>
        </w:rPr>
        <w:t xml:space="preserve">then receipt.</w:t>
      </w:r>
    </w:p>
    <w:p>
      <w:pPr>
        <w:pStyle w:val="FirstParagraph"/>
      </w:pPr>
      <w:r>
        <w:t xml:space="preserve">The canonical order in the document is:</w:t>
      </w:r>
    </w:p>
    <w:p>
      <w:pPr>
        <w:pStyle w:val="SourceCode"/>
      </w:pPr>
      <w:r>
        <w:rPr>
          <w:rStyle w:val="VerbatimChar"/>
        </w:rPr>
        <w:t xml:space="preserve">place first</w:t>
      </w:r>
      <w:r>
        <w:br/>
      </w:r>
      <w:r>
        <w:rPr>
          <w:rStyle w:val="VerbatimChar"/>
        </w:rPr>
        <w:t xml:space="preserve">relation second</w:t>
      </w:r>
      <w:r>
        <w:br/>
      </w:r>
      <w:r>
        <w:rPr>
          <w:rStyle w:val="VerbatimChar"/>
        </w:rPr>
        <w:t xml:space="preserve">interpretation third</w:t>
      </w:r>
      <w:r>
        <w:br/>
      </w:r>
      <w:r>
        <w:rPr>
          <w:rStyle w:val="VerbatimChar"/>
        </w:rPr>
        <w:t xml:space="preserve">validation fourth</w:t>
      </w:r>
      <w:r>
        <w:br/>
      </w:r>
      <w:r>
        <w:rPr>
          <w:rStyle w:val="VerbatimChar"/>
        </w:rPr>
        <w:t xml:space="preserve">receipt last</w:t>
      </w:r>
    </w:p>
    <w:p>
      <w:pPr>
        <w:pStyle w:val="FirstParagraph"/>
      </w:pPr>
      <w:r>
        <w:t xml:space="preserve">That is the whole point.</w:t>
      </w:r>
    </w:p>
    <w:p>
      <w:r>
        <w:pict>
          <v:rect style="width:0;height:1.5pt" o:hralign="center" o:hrstd="t" o:hr="t"/>
        </w:pict>
      </w:r>
    </w:p>
    <w:bookmarkEnd w:id="28"/>
    <w:bookmarkStart w:id="29" w:name="the-frame-theorist-256-bits-64-nibbles"/>
    <w:p>
      <w:pPr>
        <w:pStyle w:val="Heading1"/>
      </w:pPr>
      <w:r>
        <w:t xml:space="preserve">7. The Frame Theorist: 256 Bits, 64 Nibbles</w:t>
      </w:r>
    </w:p>
    <w:p>
      <w:pPr>
        <w:pStyle w:val="FirstParagraph"/>
      </w:pPr>
      <w:r>
        <w:rPr>
          <w:b/>
          <w:bCs/>
        </w:rPr>
        <w:t xml:space="preserve">Frame Theorist:</w:t>
      </w:r>
      <w:r>
        <w:br/>
      </w:r>
      <w:r>
        <w:t xml:space="preserve">The canonical frame is explicitly 256 bits:</w:t>
      </w:r>
    </w:p>
    <w:p>
      <w:pPr>
        <w:pStyle w:val="SourceCode"/>
      </w:pPr>
      <w:r>
        <w:rPr>
          <w:rStyle w:val="VerbatimChar"/>
        </w:rPr>
        <w:t xml:space="preserve">OMI-IMO frame:</w:t>
      </w:r>
      <w:r>
        <w:br/>
      </w:r>
      <w:r>
        <w:rPr>
          <w:rStyle w:val="VerbatimChar"/>
        </w:rPr>
        <w:t xml:space="preserve">    256 bits</w:t>
      </w:r>
      <w:r>
        <w:br/>
      </w:r>
      <w:r>
        <w:rPr>
          <w:rStyle w:val="VerbatimChar"/>
        </w:rPr>
        <w:t xml:space="preserve">    32 bytes</w:t>
      </w:r>
      <w:r>
        <w:br/>
      </w:r>
      <w:r>
        <w:rPr>
          <w:rStyle w:val="VerbatimChar"/>
        </w:rPr>
        <w:t xml:space="preserve">    64 nibbles</w:t>
      </w:r>
    </w:p>
    <w:p>
      <w:pPr>
        <w:pStyle w:val="FirstParagraph"/>
      </w:pPr>
      <w:r>
        <w:t xml:space="preserve">It is divided into two halves:</w:t>
      </w:r>
    </w:p>
    <w:p>
      <w:pPr>
        <w:pStyle w:val="SourceCode"/>
      </w:pPr>
      <w:r>
        <w:rPr>
          <w:rStyle w:val="VerbatimChar"/>
        </w:rPr>
        <w:t xml:space="preserve">ruler half:</w:t>
      </w:r>
      <w:r>
        <w:br/>
      </w:r>
      <w:r>
        <w:rPr>
          <w:rStyle w:val="VerbatimChar"/>
        </w:rPr>
        <w:t xml:space="preserve">    128 bits</w:t>
      </w:r>
      <w:r>
        <w:br/>
      </w:r>
      <w:r>
        <w:rPr>
          <w:rStyle w:val="VerbatimChar"/>
        </w:rPr>
        <w:t xml:space="preserve">    S0-S7</w:t>
      </w:r>
      <w:r>
        <w:br/>
      </w:r>
      <w:r>
        <w:rPr>
          <w:rStyle w:val="VerbatimChar"/>
        </w:rPr>
        <w:t xml:space="preserve">    FS-GS-RS-US / FS-GS-RS-US</w:t>
      </w:r>
      <w:r>
        <w:br/>
      </w:r>
      <w:r>
        <w:br/>
      </w:r>
      <w:r>
        <w:rPr>
          <w:rStyle w:val="VerbatimChar"/>
        </w:rPr>
        <w:t xml:space="preserve">payload/pair half:</w:t>
      </w:r>
      <w:r>
        <w:br/>
      </w:r>
      <w:r>
        <w:rPr>
          <w:rStyle w:val="VerbatimChar"/>
        </w:rPr>
        <w:t xml:space="preserve">    128 bits</w:t>
      </w:r>
      <w:r>
        <w:br/>
      </w:r>
      <w:r>
        <w:rPr>
          <w:rStyle w:val="VerbatimChar"/>
        </w:rPr>
        <w:t xml:space="preserve">    REGISTER</w:t>
      </w:r>
      <w:r>
        <w:br/>
      </w:r>
      <w:r>
        <w:rPr>
          <w:rStyle w:val="VerbatimChar"/>
        </w:rPr>
        <w:t xml:space="preserve">    STACK</w:t>
      </w:r>
      <w:r>
        <w:br/>
      </w:r>
      <w:r>
        <w:rPr>
          <w:rStyle w:val="VerbatimChar"/>
        </w:rPr>
        <w:t xml:space="preserve">    CAR</w:t>
      </w:r>
      <w:r>
        <w:br/>
      </w:r>
      <w:r>
        <w:rPr>
          <w:rStyle w:val="VerbatimChar"/>
        </w:rPr>
        <w:t xml:space="preserve">    CDR</w:t>
      </w:r>
    </w:p>
    <w:p>
      <w:pPr>
        <w:pStyle w:val="FirstParagraph"/>
      </w:pPr>
      <w:r>
        <w:t xml:space="preserve">The source states this directly.</w:t>
      </w:r>
    </w:p>
    <w:p>
      <w:pPr>
        <w:pStyle w:val="BodyText"/>
      </w:pPr>
      <w:r>
        <w:t xml:space="preserve">That matters because the visible notation:</w:t>
      </w:r>
    </w:p>
    <w:p>
      <w:pPr>
        <w:pStyle w:val="SourceCode"/>
      </w:pPr>
      <w:r>
        <w:rPr>
          <w:rStyle w:val="VerbatimChar"/>
        </w:rPr>
        <w:t xml:space="preserve">o---o/---/?---?@---@</w:t>
      </w:r>
    </w:p>
    <w:p>
      <w:pPr>
        <w:pStyle w:val="FirstParagraph"/>
      </w:pPr>
      <w:r>
        <w:t xml:space="preserve">is not the binary frame itself. It is the printable scaffold that can round-trip to the binary frame.</w:t>
      </w:r>
    </w:p>
    <w:p>
      <w:pPr>
        <w:pStyle w:val="BodyText"/>
      </w:pPr>
      <w:r>
        <w:t xml:space="preserve">The document also warns that display width is not authority:</w:t>
      </w:r>
    </w:p>
    <w:p>
      <w:pPr>
        <w:pStyle w:val="SourceCode"/>
      </w:pPr>
      <w:r>
        <w:rPr>
          <w:rStyle w:val="VerbatimChar"/>
        </w:rPr>
        <w:t xml:space="preserve">Display width is not authority.</w:t>
      </w:r>
      <w:r>
        <w:br/>
      </w:r>
      <w:r>
        <w:rPr>
          <w:rStyle w:val="VerbatimChar"/>
        </w:rPr>
        <w:t xml:space="preserve">Round-trip binary frame is authority.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canonical binary frame</w:t>
      </w:r>
      <w:r>
        <w:br/>
      </w:r>
      <w:r>
        <w:rPr>
          <w:rStyle w:val="VerbatimChar"/>
        </w:rPr>
        <w:t xml:space="preserve">    authority candidate surface</w:t>
      </w:r>
      <w:r>
        <w:br/>
      </w:r>
      <w:r>
        <w:br/>
      </w:r>
      <w:r>
        <w:rPr>
          <w:rStyle w:val="VerbatimChar"/>
        </w:rPr>
        <w:t xml:space="preserve">visible OMI notation</w:t>
      </w:r>
      <w:r>
        <w:br/>
      </w:r>
      <w:r>
        <w:rPr>
          <w:rStyle w:val="VerbatimChar"/>
        </w:rPr>
        <w:t xml:space="preserve">    printable carrier surface</w:t>
      </w:r>
      <w:r>
        <w:br/>
      </w:r>
      <w:r>
        <w:br/>
      </w:r>
      <w:r>
        <w:rPr>
          <w:rStyle w:val="VerbatimChar"/>
        </w:rPr>
        <w:t xml:space="preserve">Unicode/bidi projection</w:t>
      </w:r>
      <w:r>
        <w:br/>
      </w:r>
      <w:r>
        <w:rPr>
          <w:rStyle w:val="VerbatimChar"/>
        </w:rPr>
        <w:t xml:space="preserve">    display-only rendition</w:t>
      </w:r>
    </w:p>
    <w:p>
      <w:r>
        <w:pict>
          <v:rect style="width:0;height:1.5pt" o:hralign="center" o:hrstd="t" o:hr="t"/>
        </w:pict>
      </w:r>
    </w:p>
    <w:bookmarkEnd w:id="29"/>
    <w:bookmarkStart w:id="30" w:name="X1ed08954f773ca85a34a052ac3c8223dfe0e39d"/>
    <w:p>
      <w:pPr>
        <w:pStyle w:val="Heading1"/>
      </w:pPr>
      <w:r>
        <w:t xml:space="preserve">8. The Web Architect: URI-Compatible, Not URI-Dependent</w:t>
      </w:r>
    </w:p>
    <w:p>
      <w:pPr>
        <w:pStyle w:val="FirstParagraph"/>
      </w:pPr>
      <w:r>
        <w:rPr>
          <w:b/>
          <w:bCs/>
        </w:rPr>
        <w:t xml:space="preserve">Web Architect:</w:t>
      </w:r>
      <w:r>
        <w:br/>
      </w:r>
      <w:r>
        <w:t xml:space="preserve">The form is powerful because it is URI-compatible without being URI-dependent.</w:t>
      </w:r>
    </w:p>
    <w:p>
      <w:pPr>
        <w:pStyle w:val="BodyText"/>
      </w:pPr>
      <w:r>
        <w:t xml:space="preserve">It uses URL-safe separator logic:</w:t>
      </w:r>
    </w:p>
    <w:p>
      <w:pPr>
        <w:pStyle w:val="SourceCode"/>
      </w:pP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?</w:t>
      </w:r>
      <w:r>
        <w:br/>
      </w:r>
      <w:r>
        <w:rPr>
          <w:rStyle w:val="VerbatimChar"/>
        </w:rPr>
        <w:t xml:space="preserve">@</w:t>
      </w:r>
    </w:p>
    <w:p>
      <w:pPr>
        <w:pStyle w:val="FirstParagraph"/>
      </w:pPr>
      <w:r>
        <w:t xml:space="preserve">These characters already have strong web instincts:</w:t>
      </w:r>
    </w:p>
    <w:p>
      <w:pPr>
        <w:pStyle w:val="SourceCode"/>
      </w:pPr>
      <w:r>
        <w:rPr>
          <w:rStyle w:val="VerbatimChar"/>
        </w:rPr>
        <w:t xml:space="preserve">-  segment/range-friendly</w:t>
      </w:r>
      <w:r>
        <w:br/>
      </w:r>
      <w:r>
        <w:rPr>
          <w:rStyle w:val="VerbatimChar"/>
        </w:rPr>
        <w:t xml:space="preserve">/  path separator</w:t>
      </w:r>
      <w:r>
        <w:br/>
      </w:r>
      <w:r>
        <w:rPr>
          <w:rStyle w:val="VerbatimChar"/>
        </w:rPr>
        <w:t xml:space="preserve">?  query separator</w:t>
      </w:r>
      <w:r>
        <w:br/>
      </w:r>
      <w:r>
        <w:rPr>
          <w:rStyle w:val="VerbatimChar"/>
        </w:rPr>
        <w:t xml:space="preserve">@  authority/userinfo/attachment intuition</w:t>
      </w:r>
    </w:p>
    <w:p>
      <w:pPr>
        <w:pStyle w:val="FirstParagraph"/>
      </w:pPr>
      <w:r>
        <w:t xml:space="preserve">But OMI reassigns them inside its own memory topology:</w:t>
      </w:r>
    </w:p>
    <w:p>
      <w:pPr>
        <w:pStyle w:val="SourceCode"/>
      </w:pPr>
      <w:r>
        <w:rPr>
          <w:rStyle w:val="VerbatimChar"/>
        </w:rPr>
        <w:t xml:space="preserve">-  OMI forward scope / citation route</w:t>
      </w:r>
      <w:r>
        <w:br/>
      </w:r>
      <w:r>
        <w:rPr>
          <w:rStyle w:val="VerbatimChar"/>
        </w:rPr>
        <w:t xml:space="preserve">/  IMO inverse scope / carrier route</w:t>
      </w:r>
      <w:r>
        <w:br/>
      </w:r>
      <w:r>
        <w:rPr>
          <w:rStyle w:val="VerbatimChar"/>
        </w:rPr>
        <w:t xml:space="preserve">?  payload, register, stack, mask, or query field</w:t>
      </w:r>
      <w:r>
        <w:br/>
      </w:r>
      <w:r>
        <w:rPr>
          <w:rStyle w:val="VerbatimChar"/>
        </w:rPr>
        <w:t xml:space="preserve">@  CAR/CDR relation pointer</w:t>
      </w:r>
    </w:p>
    <w:p>
      <w:pPr>
        <w:pStyle w:val="FirstParagraph"/>
      </w:pPr>
      <w:r>
        <w:t xml:space="preserve">This lets a web URL or URI become a default port scope later, while preserving OMI’s own internal address structure.</w:t>
      </w:r>
    </w:p>
    <w:p>
      <w:pPr>
        <w:pStyle w:val="BodyText"/>
      </w:pPr>
      <w:r>
        <w:t xml:space="preserve">The rule should be:</w:t>
      </w:r>
    </w:p>
    <w:p>
      <w:pPr>
        <w:pStyle w:val="SourceCode"/>
      </w:pPr>
      <w:r>
        <w:rPr>
          <w:rStyle w:val="VerbatimChar"/>
        </w:rPr>
        <w:t xml:space="preserve">OMI notation is URI-compatible, not URI-subordinate.</w:t>
      </w:r>
    </w:p>
    <w:p>
      <w:pPr>
        <w:pStyle w:val="FirstParagraph"/>
      </w:pPr>
      <w:r>
        <w:t xml:space="preserve">A URL may be carried in an OMI-Port scope, but the URL does not validate the OMI relation.</w:t>
      </w:r>
    </w:p>
    <w:p>
      <w:r>
        <w:pict>
          <v:rect style="width:0;height:1.5pt" o:hralign="center" o:hrstd="t" o:hr="t"/>
        </w:pict>
      </w:r>
    </w:p>
    <w:bookmarkEnd w:id="30"/>
    <w:bookmarkStart w:id="31" w:name="X54e99ad29da4fcf59ef2d04567962fb4f7d036c"/>
    <w:p>
      <w:pPr>
        <w:pStyle w:val="Heading1"/>
      </w:pPr>
      <w:r>
        <w:t xml:space="preserve">9. The Bidi Specialist: Unicode-Bidi as Cost-Free Projection</w:t>
      </w:r>
    </w:p>
    <w:p>
      <w:pPr>
        <w:pStyle w:val="FirstParagraph"/>
      </w:pPr>
      <w:r>
        <w:rPr>
          <w:b/>
          <w:bCs/>
        </w:rPr>
        <w:t xml:space="preserve">Bidi Specialist:</w:t>
      </w:r>
      <w:r>
        <w:br/>
      </w:r>
      <w:r>
        <w:t xml:space="preserve">The</w:t>
      </w:r>
      <w:r>
        <w:t xml:space="preserve"> </w:t>
      </w:r>
      <w:r>
        <w:t xml:space="preserve">“icing on top”</w:t>
      </w:r>
      <w:r>
        <w:t xml:space="preserve"> </w:t>
      </w:r>
      <w:r>
        <w:t xml:space="preserve">is Unicode bidi or CSS bidi projection. This lets the same logical string be displayed left-to-right or right-to-left without changing the underlying canonical byte sequence.</w:t>
      </w:r>
    </w:p>
    <w:p>
      <w:pPr>
        <w:pStyle w:val="BodyText"/>
      </w:pPr>
      <w:r>
        <w:t xml:space="preserve">That is exactly what you want for a reversible notation.</w:t>
      </w:r>
    </w:p>
    <w:p>
      <w:pPr>
        <w:pStyle w:val="BodyText"/>
      </w:pPr>
      <w:r>
        <w:t xml:space="preserve">Logical source order can remain:</w:t>
      </w:r>
    </w:p>
    <w:p>
      <w:pPr>
        <w:pStyle w:val="SourceCode"/>
      </w:pPr>
      <w:r>
        <w:rPr>
          <w:rStyle w:val="VerbatimChar"/>
        </w:rPr>
        <w:t xml:space="preserve">omi---imo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o---o/---/?---?@---@</w:t>
      </w:r>
    </w:p>
    <w:p>
      <w:pPr>
        <w:pStyle w:val="FirstParagraph"/>
      </w:pPr>
      <w:r>
        <w:t xml:space="preserve">while display order may be projected as:</w:t>
      </w:r>
    </w:p>
    <w:p>
      <w:pPr>
        <w:pStyle w:val="SourceCode"/>
      </w:pPr>
      <w:r>
        <w:rPr>
          <w:rStyle w:val="VerbatimChar"/>
        </w:rPr>
        <w:t xml:space="preserve">left-to-right cascade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right-to-left inverse cascade</w:t>
      </w:r>
    </w:p>
    <w:p>
      <w:pPr>
        <w:pStyle w:val="FirstParagraph"/>
      </w:pPr>
      <w:r>
        <w:t xml:space="preserve">The key is that bidi must remain a projection layer.</w:t>
      </w:r>
    </w:p>
    <w:p>
      <w:pPr>
        <w:pStyle w:val="SourceCode"/>
      </w:pPr>
      <w:r>
        <w:rPr>
          <w:rStyle w:val="VerbatimChar"/>
        </w:rPr>
        <w:t xml:space="preserve">bidi may display inversion</w:t>
      </w:r>
      <w:r>
        <w:br/>
      </w:r>
      <w:r>
        <w:rPr>
          <w:rStyle w:val="VerbatimChar"/>
        </w:rPr>
        <w:t xml:space="preserve">bidi may reveal inverse traversal</w:t>
      </w:r>
      <w:r>
        <w:br/>
      </w:r>
      <w:r>
        <w:rPr>
          <w:rStyle w:val="VerbatimChar"/>
        </w:rPr>
        <w:t xml:space="preserve">bidi may assist human inspection</w:t>
      </w:r>
      <w:r>
        <w:br/>
      </w:r>
      <w:r>
        <w:rPr>
          <w:rStyle w:val="VerbatimChar"/>
        </w:rPr>
        <w:t xml:space="preserve">bidi must not change canonical bytes</w:t>
      </w:r>
      <w:r>
        <w:br/>
      </w:r>
      <w:r>
        <w:rPr>
          <w:rStyle w:val="VerbatimChar"/>
        </w:rPr>
        <w:t xml:space="preserve">bidi must not create acceptance</w:t>
      </w:r>
    </w:p>
    <w:p>
      <w:pPr>
        <w:pStyle w:val="FirstParagraph"/>
      </w:pPr>
      <w:r>
        <w:t xml:space="preserve">So yes, it is</w:t>
      </w:r>
      <w:r>
        <w:t xml:space="preserve"> </w:t>
      </w:r>
      <w:r>
        <w:t xml:space="preserve">“cost free”</w:t>
      </w:r>
      <w:r>
        <w:t xml:space="preserve"> </w:t>
      </w:r>
      <w:r>
        <w:t xml:space="preserve">if treated as display. It becomes dangerous only if a renderer’s visual order is mistaken for canonical order.</w:t>
      </w:r>
    </w:p>
    <w:p>
      <w:pPr>
        <w:pStyle w:val="BodyText"/>
      </w:pPr>
      <w:r>
        <w:t xml:space="preserve">The doctrine should say:</w:t>
      </w:r>
    </w:p>
    <w:p>
      <w:pPr>
        <w:pStyle w:val="SourceCode"/>
      </w:pPr>
      <w:r>
        <w:rPr>
          <w:rStyle w:val="VerbatimChar"/>
        </w:rPr>
        <w:t xml:space="preserve">Unicode bidi may project inverse traversal without modifying the canonical OMI byte order.</w:t>
      </w:r>
    </w:p>
    <w:p>
      <w:r>
        <w:pict>
          <v:rect style="width:0;height:1.5pt" o:hralign="center" o:hrstd="t" o:hr="t"/>
        </w:pict>
      </w:r>
    </w:p>
    <w:bookmarkEnd w:id="31"/>
    <w:bookmarkStart w:id="32" w:name="the-security-engineer-objects"/>
    <w:p>
      <w:pPr>
        <w:pStyle w:val="Heading1"/>
      </w:pPr>
      <w:r>
        <w:t xml:space="preserve">10. The Security Engineer Objects</w:t>
      </w:r>
    </w:p>
    <w:p>
      <w:pPr>
        <w:pStyle w:val="FirstParagraph"/>
      </w:pPr>
      <w:r>
        <w:rPr>
          <w:b/>
          <w:bCs/>
        </w:rPr>
        <w:t xml:space="preserve">Security Engineer:</w:t>
      </w:r>
      <w:r>
        <w:br/>
      </w:r>
      <w:r>
        <w:t xml:space="preserve">Bidi is famously dangerous in source code and URLs because visual order can mislead humans. Isn’t this unsafe?</w:t>
      </w:r>
    </w:p>
    <w:p>
      <w:pPr>
        <w:pStyle w:val="BodyText"/>
      </w:pPr>
      <w:r>
        <w:rPr>
          <w:b/>
          <w:bCs/>
        </w:rPr>
        <w:t xml:space="preserve">Bidi Specialist:</w:t>
      </w:r>
      <w:r>
        <w:br/>
      </w:r>
      <w:r>
        <w:t xml:space="preserve">It is unsafe if visual order is authority.</w:t>
      </w:r>
    </w:p>
    <w:p>
      <w:pPr>
        <w:pStyle w:val="BodyText"/>
      </w:pPr>
      <w:r>
        <w:t xml:space="preserve">But OMI’s authority rule already prevents that. The FS/GS/RS/US document says control, scope, relation, closure, and projection are not acceptance; only validation and receipt accept.</w:t>
      </w:r>
    </w:p>
    <w:p>
      <w:pPr>
        <w:pStyle w:val="BodyText"/>
      </w:pPr>
      <w:r>
        <w:t xml:space="preserve">Therefore bidi is safe only under this invariant:</w:t>
      </w:r>
    </w:p>
    <w:p>
      <w:pPr>
        <w:pStyle w:val="SourceCode"/>
      </w:pPr>
      <w:r>
        <w:rPr>
          <w:rStyle w:val="VerbatimChar"/>
        </w:rPr>
        <w:t xml:space="preserve">display order is never authority</w:t>
      </w:r>
      <w:r>
        <w:br/>
      </w:r>
      <w:r>
        <w:rPr>
          <w:rStyle w:val="VerbatimChar"/>
        </w:rPr>
        <w:t xml:space="preserve">round-trip canonical bytes are authority</w:t>
      </w:r>
      <w:r>
        <w:br/>
      </w:r>
      <w:r>
        <w:rPr>
          <w:rStyle w:val="VerbatimChar"/>
        </w:rPr>
        <w:t xml:space="preserve">validation and receipt accept</w:t>
      </w:r>
    </w:p>
    <w:p>
      <w:pPr>
        <w:pStyle w:val="FirstParagraph"/>
      </w:pPr>
      <w:r>
        <w:t xml:space="preserve">In an implementation, the parser should operate on logical byte order, not rendered visual order.</w:t>
      </w:r>
    </w:p>
    <w:p>
      <w:pPr>
        <w:pStyle w:val="BodyText"/>
      </w:pPr>
      <w:r>
        <w:t xml:space="preserve">A debug viewer may show both:</w:t>
      </w:r>
    </w:p>
    <w:p>
      <w:pPr>
        <w:pStyle w:val="SourceCode"/>
      </w:pPr>
      <w:r>
        <w:rPr>
          <w:rStyle w:val="VerbatimChar"/>
        </w:rPr>
        <w:t xml:space="preserve">logical:</w:t>
      </w:r>
      <w:r>
        <w:br/>
      </w:r>
      <w:r>
        <w:rPr>
          <w:rStyle w:val="VerbatimChar"/>
        </w:rPr>
        <w:t xml:space="preserve">    o---o/---/?---?@---@</w:t>
      </w:r>
      <w:r>
        <w:br/>
      </w:r>
      <w:r>
        <w:br/>
      </w:r>
      <w:r>
        <w:rPr>
          <w:rStyle w:val="VerbatimChar"/>
        </w:rPr>
        <w:t xml:space="preserve">projected:</w:t>
      </w:r>
      <w:r>
        <w:br/>
      </w:r>
      <w:r>
        <w:rPr>
          <w:rStyle w:val="VerbatimChar"/>
        </w:rPr>
        <w:t xml:space="preserve">    @---@?---?/---/o---o</w:t>
      </w:r>
    </w:p>
    <w:p>
      <w:pPr>
        <w:pStyle w:val="FirstParagraph"/>
      </w:pPr>
      <w:r>
        <w:t xml:space="preserve">But validation must use logical order.</w:t>
      </w:r>
    </w:p>
    <w:p>
      <w:r>
        <w:pict>
          <v:rect style="width:0;height:1.5pt" o:hralign="center" o:hrstd="t" o:hr="t"/>
        </w:pict>
      </w:r>
    </w:p>
    <w:bookmarkEnd w:id="32"/>
    <w:bookmarkStart w:id="33" w:name="the-gauge-engineer-f-and-the-pre-header"/>
    <w:p>
      <w:pPr>
        <w:pStyle w:val="Heading1"/>
      </w:pPr>
      <w:r>
        <w:t xml:space="preserve">11. The Gauge Engineer: F* and the Pre-Header</w:t>
      </w:r>
    </w:p>
    <w:p>
      <w:pPr>
        <w:pStyle w:val="FirstParagraph"/>
      </w:pPr>
      <w:r>
        <w:rPr>
          <w:b/>
          <w:bCs/>
        </w:rPr>
        <w:t xml:space="preserve">Gauge Engineer:</w:t>
      </w:r>
      <w:r>
        <w:br/>
      </w:r>
      <w:r>
        <w:t xml:space="preserve">The gauge pre-header gives the raw carrier gate:</w:t>
      </w:r>
    </w:p>
    <w:p>
      <w:pPr>
        <w:pStyle w:val="SourceCode"/>
      </w:pPr>
      <w:r>
        <w:rPr>
          <w:rStyle w:val="VerbatimChar"/>
        </w:rPr>
        <w:t xml:space="preserve">G 00 1C 1D 1E 1F 20 G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G ∈ 0xF0..0xFF</w:t>
      </w:r>
    </w:p>
    <w:p>
      <w:pPr>
        <w:pStyle w:val="FirstParagraph"/>
      </w:pPr>
      <w:r>
        <w:t xml:space="preserve">The canonical OMI byte form is:</w:t>
      </w:r>
    </w:p>
    <w:p>
      <w:pPr>
        <w:pStyle w:val="SourceCode"/>
      </w:pPr>
      <w:r>
        <w:rPr>
          <w:rStyle w:val="VerbatimChar"/>
        </w:rPr>
        <w:t xml:space="preserve">FF 00 1C 1D 1E 1F 20 FF</w:t>
      </w:r>
    </w:p>
    <w:p>
      <w:pPr>
        <w:pStyle w:val="FirstParagraph"/>
      </w:pPr>
      <w:r>
        <w:t xml:space="preserve">A related file describes this pre-header as doing four jobs:</w:t>
      </w:r>
    </w:p>
    <w:p>
      <w:pPr>
        <w:pStyle w:val="Compact"/>
        <w:numPr>
          <w:ilvl w:val="0"/>
          <w:numId w:val="1002"/>
        </w:numPr>
      </w:pPr>
      <w:r>
        <w:t xml:space="preserve">fast-failing non-OMI carriers,</w:t>
      </w:r>
    </w:p>
    <w:p>
      <w:pPr>
        <w:pStyle w:val="Compact"/>
        <w:numPr>
          <w:ilvl w:val="0"/>
          <w:numId w:val="1002"/>
        </w:numPr>
      </w:pPr>
      <w:r>
        <w:t xml:space="preserve">selecting gauge dialect or orbit offset,</w:t>
      </w:r>
    </w:p>
    <w:p>
      <w:pPr>
        <w:pStyle w:val="Compact"/>
        <w:numPr>
          <w:ilvl w:val="0"/>
          <w:numId w:val="1002"/>
        </w:numPr>
      </w:pPr>
      <w:r>
        <w:t xml:space="preserve">staging the FS/GS/RS/US control cascade,</w:t>
      </w:r>
    </w:p>
    <w:p>
      <w:pPr>
        <w:pStyle w:val="Compact"/>
        <w:numPr>
          <w:ilvl w:val="0"/>
          <w:numId w:val="1002"/>
        </w:numPr>
      </w:pPr>
      <w:r>
        <w:t xml:space="preserve">marking a binary stream synchronization boundary.</w:t>
      </w:r>
    </w:p>
    <w:p>
      <w:pPr>
        <w:pStyle w:val="FirstParagraph"/>
      </w:pPr>
      <w:r>
        <w:t xml:space="preserve">This is important because the visible notation has a binary counterpart.</w:t>
      </w:r>
    </w:p>
    <w:p>
      <w:pPr>
        <w:pStyle w:val="BodyText"/>
      </w:pPr>
      <w:r>
        <w:t xml:space="preserve">Visible:</w:t>
      </w:r>
    </w:p>
    <w:p>
      <w:pPr>
        <w:pStyle w:val="SourceCode"/>
      </w:pPr>
      <w:r>
        <w:rPr>
          <w:rStyle w:val="VerbatimChar"/>
        </w:rPr>
        <w:t xml:space="preserve">omi---imo</w:t>
      </w:r>
    </w:p>
    <w:p>
      <w:pPr>
        <w:pStyle w:val="FirstParagraph"/>
      </w:pPr>
      <w:r>
        <w:t xml:space="preserve">Binary pre-header:</w:t>
      </w:r>
    </w:p>
    <w:p>
      <w:pPr>
        <w:pStyle w:val="SourceCode"/>
      </w:pPr>
      <w:r>
        <w:rPr>
          <w:rStyle w:val="VerbatimChar"/>
        </w:rPr>
        <w:t xml:space="preserve">FF 00 1C 1D 1E 1F 20 FF</w:t>
      </w:r>
    </w:p>
    <w:p>
      <w:pPr>
        <w:pStyle w:val="FirstParagraph"/>
      </w:pPr>
      <w:r>
        <w:t xml:space="preserve">Semantic staging:</w:t>
      </w:r>
    </w:p>
    <w:p>
      <w:pPr>
        <w:pStyle w:val="SourceCode"/>
      </w:pPr>
      <w:r>
        <w:rPr>
          <w:rStyle w:val="VerbatimChar"/>
        </w:rPr>
        <w:t xml:space="preserve">GAUGE NUL FS GS RS US SP GAUGE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F*</w:t>
      </w:r>
      <w:r>
        <w:t xml:space="preserve"> </w:t>
      </w:r>
      <w:r>
        <w:t xml:space="preserve">family lets the high nibble identify the gauge row while the low nibble selects a dialect, truth operator, or orbit offset. In your Wittgenstein operator dialect, that low nibble can map to one of the 16 truth-function rows.</w:t>
      </w:r>
    </w:p>
    <w:p>
      <w:pPr>
        <w:pStyle w:val="BodyText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F0..FF</w:t>
      </w:r>
    </w:p>
    <w:p>
      <w:pPr>
        <w:pStyle w:val="FirstParagraph"/>
      </w:pPr>
      <w:r>
        <w:t xml:space="preserve">is not an arbitrary byte range. It is a 16-row gauge family.</w:t>
      </w:r>
    </w:p>
    <w:p>
      <w:r>
        <w:pict>
          <v:rect style="width:0;height:1.5pt" o:hralign="center" o:hrstd="t" o:hr="t"/>
        </w:pict>
      </w:r>
    </w:p>
    <w:bookmarkEnd w:id="33"/>
    <w:bookmarkStart w:id="34" w:name="the-historian-what-to-do-with-llket"/>
    <w:p>
      <w:pPr>
        <w:pStyle w:val="Heading1"/>
      </w:pPr>
      <w:r>
        <w:t xml:space="preserve">12. The Historian: What to Do with LL/Ket</w:t>
      </w:r>
    </w:p>
    <w:p>
      <w:pPr>
        <w:pStyle w:val="FirstParagraph"/>
      </w:pPr>
      <w:r>
        <w:rPr>
          <w:b/>
          <w:bCs/>
        </w:rPr>
        <w:t xml:space="preserve">Historian:</w:t>
      </w:r>
      <w:r>
        <w:br/>
      </w:r>
      <w:r>
        <w:t xml:space="preserve">The LL/Ket document is deprecated as authority, but it still contains useful conceptual machinery.</w:t>
      </w:r>
    </w:p>
    <w:p>
      <w:pPr>
        <w:pStyle w:val="BodyText"/>
      </w:pPr>
      <w:r>
        <w:t xml:space="preserve">It says:</w:t>
      </w:r>
    </w:p>
    <w:p>
      <w:pPr>
        <w:pStyle w:val="SourceCode"/>
      </w:pPr>
      <w:r>
        <w:rPr>
          <w:rStyle w:val="VerbatimChar"/>
        </w:rPr>
        <w:t xml:space="preserve">LL scopes.</w:t>
      </w:r>
      <w:r>
        <w:br/>
      </w:r>
      <w:r>
        <w:rPr>
          <w:rStyle w:val="VerbatimChar"/>
        </w:rPr>
        <w:t xml:space="preserve">NN begins.</w:t>
      </w:r>
      <w:r>
        <w:br/>
      </w:r>
      <w:r>
        <w:rPr>
          <w:rStyle w:val="VerbatimChar"/>
        </w:rPr>
        <w:t xml:space="preserve">MM resolves.</w:t>
      </w:r>
      <w:r>
        <w:br/>
      </w:r>
      <w:r>
        <w:rPr>
          <w:rStyle w:val="VerbatimChar"/>
        </w:rPr>
        <w:t xml:space="preserve">Delta proves.</w:t>
      </w:r>
      <w:r>
        <w:br/>
      </w:r>
      <w:r>
        <w:rPr>
          <w:rStyle w:val="VerbatimChar"/>
        </w:rPr>
        <w:t xml:space="preserve">Fano bounds.</w:t>
      </w:r>
      <w:r>
        <w:br/>
      </w:r>
      <w:r>
        <w:rPr>
          <w:rStyle w:val="VerbatimChar"/>
        </w:rPr>
        <w:t xml:space="preserve">Receipt authorizes.</w:t>
      </w:r>
      <w:r>
        <w:br/>
      </w:r>
      <w:r>
        <w:rPr>
          <w:rStyle w:val="VerbatimChar"/>
        </w:rPr>
        <w:t xml:space="preserve">Rule block materializes.</w:t>
      </w:r>
      <w:r>
        <w:br/>
      </w:r>
      <w:r>
        <w:rPr>
          <w:rStyle w:val="VerbatimChar"/>
        </w:rPr>
        <w:t xml:space="preserve">Projection displays.</w:t>
      </w:r>
    </w:p>
    <w:p>
      <w:pPr>
        <w:pStyle w:val="FirstParagraph"/>
      </w:pPr>
      <w:r>
        <w:t xml:space="preserve">It also defines a high/low nibble split:</w:t>
      </w:r>
    </w:p>
    <w:p>
      <w:pPr>
        <w:pStyle w:val="SourceCode"/>
      </w:pPr>
      <w:r>
        <w:rPr>
          <w:rStyle w:val="VerbatimChar"/>
        </w:rPr>
        <w:t xml:space="preserve">A = high nibble = context / lens family / carry-forward scope</w:t>
      </w:r>
      <w:r>
        <w:br/>
      </w:r>
      <w:r>
        <w:rPr>
          <w:rStyle w:val="VerbatimChar"/>
        </w:rPr>
        <w:t xml:space="preserve">B = low nibble  = execution slot selector</w:t>
      </w:r>
    </w:p>
    <w:p>
      <w:pPr>
        <w:pStyle w:val="FirstParagraph"/>
      </w:pPr>
      <w:r>
        <w:t xml:space="preserve">and computes:</w:t>
      </w:r>
    </w:p>
    <w:p>
      <w:pPr>
        <w:pStyle w:val="SourceCode"/>
      </w:pPr>
      <w:r>
        <w:rPr>
          <w:rStyle w:val="VerbatimChar"/>
        </w:rPr>
        <w:t xml:space="preserve">slot_index = LL &amp; 0x0F</w:t>
      </w:r>
      <w:r>
        <w:br/>
      </w:r>
      <w:r>
        <w:rPr>
          <w:rStyle w:val="VerbatimChar"/>
        </w:rPr>
        <w:t xml:space="preserve">rule_slot  = 0xE0 + slot_index</w:t>
      </w:r>
      <w:r>
        <w:br/>
      </w:r>
      <w:r>
        <w:rPr>
          <w:rStyle w:val="VerbatimChar"/>
        </w:rPr>
        <w:t xml:space="preserve">context    = (LL &gt;&gt; 4) &amp; 0x0F</w:t>
      </w:r>
    </w:p>
    <w:p>
      <w:pPr>
        <w:pStyle w:val="FirstParagraph"/>
      </w:pPr>
      <w:r>
        <w:t xml:space="preserve">That structure is still useful as a migration analogy:</w:t>
      </w:r>
    </w:p>
    <w:p>
      <w:pPr>
        <w:pStyle w:val="SourceCode"/>
      </w:pPr>
      <w:r>
        <w:rPr>
          <w:rStyle w:val="VerbatimChar"/>
        </w:rPr>
        <w:t xml:space="preserve">high nibble carries</w:t>
      </w:r>
      <w:r>
        <w:br/>
      </w:r>
      <w:r>
        <w:rPr>
          <w:rStyle w:val="VerbatimChar"/>
        </w:rPr>
        <w:t xml:space="preserve">low nibble selects</w:t>
      </w:r>
    </w:p>
    <w:p>
      <w:pPr>
        <w:pStyle w:val="FirstParagraph"/>
      </w:pPr>
      <w:r>
        <w:t xml:space="preserve">But it should no longer be the canonical authority frame. The newer document says LL/MM/NN should be treated as deprecated aliases for an incomplete argument-frame model, and that FS/GS/RS/US replaces them as the pre-language memory pointer cascade.</w:t>
      </w:r>
    </w:p>
    <w:p>
      <w:pPr>
        <w:pStyle w:val="BodyText"/>
      </w:pPr>
      <w:r>
        <w:t xml:space="preserve">So the migration is:</w:t>
      </w:r>
    </w:p>
    <w:p>
      <w:pPr>
        <w:pStyle w:val="SourceCode"/>
      </w:pPr>
      <w:r>
        <w:rPr>
          <w:rStyle w:val="VerbatimChar"/>
        </w:rPr>
        <w:t xml:space="preserve">old LL/Ket:</w:t>
      </w:r>
      <w:r>
        <w:br/>
      </w:r>
      <w:r>
        <w:rPr>
          <w:rStyle w:val="VerbatimChar"/>
        </w:rPr>
        <w:t xml:space="preserve">    scope selector for accepted transition</w:t>
      </w:r>
      <w:r>
        <w:br/>
      </w:r>
      <w:r>
        <w:br/>
      </w:r>
      <w:r>
        <w:rPr>
          <w:rStyle w:val="VerbatimChar"/>
        </w:rPr>
        <w:t xml:space="preserve">new FS/GS/RS/US:</w:t>
      </w:r>
      <w:r>
        <w:br/>
      </w:r>
      <w:r>
        <w:rPr>
          <w:rStyle w:val="VerbatimChar"/>
        </w:rPr>
        <w:t xml:space="preserve">    topological memory pointer before interpretation</w:t>
      </w:r>
    </w:p>
    <w:p>
      <w:pPr>
        <w:pStyle w:val="FirstParagraph"/>
      </w:pPr>
      <w:r>
        <w:t xml:space="preserve">The old materializer manifold can remain historical or registry-level explanation:</w:t>
      </w:r>
    </w:p>
    <w:p>
      <w:pPr>
        <w:pStyle w:val="SourceCode"/>
      </w:pPr>
      <w:r>
        <w:rPr>
          <w:rStyle w:val="VerbatimChar"/>
        </w:rPr>
        <w:t xml:space="preserve">0xE0-0xEB pack</w:t>
      </w:r>
      <w:r>
        <w:br/>
      </w:r>
      <w:r>
        <w:rPr>
          <w:rStyle w:val="VerbatimChar"/>
        </w:rPr>
        <w:t xml:space="preserve">0xEC-0xEF hold</w:t>
      </w:r>
    </w:p>
    <w:p>
      <w:pPr>
        <w:pStyle w:val="FirstParagraph"/>
      </w:pPr>
      <w:r>
        <w:t xml:space="preserve">but not root authority.</w:t>
      </w:r>
    </w:p>
    <w:p>
      <w:r>
        <w:pict>
          <v:rect style="width:0;height:1.5pt" o:hralign="center" o:hrstd="t" o:hr="t"/>
        </w:pict>
      </w:r>
    </w:p>
    <w:bookmarkEnd w:id="34"/>
    <w:bookmarkStart w:id="35" w:name="X4ef3f7855cc8c3e2ce9f39670f9fd4e647e0709"/>
    <w:p>
      <w:pPr>
        <w:pStyle w:val="Heading1"/>
      </w:pPr>
      <w:r>
        <w:t xml:space="preserve">13. The Geometer: Why the Notation Feels Like a Fold</w:t>
      </w:r>
    </w:p>
    <w:p>
      <w:pPr>
        <w:pStyle w:val="FirstParagraph"/>
      </w:pPr>
      <w:r>
        <w:rPr>
          <w:b/>
          <w:bCs/>
        </w:rPr>
        <w:t xml:space="preserve">Geometer:</w:t>
      </w:r>
      <w:r>
        <w:br/>
      </w:r>
      <w:r>
        <w:t xml:space="preserve">The notation is a fold/unfold surface.</w:t>
      </w:r>
    </w:p>
    <w:p>
      <w:pPr>
        <w:pStyle w:val="BodyText"/>
      </w:pPr>
      <w:r>
        <w:t xml:space="preserve">The compact form:</w:t>
      </w:r>
    </w:p>
    <w:p>
      <w:pPr>
        <w:pStyle w:val="SourceCode"/>
      </w:pPr>
      <w:r>
        <w:rPr>
          <w:rStyle w:val="VerbatimChar"/>
        </w:rPr>
        <w:t xml:space="preserve">omi---imo</w:t>
      </w:r>
    </w:p>
    <w:p>
      <w:pPr>
        <w:pStyle w:val="FirstParagraph"/>
      </w:pPr>
      <w:r>
        <w:t xml:space="preserve">is like the folded object.</w:t>
      </w:r>
    </w:p>
    <w:p>
      <w:pPr>
        <w:pStyle w:val="BodyText"/>
      </w:pPr>
      <w:r>
        <w:t xml:space="preserve">The expanded form:</w:t>
      </w:r>
    </w:p>
    <w:p>
      <w:pPr>
        <w:pStyle w:val="SourceCode"/>
      </w:pPr>
      <w:r>
        <w:rPr>
          <w:rStyle w:val="VerbatimChar"/>
        </w:rPr>
        <w:t xml:space="preserve">o---o/---/?---?@---@</w:t>
      </w:r>
    </w:p>
    <w:p>
      <w:pPr>
        <w:pStyle w:val="FirstParagraph"/>
      </w:pPr>
      <w:r>
        <w:t xml:space="preserve">is like an unfolding into readable regions.</w:t>
      </w:r>
    </w:p>
    <w:p>
      <w:pPr>
        <w:pStyle w:val="BodyText"/>
      </w:pPr>
      <w:r>
        <w:t xml:space="preserve">The machine form:</w:t>
      </w:r>
    </w:p>
    <w:p>
      <w:pPr>
        <w:pStyle w:val="SourceCode"/>
      </w:pPr>
      <w:r>
        <w:rPr>
          <w:rStyle w:val="VerbatimChar"/>
        </w:rPr>
        <w:t xml:space="preserve">o-FS-GS-RS-US/FS/GS/RS/US?REGISTER?STACK@CAR@CDR</w:t>
      </w:r>
    </w:p>
    <w:p>
      <w:pPr>
        <w:pStyle w:val="FirstParagraph"/>
      </w:pPr>
      <w:r>
        <w:t xml:space="preserve">is the unfolded memory pointer surface.</w:t>
      </w:r>
    </w:p>
    <w:p>
      <w:pPr>
        <w:pStyle w:val="BodyText"/>
      </w:pPr>
      <w:r>
        <w:t xml:space="preserve">This resembles the geometric idea of a higher-dimensional object unfolded into a lower-dimensional readable surface. The user’s reference to tesseract/octacube/Dalí-cross style unfolding is not needed as literal proof, but it is an excellent metaphor:</w:t>
      </w:r>
    </w:p>
    <w:p>
      <w:pPr>
        <w:pStyle w:val="SourceCode"/>
      </w:pPr>
      <w:r>
        <w:rPr>
          <w:rStyle w:val="VerbatimChar"/>
        </w:rPr>
        <w:t xml:space="preserve">higher-dimensional relation</w:t>
      </w:r>
      <w:r>
        <w:br/>
      </w:r>
      <w:r>
        <w:rPr>
          <w:rStyle w:val="VerbatimChar"/>
        </w:rPr>
        <w:t xml:space="preserve">    folded into compact notation</w:t>
      </w:r>
      <w:r>
        <w:br/>
      </w:r>
      <w:r>
        <w:br/>
      </w:r>
      <w:r>
        <w:rPr>
          <w:rStyle w:val="VerbatimChar"/>
        </w:rPr>
        <w:t xml:space="preserve">compact notation</w:t>
      </w:r>
      <w:r>
        <w:br/>
      </w:r>
      <w:r>
        <w:rPr>
          <w:rStyle w:val="VerbatimChar"/>
        </w:rPr>
        <w:t xml:space="preserve">    unfolded into separator regions</w:t>
      </w:r>
      <w:r>
        <w:br/>
      </w:r>
      <w:r>
        <w:br/>
      </w:r>
      <w:r>
        <w:rPr>
          <w:rStyle w:val="VerbatimChar"/>
        </w:rPr>
        <w:t xml:space="preserve">separator regions</w:t>
      </w:r>
      <w:r>
        <w:br/>
      </w:r>
      <w:r>
        <w:rPr>
          <w:rStyle w:val="VerbatimChar"/>
        </w:rPr>
        <w:t xml:space="preserve">    resolved into binary frame fields</w:t>
      </w:r>
    </w:p>
    <w:p>
      <w:pPr>
        <w:pStyle w:val="FirstParagraph"/>
      </w:pPr>
      <w:r>
        <w:t xml:space="preserve">The key is not to overclaim geometry as authority. Geometry explains the projection. The byte frame and validation pipeline define the protocol.</w:t>
      </w:r>
    </w:p>
    <w:p>
      <w:r>
        <w:pict>
          <v:rect style="width:0;height:1.5pt" o:hralign="center" o:hrstd="t" o:hr="t"/>
        </w:pict>
      </w:r>
    </w:p>
    <w:bookmarkEnd w:id="35"/>
    <w:bookmarkStart w:id="36" w:name="Xee4c5e475aa2de46b4ea596360ad00aa42572e7"/>
    <w:p>
      <w:pPr>
        <w:pStyle w:val="Heading1"/>
      </w:pPr>
      <w:r>
        <w:t xml:space="preserve">14. The Port Architect: Why This Belongs in OMI-Port</w:t>
      </w:r>
    </w:p>
    <w:p>
      <w:pPr>
        <w:pStyle w:val="FirstParagraph"/>
      </w:pPr>
      <w:r>
        <w:rPr>
          <w:b/>
          <w:bCs/>
        </w:rPr>
        <w:t xml:space="preserve">Port Architect:</w:t>
      </w:r>
      <w:r>
        <w:br/>
      </w:r>
      <w:r>
        <w:t xml:space="preserve">For</w:t>
      </w:r>
      <w:r>
        <w:t xml:space="preserve"> </w:t>
      </w:r>
      <w:r>
        <w:rPr>
          <w:rStyle w:val="VerbatimChar"/>
        </w:rPr>
        <w:t xml:space="preserve">omi-port</w:t>
      </w:r>
      <w:r>
        <w:t xml:space="preserve">, this notation should become the default dormant route grammar.</w:t>
      </w:r>
    </w:p>
    <w:p>
      <w:pPr>
        <w:pStyle w:val="BodyText"/>
      </w:pPr>
      <w:r>
        <w:t xml:space="preserve">The port layer should not connect. It should declare: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target</w:t>
      </w:r>
      <w:r>
        <w:br/>
      </w: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direction</w:t>
      </w:r>
      <w:r>
        <w:br/>
      </w:r>
      <w:r>
        <w:rPr>
          <w:rStyle w:val="VerbatimChar"/>
        </w:rPr>
        <w:t xml:space="preserve">carrier</w:t>
      </w:r>
      <w:r>
        <w:br/>
      </w:r>
      <w:r>
        <w:rPr>
          <w:rStyle w:val="VerbatimChar"/>
        </w:rPr>
        <w:t xml:space="preserve">effect</w:t>
      </w:r>
      <w:r>
        <w:br/>
      </w:r>
      <w:r>
        <w:rPr>
          <w:rStyle w:val="VerbatimChar"/>
        </w:rPr>
        <w:t xml:space="preserve">state</w:t>
      </w:r>
    </w:p>
    <w:p>
      <w:pPr>
        <w:pStyle w:val="FirstParagraph"/>
      </w:pPr>
      <w:r>
        <w:t xml:space="preserve">The OMI notation provides the base address spine:</w:t>
      </w:r>
    </w:p>
    <w:p>
      <w:pPr>
        <w:pStyle w:val="SourceCode"/>
      </w:pPr>
      <w:r>
        <w:rPr>
          <w:rStyle w:val="VerbatimChar"/>
        </w:rPr>
        <w:t xml:space="preserve">omi---imo</w:t>
      </w:r>
    </w:p>
    <w:p>
      <w:pPr>
        <w:pStyle w:val="FirstParagraph"/>
      </w:pPr>
      <w:r>
        <w:t xml:space="preserve">and the expanded region structure:</w:t>
      </w:r>
    </w:p>
    <w:p>
      <w:pPr>
        <w:pStyle w:val="SourceCode"/>
      </w:pPr>
      <w:r>
        <w:rPr>
          <w:rStyle w:val="VerbatimChar"/>
        </w:rPr>
        <w:t xml:space="preserve">o---o/---/?---?@---@</w:t>
      </w:r>
    </w:p>
    <w:p>
      <w:pPr>
        <w:pStyle w:val="FirstParagraph"/>
      </w:pPr>
      <w:r>
        <w:t xml:space="preserve">A port binding can then be represented as a CONS declaration:</w:t>
      </w:r>
    </w:p>
    <w:p>
      <w:pPr>
        <w:pStyle w:val="SourceCode"/>
      </w:pPr>
      <w:r>
        <w:rPr>
          <w:rStyle w:val="NormalTok"/>
        </w:rPr>
        <w:t xml:space="preserve">(bind . port)</w:t>
      </w:r>
      <w:r>
        <w:br/>
      </w:r>
      <w:r>
        <w:rPr>
          <w:rStyle w:val="NormalTok"/>
        </w:rPr>
        <w:t xml:space="preserve">(source . o---o)</w:t>
      </w:r>
      <w:r>
        <w:br/>
      </w:r>
      <w:r>
        <w:rPr>
          <w:rStyle w:val="NormalTok"/>
        </w:rPr>
        <w:t xml:space="preserve">(target . /---/)</w:t>
      </w:r>
      <w:r>
        <w:br/>
      </w:r>
      <w:r>
        <w:rPr>
          <w:rStyle w:val="NormalTok"/>
        </w:rPr>
        <w:t xml:space="preserve">(witness . ?---?)</w:t>
      </w:r>
      <w:r>
        <w:br/>
      </w:r>
      <w:r>
        <w:rPr>
          <w:rStyle w:val="NormalTok"/>
        </w:rPr>
        <w:t xml:space="preserve">(carrier . @---@)</w:t>
      </w:r>
      <w:r>
        <w:br/>
      </w:r>
      <w:r>
        <w:rPr>
          <w:rStyle w:val="NormalTok"/>
        </w:rPr>
        <w:t xml:space="preserve">(state . dormant)</w:t>
      </w:r>
    </w:p>
    <w:p>
      <w:pPr>
        <w:pStyle w:val="FirstParagraph"/>
      </w:pPr>
      <w:r>
        <w:t xml:space="preserve">or as the full nested spine:</w:t>
      </w:r>
    </w:p>
    <w:p>
      <w:pPr>
        <w:pStyle w:val="SourceCode"/>
      </w:pPr>
      <w:r>
        <w:rPr>
          <w:rStyle w:val="NormalTok"/>
        </w:rPr>
        <w:t xml:space="preserve">(omi---imo . (o---o . (/---/ . (?---? . @---@))))</w:t>
      </w:r>
    </w:p>
    <w:p>
      <w:pPr>
        <w:pStyle w:val="FirstParagraph"/>
      </w:pPr>
      <w:r>
        <w:t xml:space="preserve">This is elegant because it means the port system can compile from readable pair declarations into a typed dormant pathway without opening any real connection.</w:t>
      </w:r>
    </w:p>
    <w:p>
      <w:r>
        <w:pict>
          <v:rect style="width:0;height:1.5pt" o:hralign="center" o:hrstd="t" o:hr="t"/>
        </w:pict>
      </w:r>
    </w:p>
    <w:bookmarkEnd w:id="36"/>
    <w:bookmarkStart w:id="37" w:name="debate-is-the-dot-primitive"/>
    <w:p>
      <w:pPr>
        <w:pStyle w:val="Heading1"/>
      </w:pPr>
      <w:r>
        <w:t xml:space="preserve">15. Debate: Is the Dot Primitive?</w:t>
      </w:r>
    </w:p>
    <w:p>
      <w:pPr>
        <w:pStyle w:val="FirstParagraph"/>
      </w:pPr>
      <w:r>
        <w:rPr>
          <w:b/>
          <w:bCs/>
        </w:rPr>
        <w:t xml:space="preserve">Cons Logician:</w:t>
      </w:r>
      <w:r>
        <w:br/>
      </w:r>
      <w:r>
        <w:t xml:space="preserve">The user wrote:</w:t>
      </w:r>
    </w:p>
    <w:p>
      <w:pPr>
        <w:pStyle w:val="SourceCode"/>
      </w:pPr>
      <w:r>
        <w:rPr>
          <w:rStyle w:val="VerbatimChar"/>
        </w:rPr>
        <w:t xml:space="preserve">omi---imo . o---o/---/?---?@---@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NormalTok"/>
        </w:rPr>
        <w:t xml:space="preserve">(omi---imo . (o---o . (/---/ . (?---? . @---@))))</w:t>
      </w:r>
    </w:p>
    <w:p>
      <w:pPr>
        <w:pStyle w:val="FirstParagraph"/>
      </w:pPr>
      <w:r>
        <w:t xml:space="preserve">Does this mean dot is primitive?</w:t>
      </w:r>
    </w:p>
    <w:p>
      <w:pPr>
        <w:pStyle w:val="BodyText"/>
      </w:pPr>
      <w:r>
        <w:rPr>
          <w:b/>
          <w:bCs/>
        </w:rPr>
        <w:t xml:space="preserve">Canonist:</w:t>
      </w:r>
      <w:r>
        <w:br/>
      </w:r>
      <w:r>
        <w:t xml:space="preserve">No. Dot is earned after</w:t>
      </w:r>
      <w:r>
        <w:t xml:space="preserve"> </w:t>
      </w:r>
      <w:r>
        <w:rPr>
          <w:rStyle w:val="VerbatimChar"/>
        </w:rPr>
        <w:t xml:space="preserve">SP</w:t>
      </w:r>
      <w:r>
        <w:t xml:space="preserve">.</w:t>
      </w:r>
    </w:p>
    <w:p>
      <w:pPr>
        <w:pStyle w:val="BodyText"/>
      </w:pPr>
      <w:r>
        <w:t xml:space="preserve">The FS/GS/RS/US document says</w:t>
      </w:r>
      <w:r>
        <w:t xml:space="preserve"> </w:t>
      </w:r>
      <w:r>
        <w:rPr>
          <w:rStyle w:val="VerbatimChar"/>
        </w:rPr>
        <w:t xml:space="preserve">0x20 SP</w:t>
      </w:r>
      <w:r>
        <w:t xml:space="preserve"> </w:t>
      </w:r>
      <w:r>
        <w:t xml:space="preserve">is the readable boundary / visible separator. OMI-Lisp relations appear after the pre-language envelope resolves scope. The same document states:</w:t>
      </w:r>
    </w:p>
    <w:p>
      <w:pPr>
        <w:pStyle w:val="SourceCode"/>
      </w:pPr>
      <w:r>
        <w:rPr>
          <w:rStyle w:val="VerbatimChar"/>
        </w:rPr>
        <w:t xml:space="preserve">After the pre-language envelope resolves scope, dot notation declares relation.</w:t>
      </w:r>
    </w:p>
    <w:p>
      <w:pPr>
        <w:pStyle w:val="FirstParagraph"/>
      </w:pPr>
      <w:r>
        <w:t xml:space="preserve">and gives canonical dot form:</w:t>
      </w:r>
    </w:p>
    <w:p>
      <w:pPr>
        <w:pStyle w:val="SourceCode"/>
      </w:pPr>
      <w:r>
        <w:rPr>
          <w:rStyle w:val="VerbatimChar"/>
        </w:rPr>
        <w:t xml:space="preserve">(car . cdr)</w:t>
      </w:r>
    </w:p>
    <w:p>
      <w:pPr>
        <w:pStyle w:val="FirstParagraph"/>
      </w:pPr>
      <w:r>
        <w:t xml:space="preserve">So dot is not byte-zero authority. It is a readable relation operator after scope has been staged.</w:t>
      </w:r>
    </w:p>
    <w:p>
      <w:pPr>
        <w:pStyle w:val="BodyText"/>
      </w:pPr>
      <w:r>
        <w:t xml:space="preserve">The correct chain is:</w:t>
      </w:r>
    </w:p>
    <w:p>
      <w:pPr>
        <w:pStyle w:val="SourceCode"/>
      </w:pPr>
      <w:r>
        <w:rPr>
          <w:rStyle w:val="VerbatimChar"/>
        </w:rPr>
        <w:t xml:space="preserve">pre-language scope</w:t>
      </w:r>
      <w:r>
        <w:br/>
      </w:r>
      <w:r>
        <w:rPr>
          <w:rStyle w:val="VerbatimChar"/>
        </w:rPr>
        <w:t xml:space="preserve">→ SP readable boundary</w:t>
      </w:r>
      <w:r>
        <w:br/>
      </w:r>
      <w:r>
        <w:rPr>
          <w:rStyle w:val="VerbatimChar"/>
        </w:rPr>
        <w:t xml:space="preserve">→ dot relation</w:t>
      </w:r>
      <w:r>
        <w:br/>
      </w:r>
      <w:r>
        <w:rPr>
          <w:rStyle w:val="VerbatimChar"/>
        </w:rPr>
        <w:t xml:space="preserve">→ candidate</w:t>
      </w:r>
      <w:r>
        <w:br/>
      </w:r>
      <w:r>
        <w:rPr>
          <w:rStyle w:val="VerbatimChar"/>
        </w:rPr>
        <w:t xml:space="preserve">→ validation</w:t>
      </w:r>
      <w:r>
        <w:br/>
      </w:r>
      <w:r>
        <w:rPr>
          <w:rStyle w:val="VerbatimChar"/>
        </w:rPr>
        <w:t xml:space="preserve">→ receipt</w:t>
      </w:r>
    </w:p>
    <w:p>
      <w:r>
        <w:pict>
          <v:rect style="width:0;height:1.5pt" o:hralign="center" o:hrstd="t" o:hr="t"/>
        </w:pict>
      </w:r>
    </w:p>
    <w:bookmarkEnd w:id="37"/>
    <w:bookmarkStart w:id="38" w:name="debate-does-o---o-equal-o---o"/>
    <w:p>
      <w:pPr>
        <w:pStyle w:val="Heading1"/>
      </w:pPr>
      <w:r>
        <w:t xml:space="preserve">16. Debate: Does</w:t>
      </w:r>
      <w:r>
        <w:t xml:space="preserve"> </w:t>
      </w:r>
      <w:r>
        <w:rPr>
          <w:rStyle w:val="VerbatimChar"/>
        </w:rPr>
        <w:t xml:space="preserve">o---o</w:t>
      </w:r>
      <w:r>
        <w:t xml:space="preserve"> </w:t>
      </w:r>
      <w:r>
        <w:t xml:space="preserve">Equal</w:t>
      </w:r>
      <w:r>
        <w:t xml:space="preserve"> </w:t>
      </w:r>
      <w:r>
        <w:rPr>
          <w:rStyle w:val="VerbatimChar"/>
        </w:rPr>
        <w:t xml:space="preserve">O---o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Parser Engineer:</w:t>
      </w:r>
      <w:r>
        <w:br/>
      </w:r>
      <w:r>
        <w:t xml:space="preserve">No. They are related, but not identical.</w:t>
      </w:r>
    </w:p>
    <w:p>
      <w:pPr>
        <w:pStyle w:val="BodyText"/>
      </w:pPr>
      <w:r>
        <w:t xml:space="preserve">Potential forms:</w:t>
      </w:r>
    </w:p>
    <w:p>
      <w:pPr>
        <w:pStyle w:val="SourceCode"/>
      </w:pPr>
      <w:r>
        <w:rPr>
          <w:rStyle w:val="VerbatimChar"/>
        </w:rPr>
        <w:t xml:space="preserve">o---o</w:t>
      </w:r>
      <w:r>
        <w:br/>
      </w:r>
      <w:r>
        <w:rPr>
          <w:rStyle w:val="VerbatimChar"/>
        </w:rPr>
        <w:t xml:space="preserve">    neutral low-low carrier fallback</w:t>
      </w:r>
      <w:r>
        <w:br/>
      </w:r>
      <w:r>
        <w:br/>
      </w:r>
      <w:r>
        <w:rPr>
          <w:rStyle w:val="VerbatimChar"/>
        </w:rPr>
        <w:t xml:space="preserve">O---O</w:t>
      </w:r>
      <w:r>
        <w:br/>
      </w:r>
      <w:r>
        <w:rPr>
          <w:rStyle w:val="VerbatimChar"/>
        </w:rPr>
        <w:t xml:space="preserve">    sealed high-high carrier fallback</w:t>
      </w:r>
      <w:r>
        <w:br/>
      </w:r>
      <w:r>
        <w:br/>
      </w:r>
      <w:r>
        <w:rPr>
          <w:rStyle w:val="VerbatimChar"/>
        </w:rPr>
        <w:t xml:space="preserve">o---O</w:t>
      </w:r>
      <w:r>
        <w:br/>
      </w:r>
      <w:r>
        <w:rPr>
          <w:rStyle w:val="VerbatimChar"/>
        </w:rPr>
        <w:t xml:space="preserve">    forward chiral frame</w:t>
      </w:r>
      <w:r>
        <w:br/>
      </w:r>
      <w:r>
        <w:br/>
      </w:r>
      <w:r>
        <w:rPr>
          <w:rStyle w:val="VerbatimChar"/>
        </w:rPr>
        <w:t xml:space="preserve">O---o</w:t>
      </w:r>
      <w:r>
        <w:br/>
      </w:r>
      <w:r>
        <w:rPr>
          <w:rStyle w:val="VerbatimChar"/>
        </w:rPr>
        <w:t xml:space="preserve">    inverse chiral frame</w:t>
      </w:r>
    </w:p>
    <w:p>
      <w:pPr>
        <w:pStyle w:val="FirstParagraph"/>
      </w:pPr>
      <w:r>
        <w:t xml:space="preserve">The canonical historical spelling remains:</w:t>
      </w:r>
    </w:p>
    <w:p>
      <w:pPr>
        <w:pStyle w:val="SourceCode"/>
      </w:pPr>
      <w:r>
        <w:rPr>
          <w:rStyle w:val="VerbatimChar"/>
        </w:rPr>
        <w:t xml:space="preserve">o---o</w:t>
      </w:r>
    </w:p>
    <w:p>
      <w:pPr>
        <w:pStyle w:val="FirstParagraph"/>
      </w:pPr>
      <w:r>
        <w:t xml:space="preserve">because it is stable and lowercase-safe.</w:t>
      </w:r>
    </w:p>
    <w:p>
      <w:pPr>
        <w:pStyle w:val="BodyText"/>
      </w:pPr>
      <w:r>
        <w:t xml:space="preserve">But the chiral extension can allow:</w:t>
      </w:r>
    </w:p>
    <w:p>
      <w:pPr>
        <w:pStyle w:val="SourceCode"/>
      </w:pPr>
      <w:r>
        <w:rPr>
          <w:rStyle w:val="VerbatimChar"/>
        </w:rPr>
        <w:t xml:space="preserve">o---O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O---o</w:t>
      </w:r>
    </w:p>
    <w:p>
      <w:pPr>
        <w:pStyle w:val="FirstParagraph"/>
      </w:pPr>
      <w:r>
        <w:t xml:space="preserve">when the parser wants endpoint case to carry the direction bit.</w:t>
      </w:r>
    </w:p>
    <w:p>
      <w:pPr>
        <w:pStyle w:val="BodyText"/>
      </w:pPr>
      <w:r>
        <w:t xml:space="preserve">The doctrine should be:</w:t>
      </w:r>
    </w:p>
    <w:p>
      <w:pPr>
        <w:pStyle w:val="SourceCode"/>
      </w:pPr>
      <w:r>
        <w:rPr>
          <w:rStyle w:val="VerbatimChar"/>
        </w:rPr>
        <w:t xml:space="preserve">o---o is the neutral canonical ASCII route body.</w:t>
      </w:r>
      <w:r>
        <w:br/>
      </w:r>
      <w:r>
        <w:rPr>
          <w:rStyle w:val="VerbatimChar"/>
        </w:rPr>
        <w:t xml:space="preserve">O/o endpoint case may annotate chirality.</w:t>
      </w:r>
      <w:r>
        <w:br/>
      </w:r>
      <w:r>
        <w:rPr>
          <w:rStyle w:val="VerbatimChar"/>
        </w:rPr>
        <w:t xml:space="preserve">The underlying FS/GS/RS/US fields remain canonical.</w:t>
      </w:r>
    </w:p>
    <w:p>
      <w:r>
        <w:pict>
          <v:rect style="width:0;height:1.5pt" o:hralign="center" o:hrstd="t" o:hr="t"/>
        </w:pict>
      </w:r>
    </w:p>
    <w:bookmarkEnd w:id="38"/>
    <w:bookmarkStart w:id="39" w:name="X9ca2e48aaf1cec4803ea05f1bca8d71c7b934c3"/>
    <w:p>
      <w:pPr>
        <w:pStyle w:val="Heading1"/>
      </w:pPr>
      <w:r>
        <w:t xml:space="preserve">17. Debate: Is Unicode Omicron Better Than ASCII O/o?</w:t>
      </w:r>
    </w:p>
    <w:p>
      <w:pPr>
        <w:pStyle w:val="FirstParagraph"/>
      </w:pPr>
      <w:r>
        <w:rPr>
          <w:b/>
          <w:bCs/>
        </w:rPr>
        <w:t xml:space="preserve">Bidi Specialist:</w:t>
      </w:r>
      <w:r>
        <w:br/>
      </w:r>
      <w:r>
        <w:t xml:space="preserve">Unicode omicron is better for high-rendition display:</w:t>
      </w:r>
    </w:p>
    <w:p>
      <w:pPr>
        <w:pStyle w:val="SourceCode"/>
      </w:pPr>
      <w:r>
        <w:rPr>
          <w:rStyle w:val="VerbatimChar"/>
        </w:rPr>
        <w:t xml:space="preserve">ο---Ο</w:t>
      </w:r>
    </w:p>
    <w:p>
      <w:pPr>
        <w:pStyle w:val="FirstParagraph"/>
      </w:pPr>
      <w:r>
        <w:t xml:space="preserve">ASCII</w:t>
      </w:r>
      <w:r>
        <w:t xml:space="preserve"> </w:t>
      </w:r>
      <w:r>
        <w:rPr>
          <w:rStyle w:val="VerbatimChar"/>
        </w:rPr>
        <w:t xml:space="preserve">o/O</w:t>
      </w:r>
      <w:r>
        <w:t xml:space="preserve"> </w:t>
      </w:r>
      <w:r>
        <w:t xml:space="preserve">is better for carrier authority:</w:t>
      </w:r>
    </w:p>
    <w:p>
      <w:pPr>
        <w:pStyle w:val="SourceCode"/>
      </w:pPr>
      <w:r>
        <w:rPr>
          <w:rStyle w:val="VerbatimChar"/>
        </w:rPr>
        <w:t xml:space="preserve">o---O</w:t>
      </w:r>
    </w:p>
    <w:p>
      <w:pPr>
        <w:pStyle w:val="FirstParagraph"/>
      </w:pPr>
      <w:r>
        <w:t xml:space="preserve">The reason is mechanical: ASCII case differs by</w:t>
      </w:r>
      <w:r>
        <w:t xml:space="preserve"> </w:t>
      </w:r>
      <w:r>
        <w:rPr>
          <w:rStyle w:val="VerbatimChar"/>
        </w:rPr>
        <w:t xml:space="preserve">0x20</w:t>
      </w:r>
      <w:r>
        <w:t xml:space="preserve">. Unicode Greek omicron does not give the same simple one-byte case-bit rule in UTF-8. Therefore:</w:t>
      </w:r>
    </w:p>
    <w:p>
      <w:pPr>
        <w:pStyle w:val="SourceCode"/>
      </w:pPr>
      <w:r>
        <w:rPr>
          <w:rStyle w:val="VerbatimChar"/>
        </w:rPr>
        <w:t xml:space="preserve">ASCII O/o:</w:t>
      </w:r>
      <w:r>
        <w:br/>
      </w:r>
      <w:r>
        <w:rPr>
          <w:rStyle w:val="VerbatimChar"/>
        </w:rPr>
        <w:t xml:space="preserve">    carrier algorithm</w:t>
      </w:r>
      <w:r>
        <w:br/>
      </w:r>
      <w:r>
        <w:br/>
      </w:r>
      <w:r>
        <w:rPr>
          <w:rStyle w:val="VerbatimChar"/>
        </w:rPr>
        <w:t xml:space="preserve">Greek ο/Ο:</w:t>
      </w:r>
      <w:r>
        <w:br/>
      </w:r>
      <w:r>
        <w:rPr>
          <w:rStyle w:val="VerbatimChar"/>
        </w:rPr>
        <w:t xml:space="preserve">    visual rendition</w:t>
      </w:r>
      <w:r>
        <w:br/>
      </w:r>
      <w:r>
        <w:br/>
      </w:r>
      <w:r>
        <w:rPr>
          <w:rStyle w:val="VerbatimChar"/>
        </w:rPr>
        <w:t xml:space="preserve">Unicode bidi:</w:t>
      </w:r>
      <w:r>
        <w:br/>
      </w:r>
      <w:r>
        <w:rPr>
          <w:rStyle w:val="VerbatimChar"/>
        </w:rPr>
        <w:t xml:space="preserve">    projection transform</w:t>
      </w:r>
    </w:p>
    <w:p>
      <w:pPr>
        <w:pStyle w:val="FirstParagraph"/>
      </w:pPr>
      <w:r>
        <w:t xml:space="preserve">Canonical rule:</w:t>
      </w:r>
    </w:p>
    <w:p>
      <w:pPr>
        <w:pStyle w:val="SourceCode"/>
      </w:pPr>
      <w:r>
        <w:rPr>
          <w:rStyle w:val="VerbatimChar"/>
        </w:rPr>
        <w:t xml:space="preserve">ASCII carries.</w:t>
      </w:r>
      <w:r>
        <w:br/>
      </w:r>
      <w:r>
        <w:rPr>
          <w:rStyle w:val="VerbatimChar"/>
        </w:rPr>
        <w:t xml:space="preserve">Unicode renders.</w:t>
      </w:r>
      <w:r>
        <w:br/>
      </w:r>
      <w:r>
        <w:rPr>
          <w:rStyle w:val="VerbatimChar"/>
        </w:rPr>
        <w:t xml:space="preserve">Bidi projects.</w:t>
      </w:r>
      <w:r>
        <w:br/>
      </w:r>
      <w:r>
        <w:rPr>
          <w:rStyle w:val="VerbatimChar"/>
        </w:rPr>
        <w:t xml:space="preserve">Receipt accepts.</w:t>
      </w:r>
    </w:p>
    <w:p>
      <w:r>
        <w:pict>
          <v:rect style="width:0;height:1.5pt" o:hralign="center" o:hrstd="t" o:hr="t"/>
        </w:pict>
      </w:r>
    </w:p>
    <w:bookmarkEnd w:id="39"/>
    <w:bookmarkStart w:id="48" w:name="proposed-formal-definitions"/>
    <w:p>
      <w:pPr>
        <w:pStyle w:val="Heading1"/>
      </w:pPr>
      <w:r>
        <w:t xml:space="preserve">18. Proposed Formal Definitions</w:t>
      </w:r>
    </w:p>
    <w:bookmarkStart w:id="40" w:name="canonical-null-route"/>
    <w:p>
      <w:pPr>
        <w:pStyle w:val="Heading2"/>
      </w:pPr>
      <w:r>
        <w:t xml:space="preserve">18.1 Canonical Null Route</w:t>
      </w:r>
    </w:p>
    <w:p>
      <w:pPr>
        <w:pStyle w:val="SourceCode"/>
      </w:pPr>
      <w:r>
        <w:rPr>
          <w:rStyle w:val="VerbatimChar"/>
        </w:rPr>
        <w:t xml:space="preserve">omi---imo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the compact reversible OMI/IMO route frame</w:t>
      </w:r>
    </w:p>
    <w:bookmarkEnd w:id="40"/>
    <w:bookmarkStart w:id="41" w:name="canonical-expanded-route"/>
    <w:p>
      <w:pPr>
        <w:pStyle w:val="Heading2"/>
      </w:pPr>
      <w:r>
        <w:t xml:space="preserve">18.2 Canonical Expanded Route</w:t>
      </w:r>
    </w:p>
    <w:p>
      <w:pPr>
        <w:pStyle w:val="SourceCode"/>
      </w:pPr>
      <w:r>
        <w:rPr>
          <w:rStyle w:val="VerbatimChar"/>
        </w:rPr>
        <w:t xml:space="preserve">o---o/---/?---?@---@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forward scope / inverse scope / query-register-stack / CAR-CDR relation</w:t>
      </w:r>
    </w:p>
    <w:bookmarkEnd w:id="41"/>
    <w:bookmarkStart w:id="42" w:name="machine-expansion"/>
    <w:p>
      <w:pPr>
        <w:pStyle w:val="Heading2"/>
      </w:pPr>
      <w:r>
        <w:t xml:space="preserve">18.3 Machine Expansion</w:t>
      </w:r>
    </w:p>
    <w:p>
      <w:pPr>
        <w:pStyle w:val="SourceCode"/>
      </w:pPr>
      <w:r>
        <w:rPr>
          <w:rStyle w:val="VerbatimChar"/>
        </w:rPr>
        <w:t xml:space="preserve">o-FS-GS-RS-US/FS/GS/RS/US?REGISTER?STACK@CAR@CDR</w:t>
      </w:r>
    </w:p>
    <w:bookmarkEnd w:id="42"/>
    <w:bookmarkStart w:id="43" w:name="binary-expansion"/>
    <w:p>
      <w:pPr>
        <w:pStyle w:val="Heading2"/>
      </w:pPr>
      <w:r>
        <w:t xml:space="preserve">18.4 Binary Expansion</w:t>
      </w:r>
    </w:p>
    <w:p>
      <w:pPr>
        <w:pStyle w:val="SourceCode"/>
      </w:pPr>
      <w:r>
        <w:rPr>
          <w:rStyle w:val="VerbatimChar"/>
        </w:rPr>
        <w:t xml:space="preserve">S0 = FS</w:t>
      </w:r>
      <w:r>
        <w:br/>
      </w:r>
      <w:r>
        <w:rPr>
          <w:rStyle w:val="VerbatimChar"/>
        </w:rPr>
        <w:t xml:space="preserve">S1 = GS</w:t>
      </w:r>
      <w:r>
        <w:br/>
      </w:r>
      <w:r>
        <w:rPr>
          <w:rStyle w:val="VerbatimChar"/>
        </w:rPr>
        <w:t xml:space="preserve">S2 = RS</w:t>
      </w:r>
      <w:r>
        <w:br/>
      </w:r>
      <w:r>
        <w:rPr>
          <w:rStyle w:val="VerbatimChar"/>
        </w:rPr>
        <w:t xml:space="preserve">S3 = US</w:t>
      </w:r>
      <w:r>
        <w:br/>
      </w:r>
      <w:r>
        <w:rPr>
          <w:rStyle w:val="VerbatimChar"/>
        </w:rPr>
        <w:t xml:space="preserve">S4 = FS'</w:t>
      </w:r>
      <w:r>
        <w:br/>
      </w:r>
      <w:r>
        <w:rPr>
          <w:rStyle w:val="VerbatimChar"/>
        </w:rPr>
        <w:t xml:space="preserve">S5 = GS'</w:t>
      </w:r>
      <w:r>
        <w:br/>
      </w:r>
      <w:r>
        <w:rPr>
          <w:rStyle w:val="VerbatimChar"/>
        </w:rPr>
        <w:t xml:space="preserve">S6 = RS'</w:t>
      </w:r>
      <w:r>
        <w:br/>
      </w:r>
      <w:r>
        <w:rPr>
          <w:rStyle w:val="VerbatimChar"/>
        </w:rPr>
        <w:t xml:space="preserve">S7 = US'</w:t>
      </w:r>
      <w:r>
        <w:br/>
      </w: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STACK</w:t>
      </w:r>
      <w:r>
        <w:br/>
      </w:r>
      <w:r>
        <w:rPr>
          <w:rStyle w:val="VerbatimChar"/>
        </w:rPr>
        <w:t xml:space="preserve">CAR</w:t>
      </w:r>
      <w:r>
        <w:br/>
      </w:r>
      <w:r>
        <w:rPr>
          <w:rStyle w:val="VerbatimChar"/>
        </w:rPr>
        <w:t xml:space="preserve">CDR</w:t>
      </w:r>
    </w:p>
    <w:bookmarkEnd w:id="43"/>
    <w:bookmarkStart w:id="44" w:name="chiral-endpoint-extension"/>
    <w:p>
      <w:pPr>
        <w:pStyle w:val="Heading2"/>
      </w:pPr>
      <w:r>
        <w:t xml:space="preserve">18.5 Chiral Endpoint Extension</w:t>
      </w:r>
    </w:p>
    <w:p>
      <w:pPr>
        <w:pStyle w:val="SourceCode"/>
      </w:pPr>
      <w:r>
        <w:rPr>
          <w:rStyle w:val="VerbatimChar"/>
        </w:rPr>
        <w:t xml:space="preserve">o---O</w:t>
      </w:r>
      <w:r>
        <w:br/>
      </w:r>
      <w:r>
        <w:rPr>
          <w:rStyle w:val="VerbatimChar"/>
        </w:rPr>
        <w:t xml:space="preserve">    forward low-to-high frame</w:t>
      </w:r>
      <w:r>
        <w:br/>
      </w:r>
      <w:r>
        <w:br/>
      </w:r>
      <w:r>
        <w:rPr>
          <w:rStyle w:val="VerbatimChar"/>
        </w:rPr>
        <w:t xml:space="preserve">O---o</w:t>
      </w:r>
      <w:r>
        <w:br/>
      </w:r>
      <w:r>
        <w:rPr>
          <w:rStyle w:val="VerbatimChar"/>
        </w:rPr>
        <w:t xml:space="preserve">    inverse high-to-low frame</w:t>
      </w:r>
    </w:p>
    <w:bookmarkEnd w:id="44"/>
    <w:bookmarkStart w:id="45" w:name="neutral-carrier-form"/>
    <w:p>
      <w:pPr>
        <w:pStyle w:val="Heading2"/>
      </w:pPr>
      <w:r>
        <w:t xml:space="preserve">18.6 Neutral Carrier Form</w:t>
      </w:r>
    </w:p>
    <w:p>
      <w:pPr>
        <w:pStyle w:val="SourceCode"/>
      </w:pPr>
      <w:r>
        <w:rPr>
          <w:rStyle w:val="VerbatimChar"/>
        </w:rPr>
        <w:t xml:space="preserve">o---o</w:t>
      </w:r>
    </w:p>
    <w:bookmarkEnd w:id="45"/>
    <w:bookmarkStart w:id="46" w:name="high-rendition-form"/>
    <w:p>
      <w:pPr>
        <w:pStyle w:val="Heading2"/>
      </w:pPr>
      <w:r>
        <w:t xml:space="preserve">18.7 High-Rendition Form</w:t>
      </w:r>
    </w:p>
    <w:p>
      <w:pPr>
        <w:pStyle w:val="SourceCode"/>
      </w:pPr>
      <w:r>
        <w:rPr>
          <w:rStyle w:val="VerbatimChar"/>
        </w:rPr>
        <w:t xml:space="preserve">ο---Ο</w:t>
      </w:r>
    </w:p>
    <w:bookmarkEnd w:id="46"/>
    <w:bookmarkStart w:id="47" w:name="bidi-projection-rule"/>
    <w:p>
      <w:pPr>
        <w:pStyle w:val="Heading2"/>
      </w:pPr>
      <w:r>
        <w:t xml:space="preserve">18.8 Bidi Projection Rule</w:t>
      </w:r>
    </w:p>
    <w:p>
      <w:pPr>
        <w:pStyle w:val="SourceCode"/>
      </w:pPr>
      <w:r>
        <w:rPr>
          <w:rStyle w:val="VerbatimChar"/>
        </w:rPr>
        <w:t xml:space="preserve">A renderer may project the notation right-to-left for inspection.</w:t>
      </w:r>
      <w:r>
        <w:br/>
      </w:r>
      <w:r>
        <w:rPr>
          <w:rStyle w:val="VerbatimChar"/>
        </w:rPr>
        <w:t xml:space="preserve">The parser must validate canonical logical byte order.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implementation-sketch"/>
    <w:p>
      <w:pPr>
        <w:pStyle w:val="Heading1"/>
      </w:pPr>
      <w:r>
        <w:t xml:space="preserve">19. Implementation Sketch</w:t>
      </w:r>
    </w:p>
    <w:p>
      <w:pPr>
        <w:pStyle w:val="FirstParagraph"/>
      </w:pPr>
      <w:r>
        <w:t xml:space="preserve">A parser can treat the surface in layers.</w:t>
      </w:r>
    </w:p>
    <w:bookmarkStart w:id="49" w:name="logical-byte-recognition"/>
    <w:p>
      <w:pPr>
        <w:pStyle w:val="Heading2"/>
      </w:pPr>
      <w:r>
        <w:t xml:space="preserve">19.1 Logical Byte Recognition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omi_is_o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'O'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omi_chirality_bit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omi_is_forward_chiral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'O'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omi_is_inverse_chiral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'o'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9"/>
    <w:bookmarkStart w:id="50" w:name="separator-recognition"/>
    <w:p>
      <w:pPr>
        <w:pStyle w:val="Heading2"/>
      </w:pPr>
      <w:r>
        <w:t xml:space="preserve">19.2 Separator Recognition</w:t>
      </w:r>
    </w:p>
    <w:p>
      <w:pPr>
        <w:pStyle w:val="SourceCode"/>
      </w:pPr>
      <w:r>
        <w:rPr>
          <w:rStyle w:val="Char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 route span</w:t>
      </w:r>
      <w:r>
        <w:br/>
      </w:r>
      <w:r>
        <w:rPr>
          <w:rStyle w:val="CharTok"/>
        </w:rPr>
        <w:t xml:space="preserve">'/'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inverse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carrier separator</w:t>
      </w:r>
      <w:r>
        <w:br/>
      </w:r>
      <w:r>
        <w:rPr>
          <w:rStyle w:val="CharTok"/>
        </w:rPr>
        <w:t xml:space="preserve">'?'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/</w:t>
      </w:r>
      <w:r>
        <w:rPr>
          <w:rStyle w:val="DataTypeTok"/>
        </w:rPr>
        <w:t xml:space="preserve">register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stack separator</w:t>
      </w:r>
      <w:r>
        <w:br/>
      </w:r>
      <w:r>
        <w:rPr>
          <w:rStyle w:val="CharTok"/>
        </w:rPr>
        <w:t xml:space="preserve">'@'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CDR separator</w:t>
      </w:r>
      <w:r>
        <w:br/>
      </w:r>
      <w:r>
        <w:rPr>
          <w:rStyle w:val="Char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SP relation constructor</w:t>
      </w:r>
    </w:p>
    <w:bookmarkEnd w:id="50"/>
    <w:bookmarkStart w:id="51" w:name="authority-rule"/>
    <w:p>
      <w:pPr>
        <w:pStyle w:val="Heading2"/>
      </w:pPr>
      <w:r>
        <w:t xml:space="preserve">19.3 Authority Rule</w:t>
      </w:r>
    </w:p>
    <w:p>
      <w:pPr>
        <w:pStyle w:val="SourceCode"/>
      </w:pPr>
      <w:r>
        <w:rPr>
          <w:rStyle w:val="CommentTok"/>
        </w:rPr>
        <w:t xml:space="preserve">/* Pseudocode */</w:t>
      </w:r>
      <w:r>
        <w:br/>
      </w:r>
      <w:r>
        <w:rPr>
          <w:rStyle w:val="NormalTok"/>
        </w:rPr>
        <w:t xml:space="preserve">parse_surface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resolve_scope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emit_candidate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parser may recognize structure. It may not accept state.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proposed-port_notation.md-canon-text"/>
    <w:p>
      <w:pPr>
        <w:pStyle w:val="Heading1"/>
      </w:pPr>
      <w:r>
        <w:t xml:space="preserve">20. Proposed</w:t>
      </w:r>
      <w:r>
        <w:t xml:space="preserve"> </w:t>
      </w:r>
      <w:r>
        <w:rPr>
          <w:rStyle w:val="VerbatimChar"/>
        </w:rPr>
        <w:t xml:space="preserve">PORT_NOTATION.md</w:t>
      </w:r>
      <w:r>
        <w:t xml:space="preserve"> </w:t>
      </w:r>
      <w:r>
        <w:t xml:space="preserve">Canon Text</w:t>
      </w:r>
    </w:p>
    <w:p>
      <w:pPr>
        <w:pStyle w:val="SourceCode"/>
      </w:pPr>
      <w:r>
        <w:rPr>
          <w:rStyle w:val="VerbatimChar"/>
        </w:rPr>
        <w:t xml:space="preserve"># OMI-Port Notation</w:t>
      </w:r>
      <w:r>
        <w:br/>
      </w:r>
      <w:r>
        <w:br/>
      </w:r>
      <w:r>
        <w:rPr>
          <w:rStyle w:val="VerbatimChar"/>
        </w:rPr>
        <w:t xml:space="preserve">The canonical compact route form is:</w:t>
      </w:r>
      <w:r>
        <w:br/>
      </w:r>
      <w:r>
        <w:br/>
      </w:r>
      <w:r>
        <w:rPr>
          <w:rStyle w:val="VerbatimChar"/>
        </w:rPr>
        <w:t xml:space="preserve">    omi---imo</w:t>
      </w:r>
      <w:r>
        <w:br/>
      </w:r>
      <w:r>
        <w:br/>
      </w:r>
      <w:r>
        <w:rPr>
          <w:rStyle w:val="VerbatimChar"/>
        </w:rPr>
        <w:t xml:space="preserve">The canonical expanded route form is:</w:t>
      </w:r>
      <w:r>
        <w:br/>
      </w:r>
      <w:r>
        <w:br/>
      </w:r>
      <w:r>
        <w:rPr>
          <w:rStyle w:val="VerbatimChar"/>
        </w:rPr>
        <w:t xml:space="preserve">    o---o/---/?---?@---@</w:t>
      </w:r>
      <w:r>
        <w:br/>
      </w:r>
      <w:r>
        <w:br/>
      </w:r>
      <w:r>
        <w:rPr>
          <w:rStyle w:val="VerbatimChar"/>
        </w:rPr>
        <w:t xml:space="preserve">The expanded machine form is:</w:t>
      </w:r>
      <w:r>
        <w:br/>
      </w:r>
      <w:r>
        <w:br/>
      </w:r>
      <w:r>
        <w:rPr>
          <w:rStyle w:val="VerbatimChar"/>
        </w:rPr>
        <w:t xml:space="preserve">    o-FS-GS-RS-US/FS/GS/RS/US?REGISTER?STACK@CAR@CDR</w:t>
      </w:r>
      <w:r>
        <w:br/>
      </w:r>
      <w:r>
        <w:br/>
      </w:r>
      <w:r>
        <w:rPr>
          <w:rStyle w:val="VerbatimChar"/>
        </w:rPr>
        <w:t xml:space="preserve">The notation is URI-compatible but not URI-dependent.</w:t>
      </w:r>
      <w:r>
        <w:br/>
      </w:r>
      <w:r>
        <w:br/>
      </w:r>
      <w:r>
        <w:rPr>
          <w:rStyle w:val="VerbatimChar"/>
        </w:rPr>
        <w:t xml:space="preserve">Separator classes:</w:t>
      </w:r>
      <w:r>
        <w:br/>
      </w:r>
      <w:r>
        <w:br/>
      </w:r>
      <w:r>
        <w:rPr>
          <w:rStyle w:val="VerbatimChar"/>
        </w:rPr>
        <w:t xml:space="preserve">    -  OMI forward scope / citation route</w:t>
      </w:r>
      <w:r>
        <w:br/>
      </w:r>
      <w:r>
        <w:rPr>
          <w:rStyle w:val="VerbatimChar"/>
        </w:rPr>
        <w:t xml:space="preserve">    /  IMO inverse scope / carrier route</w:t>
      </w:r>
      <w:r>
        <w:br/>
      </w:r>
      <w:r>
        <w:rPr>
          <w:rStyle w:val="VerbatimChar"/>
        </w:rPr>
        <w:t xml:space="preserve">    ?  payload, register, stack, mask, or query field</w:t>
      </w:r>
      <w:r>
        <w:br/>
      </w:r>
      <w:r>
        <w:rPr>
          <w:rStyle w:val="VerbatimChar"/>
        </w:rPr>
        <w:t xml:space="preserve">    @  CAR/CDR relation pointer</w:t>
      </w:r>
      <w:r>
        <w:br/>
      </w:r>
      <w:r>
        <w:rPr>
          <w:rStyle w:val="VerbatimChar"/>
        </w:rPr>
        <w:t xml:space="preserve">    .  OMI-Lisp relation constructor after SP</w:t>
      </w:r>
      <w:r>
        <w:br/>
      </w:r>
      <w:r>
        <w:br/>
      </w:r>
      <w:r>
        <w:rPr>
          <w:rStyle w:val="VerbatimChar"/>
        </w:rPr>
        <w:t xml:space="preserve">ASCII O/o may annotate omicron chirality:</w:t>
      </w:r>
      <w:r>
        <w:br/>
      </w:r>
      <w:r>
        <w:br/>
      </w:r>
      <w:r>
        <w:rPr>
          <w:rStyle w:val="VerbatimChar"/>
        </w:rPr>
        <w:t xml:space="preserve">    o---O  forward low-to-high frame</w:t>
      </w:r>
      <w:r>
        <w:br/>
      </w:r>
      <w:r>
        <w:rPr>
          <w:rStyle w:val="VerbatimChar"/>
        </w:rPr>
        <w:t xml:space="preserve">    O---o  inverse high-to-low frame</w:t>
      </w:r>
      <w:r>
        <w:br/>
      </w:r>
      <w:r>
        <w:rPr>
          <w:rStyle w:val="VerbatimChar"/>
        </w:rPr>
        <w:t xml:space="preserve">    o---o  neutral canonical carrier fallback</w:t>
      </w:r>
      <w:r>
        <w:br/>
      </w:r>
      <w:r>
        <w:rPr>
          <w:rStyle w:val="VerbatimChar"/>
        </w:rPr>
        <w:t xml:space="preserve">    O---O  high-high sealed rendition</w:t>
      </w:r>
      <w:r>
        <w:br/>
      </w:r>
      <w:r>
        <w:br/>
      </w:r>
      <w:r>
        <w:rPr>
          <w:rStyle w:val="VerbatimChar"/>
        </w:rPr>
        <w:t xml:space="preserve">The ASCII O/o distinction is mechanical:</w:t>
      </w:r>
      <w:r>
        <w:br/>
      </w:r>
      <w:r>
        <w:br/>
      </w:r>
      <w:r>
        <w:rPr>
          <w:rStyle w:val="VerbatimChar"/>
        </w:rPr>
        <w:t xml:space="preserve">    'O' = 0x4F</w:t>
      </w:r>
      <w:r>
        <w:br/>
      </w:r>
      <w:r>
        <w:rPr>
          <w:rStyle w:val="VerbatimChar"/>
        </w:rPr>
        <w:t xml:space="preserve">    'o' = 0x6F</w:t>
      </w:r>
      <w:r>
        <w:br/>
      </w:r>
      <w:r>
        <w:rPr>
          <w:rStyle w:val="VerbatimChar"/>
        </w:rPr>
        <w:t xml:space="preserve">    'o' - 'O' = 0x20</w:t>
      </w:r>
      <w:r>
        <w:br/>
      </w:r>
      <w:r>
        <w:br/>
      </w:r>
      <w:r>
        <w:rPr>
          <w:rStyle w:val="VerbatimChar"/>
        </w:rPr>
        <w:t xml:space="preserve">The same 0x20 byte is SP, the readable boundary.</w:t>
      </w:r>
      <w:r>
        <w:br/>
      </w:r>
      <w:r>
        <w:br/>
      </w:r>
      <w:r>
        <w:rPr>
          <w:rStyle w:val="VerbatimChar"/>
        </w:rPr>
        <w:t xml:space="preserve">Unicode omicron forms MAY render the notation:</w:t>
      </w:r>
      <w:r>
        <w:br/>
      </w:r>
      <w:r>
        <w:br/>
      </w:r>
      <w:r>
        <w:rPr>
          <w:rStyle w:val="VerbatimChar"/>
        </w:rPr>
        <w:t xml:space="preserve">    ο---Ο</w:t>
      </w:r>
      <w:r>
        <w:br/>
      </w:r>
      <w:r>
        <w:br/>
      </w:r>
      <w:r>
        <w:rPr>
          <w:rStyle w:val="VerbatimChar"/>
        </w:rPr>
        <w:t xml:space="preserve">but ASCII remains the carrier-authoritative spelling.</w:t>
      </w:r>
      <w:r>
        <w:br/>
      </w:r>
      <w:r>
        <w:br/>
      </w:r>
      <w:r>
        <w:rPr>
          <w:rStyle w:val="VerbatimChar"/>
        </w:rPr>
        <w:t xml:space="preserve">Unicode bidi MAY project inverse traversal visually, but it MUST NOT change canonical byte order.</w:t>
      </w:r>
      <w:r>
        <w:br/>
      </w:r>
      <w:r>
        <w:br/>
      </w:r>
      <w:r>
        <w:rPr>
          <w:rStyle w:val="VerbatimChar"/>
        </w:rPr>
        <w:t xml:space="preserve">Display is not authority.</w:t>
      </w:r>
      <w:r>
        <w:br/>
      </w:r>
      <w:r>
        <w:rPr>
          <w:rStyle w:val="VerbatimChar"/>
        </w:rPr>
        <w:t xml:space="preserve">Projection is not authority.</w:t>
      </w:r>
      <w:r>
        <w:br/>
      </w:r>
      <w:r>
        <w:rPr>
          <w:rStyle w:val="VerbatimChar"/>
        </w:rPr>
        <w:t xml:space="preserve">Validation and receipt accept.</w:t>
      </w:r>
    </w:p>
    <w:p>
      <w:r>
        <w:pict>
          <v:rect style="width:0;height:1.5pt" o:hralign="center" o:hrstd="t" o:hr="t"/>
        </w:pict>
      </w:r>
    </w:p>
    <w:bookmarkEnd w:id="53"/>
    <w:bookmarkStart w:id="54" w:name="final-debate-round"/>
    <w:p>
      <w:pPr>
        <w:pStyle w:val="Heading1"/>
      </w:pPr>
      <w:r>
        <w:t xml:space="preserve">21. Final Debate Round</w:t>
      </w:r>
    </w:p>
    <w:p>
      <w:pPr>
        <w:pStyle w:val="FirstParagraph"/>
      </w:pPr>
      <w:r>
        <w:rPr>
          <w:b/>
          <w:bCs/>
        </w:rPr>
        <w:t xml:space="preserve">Skeptic:</w:t>
      </w:r>
      <w:r>
        <w:br/>
      </w:r>
      <w:r>
        <w:t xml:space="preserve">So is the user’s claim correct that</w:t>
      </w:r>
      <w:r>
        <w:t xml:space="preserve"> </w:t>
      </w:r>
      <w:r>
        <w:rPr>
          <w:rStyle w:val="VerbatimChar"/>
        </w:rPr>
        <w:t xml:space="preserve">omi---imo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o---o/---/?---?@---@</w:t>
      </w:r>
      <w:r>
        <w:t xml:space="preserve"> </w:t>
      </w:r>
      <w:r>
        <w:t xml:space="preserve">are canonical?</w:t>
      </w:r>
    </w:p>
    <w:p>
      <w:pPr>
        <w:pStyle w:val="BodyText"/>
      </w:pPr>
      <w:r>
        <w:rPr>
          <w:b/>
          <w:bCs/>
        </w:rPr>
        <w:t xml:space="preserve">Canonist:</w:t>
      </w:r>
      <w:r>
        <w:br/>
      </w:r>
      <w:r>
        <w:t xml:space="preserve">Yes. The uploaded canonical draft explicitly names those forms and expands them to FS/GS/RS/US plus REGISTER/STACK/CAR/CDR.</w:t>
      </w:r>
    </w:p>
    <w:p>
      <w:pPr>
        <w:pStyle w:val="BodyText"/>
      </w:pPr>
      <w:r>
        <w:rPr>
          <w:b/>
          <w:bCs/>
        </w:rPr>
        <w:t xml:space="preserve">Skeptic:</w:t>
      </w:r>
      <w:r>
        <w:br/>
      </w:r>
      <w:r>
        <w:t xml:space="preserve">Is the hyphen literally the chirality bit?</w:t>
      </w:r>
    </w:p>
    <w:p>
      <w:pPr>
        <w:pStyle w:val="BodyText"/>
      </w:pPr>
      <w:r>
        <w:rPr>
          <w:b/>
          <w:bCs/>
        </w:rPr>
        <w:t xml:space="preserve">Parser Engineer:</w:t>
      </w:r>
      <w:r>
        <w:br/>
      </w:r>
      <w:r>
        <w:t xml:space="preserve">No. The endpoint</w:t>
      </w:r>
      <w:r>
        <w:t xml:space="preserve"> </w:t>
      </w:r>
      <w:r>
        <w:rPr>
          <w:rStyle w:val="VerbatimChar"/>
        </w:rPr>
        <w:t xml:space="preserve">O/o</w:t>
      </w:r>
      <w:r>
        <w:t xml:space="preserve"> </w:t>
      </w:r>
      <w:r>
        <w:t xml:space="preserve">carries the ASCII case/chirality bit. The hyphen-run is the URL-compatible stuffed span governed by that chirality. This is a useful correction, not a rejection.</w:t>
      </w:r>
    </w:p>
    <w:p>
      <w:pPr>
        <w:pStyle w:val="BodyText"/>
      </w:pPr>
      <w:r>
        <w:rPr>
          <w:b/>
          <w:bCs/>
        </w:rPr>
        <w:t xml:space="preserve">Skeptic:</w:t>
      </w:r>
      <w:r>
        <w:br/>
      </w:r>
      <w:r>
        <w:t xml:space="preserve">Is the old LL/Ket document still useful?</w:t>
      </w:r>
    </w:p>
    <w:p>
      <w:pPr>
        <w:pStyle w:val="BodyText"/>
      </w:pPr>
      <w:r>
        <w:rPr>
          <w:b/>
          <w:bCs/>
        </w:rPr>
        <w:t xml:space="preserve">Historian:</w:t>
      </w:r>
      <w:r>
        <w:br/>
      </w:r>
      <w:r>
        <w:t xml:space="preserve">Yes, as deprecated conceptual material. It gives the high-nibble/low-nibble intuition: high nibble carries, low nibble selects, first twelve pack, last four hold. But root authority moved to FS/GS/RS/US.</w:t>
      </w:r>
    </w:p>
    <w:p>
      <w:pPr>
        <w:pStyle w:val="BodyText"/>
      </w:pPr>
      <w:r>
        <w:rPr>
          <w:b/>
          <w:bCs/>
        </w:rPr>
        <w:t xml:space="preserve">Skeptic:</w:t>
      </w:r>
      <w:r>
        <w:br/>
      </w:r>
      <w:r>
        <w:t xml:space="preserve">Does bidi give free inversion?</w:t>
      </w:r>
    </w:p>
    <w:p>
      <w:pPr>
        <w:pStyle w:val="BodyText"/>
      </w:pPr>
      <w:r>
        <w:rPr>
          <w:b/>
          <w:bCs/>
        </w:rPr>
        <w:t xml:space="preserve">Bidi Specialist:</w:t>
      </w:r>
      <w:r>
        <w:br/>
      </w:r>
      <w:r>
        <w:t xml:space="preserve">Yes, if treated as projection only. It gives a visual inverse traversal without changing canonical logical byte order.</w:t>
      </w:r>
    </w:p>
    <w:p>
      <w:pPr>
        <w:pStyle w:val="BodyText"/>
      </w:pPr>
      <w:r>
        <w:rPr>
          <w:b/>
          <w:bCs/>
        </w:rPr>
        <w:t xml:space="preserve">Skeptic:</w:t>
      </w:r>
      <w:r>
        <w:br/>
      </w:r>
      <w:r>
        <w:t xml:space="preserve">What is the final doctrine?</w:t>
      </w:r>
    </w:p>
    <w:p>
      <w:pPr>
        <w:pStyle w:val="BodyText"/>
      </w:pPr>
      <w:r>
        <w:rPr>
          <w:b/>
          <w:bCs/>
        </w:rPr>
        <w:t xml:space="preserve">Canonist:</w:t>
      </w:r>
    </w:p>
    <w:p>
      <w:pPr>
        <w:pStyle w:val="SourceCode"/>
      </w:pPr>
      <w:r>
        <w:rPr>
          <w:rStyle w:val="VerbatimChar"/>
        </w:rPr>
        <w:t xml:space="preserve">OMI begins as scoped memory topology.</w:t>
      </w:r>
      <w:r>
        <w:br/>
      </w:r>
      <w:r>
        <w:br/>
      </w:r>
      <w:r>
        <w:rPr>
          <w:rStyle w:val="VerbatimChar"/>
        </w:rPr>
        <w:t xml:space="preserve">omi---imo is the compact reversible route.</w:t>
      </w:r>
      <w:r>
        <w:br/>
      </w:r>
      <w:r>
        <w:br/>
      </w:r>
      <w:r>
        <w:rPr>
          <w:rStyle w:val="VerbatimChar"/>
        </w:rPr>
        <w:t xml:space="preserve">o---o/---/?---?@---@ is the expanded URI-compatible carrier surface.</w:t>
      </w:r>
      <w:r>
        <w:br/>
      </w:r>
      <w:r>
        <w:br/>
      </w:r>
      <w:r>
        <w:rPr>
          <w:rStyle w:val="VerbatimChar"/>
        </w:rPr>
        <w:t xml:space="preserve">O/o may declare ASCII chirality through the 0x20 case bit.</w:t>
      </w:r>
      <w:r>
        <w:br/>
      </w:r>
      <w:r>
        <w:br/>
      </w:r>
      <w:r>
        <w:rPr>
          <w:rStyle w:val="VerbatimChar"/>
        </w:rPr>
        <w:t xml:space="preserve">--- is the stuffed route span.</w:t>
      </w:r>
      <w:r>
        <w:br/>
      </w:r>
      <w:r>
        <w:br/>
      </w:r>
      <w:r>
        <w:rPr>
          <w:rStyle w:val="VerbatimChar"/>
        </w:rPr>
        <w:t xml:space="preserve">Unicode bidi may project inverse traversal.</w:t>
      </w:r>
      <w:r>
        <w:br/>
      </w:r>
      <w:r>
        <w:br/>
      </w:r>
      <w:r>
        <w:rPr>
          <w:rStyle w:val="VerbatimChar"/>
        </w:rPr>
        <w:t xml:space="preserve">Dot notation is earned after SP.</w:t>
      </w:r>
      <w:r>
        <w:br/>
      </w:r>
      <w:r>
        <w:br/>
      </w:r>
      <w:r>
        <w:rPr>
          <w:rStyle w:val="VerbatimChar"/>
        </w:rPr>
        <w:t xml:space="preserve">OMI-Lisp declares candidates.</w:t>
      </w:r>
      <w:r>
        <w:br/>
      </w:r>
      <w:r>
        <w:br/>
      </w:r>
      <w:r>
        <w:rPr>
          <w:rStyle w:val="VerbatimChar"/>
        </w:rPr>
        <w:t xml:space="preserve">Validation and receipt accept.</w:t>
      </w:r>
    </w:p>
    <w:p>
      <w:r>
        <w:pict>
          <v:rect style="width:0;height:1.5pt" o:hralign="center" o:hrstd="t" o:hr="t"/>
        </w:pict>
      </w:r>
    </w:p>
    <w:bookmarkEnd w:id="54"/>
    <w:bookmarkStart w:id="55" w:name="one-page-summary"/>
    <w:p>
      <w:pPr>
        <w:pStyle w:val="Heading1"/>
      </w:pPr>
      <w:r>
        <w:t xml:space="preserve">22. One-Page Summary</w:t>
      </w:r>
    </w:p>
    <w:p>
      <w:pPr>
        <w:pStyle w:val="SourceCode"/>
      </w:pPr>
      <w:r>
        <w:rPr>
          <w:rStyle w:val="VerbatimChar"/>
        </w:rPr>
        <w:t xml:space="preserve">Canonical compact form:</w:t>
      </w:r>
      <w:r>
        <w:br/>
      </w:r>
      <w:r>
        <w:rPr>
          <w:rStyle w:val="VerbatimChar"/>
        </w:rPr>
        <w:t xml:space="preserve">    omi---imo</w:t>
      </w:r>
      <w:r>
        <w:br/>
      </w:r>
      <w:r>
        <w:br/>
      </w:r>
      <w:r>
        <w:rPr>
          <w:rStyle w:val="VerbatimChar"/>
        </w:rPr>
        <w:t xml:space="preserve">Canonical expanded form:</w:t>
      </w:r>
      <w:r>
        <w:br/>
      </w:r>
      <w:r>
        <w:rPr>
          <w:rStyle w:val="VerbatimChar"/>
        </w:rPr>
        <w:t xml:space="preserve">    o---o/---/?---?@---@</w:t>
      </w:r>
      <w:r>
        <w:br/>
      </w:r>
      <w:r>
        <w:br/>
      </w:r>
      <w:r>
        <w:rPr>
          <w:rStyle w:val="VerbatimChar"/>
        </w:rPr>
        <w:t xml:space="preserve">Machine form:</w:t>
      </w:r>
      <w:r>
        <w:br/>
      </w:r>
      <w:r>
        <w:rPr>
          <w:rStyle w:val="VerbatimChar"/>
        </w:rPr>
        <w:t xml:space="preserve">    o-FS-GS-RS-US/FS/GS/RS/US?REGISTER?STACK@CAR@CDR</w:t>
      </w:r>
      <w:r>
        <w:br/>
      </w:r>
      <w:r>
        <w:br/>
      </w:r>
      <w:r>
        <w:rPr>
          <w:rStyle w:val="VerbatimChar"/>
        </w:rPr>
        <w:t xml:space="preserve">CONS spine:</w:t>
      </w:r>
      <w:r>
        <w:br/>
      </w:r>
      <w:r>
        <w:rPr>
          <w:rStyle w:val="VerbatimChar"/>
        </w:rPr>
        <w:t xml:space="preserve">    (omi---imo . (o---o . (/---/ . (?---? . @---@))))</w:t>
      </w:r>
      <w:r>
        <w:br/>
      </w:r>
      <w:r>
        <w:br/>
      </w:r>
      <w:r>
        <w:rPr>
          <w:rStyle w:val="VerbatimChar"/>
        </w:rPr>
        <w:t xml:space="preserve">Binary frame:</w:t>
      </w:r>
      <w:r>
        <w:br/>
      </w:r>
      <w:r>
        <w:rPr>
          <w:rStyle w:val="VerbatimChar"/>
        </w:rPr>
        <w:t xml:space="preserve">    256 bits</w:t>
      </w:r>
      <w:r>
        <w:br/>
      </w:r>
      <w:r>
        <w:rPr>
          <w:rStyle w:val="VerbatimChar"/>
        </w:rPr>
        <w:t xml:space="preserve">    first 128 bits = FS/GS/RS/US ruler cascade</w:t>
      </w:r>
      <w:r>
        <w:br/>
      </w:r>
      <w:r>
        <w:rPr>
          <w:rStyle w:val="VerbatimChar"/>
        </w:rPr>
        <w:t xml:space="preserve">    second 128 bits = REGISTER/STACK/CAR/CDR relation cascade</w:t>
      </w:r>
      <w:r>
        <w:br/>
      </w:r>
      <w:r>
        <w:br/>
      </w:r>
      <w:r>
        <w:rPr>
          <w:rStyle w:val="VerbatimChar"/>
        </w:rPr>
        <w:t xml:space="preserve">Control staging:</w:t>
      </w:r>
      <w:r>
        <w:br/>
      </w:r>
      <w:r>
        <w:rPr>
          <w:rStyle w:val="VerbatimChar"/>
        </w:rPr>
        <w:t xml:space="preserve">    0x00 NUL</w:t>
      </w:r>
      <w:r>
        <w:br/>
      </w:r>
      <w:r>
        <w:rPr>
          <w:rStyle w:val="VerbatimChar"/>
        </w:rPr>
        <w:t xml:space="preserve">    0x1C FS</w:t>
      </w:r>
      <w:r>
        <w:br/>
      </w:r>
      <w:r>
        <w:rPr>
          <w:rStyle w:val="VerbatimChar"/>
        </w:rPr>
        <w:t xml:space="preserve">    0x1D GS</w:t>
      </w:r>
      <w:r>
        <w:br/>
      </w:r>
      <w:r>
        <w:rPr>
          <w:rStyle w:val="VerbatimChar"/>
        </w:rPr>
        <w:t xml:space="preserve">    0x1E RS</w:t>
      </w:r>
      <w:r>
        <w:br/>
      </w:r>
      <w:r>
        <w:rPr>
          <w:rStyle w:val="VerbatimChar"/>
        </w:rPr>
        <w:t xml:space="preserve">    0x1F US</w:t>
      </w:r>
      <w:r>
        <w:br/>
      </w:r>
      <w:r>
        <w:rPr>
          <w:rStyle w:val="VerbatimChar"/>
        </w:rPr>
        <w:t xml:space="preserve">    0x20 SP</w:t>
      </w:r>
      <w:r>
        <w:br/>
      </w:r>
      <w:r>
        <w:br/>
      </w:r>
      <w:r>
        <w:rPr>
          <w:rStyle w:val="VerbatimChar"/>
        </w:rPr>
        <w:t xml:space="preserve">Gauge pre-header:</w:t>
      </w:r>
      <w:r>
        <w:br/>
      </w:r>
      <w:r>
        <w:rPr>
          <w:rStyle w:val="VerbatimChar"/>
        </w:rPr>
        <w:t xml:space="preserve">    G 00 1C 1D 1E 1F 20 G</w:t>
      </w:r>
      <w:r>
        <w:br/>
      </w:r>
      <w:r>
        <w:rPr>
          <w:rStyle w:val="VerbatimChar"/>
        </w:rPr>
        <w:t xml:space="preserve">    G ∈ F0..FF</w:t>
      </w:r>
      <w:r>
        <w:br/>
      </w:r>
      <w:r>
        <w:rPr>
          <w:rStyle w:val="VerbatimChar"/>
        </w:rPr>
        <w:t xml:space="preserve">    FF 00 1C 1D 1E 1F 20 FF = canonical OMI</w:t>
      </w:r>
      <w:r>
        <w:br/>
      </w:r>
      <w:r>
        <w:br/>
      </w:r>
      <w:r>
        <w:rPr>
          <w:rStyle w:val="VerbatimChar"/>
        </w:rPr>
        <w:t xml:space="preserve">ASCII chirality:</w:t>
      </w:r>
      <w:r>
        <w:br/>
      </w:r>
      <w:r>
        <w:rPr>
          <w:rStyle w:val="VerbatimChar"/>
        </w:rPr>
        <w:t xml:space="preserve">    O = 0x4F</w:t>
      </w:r>
      <w:r>
        <w:br/>
      </w:r>
      <w:r>
        <w:rPr>
          <w:rStyle w:val="VerbatimChar"/>
        </w:rPr>
        <w:t xml:space="preserve">    o = 0x6F</w:t>
      </w:r>
      <w:r>
        <w:br/>
      </w:r>
      <w:r>
        <w:rPr>
          <w:rStyle w:val="VerbatimChar"/>
        </w:rPr>
        <w:t xml:space="preserve">    difference = 0x20</w:t>
      </w:r>
      <w:r>
        <w:br/>
      </w:r>
      <w:r>
        <w:rPr>
          <w:rStyle w:val="VerbatimChar"/>
        </w:rPr>
        <w:t xml:space="preserve">    chirality_bit = byte &amp; 0x20</w:t>
      </w:r>
      <w:r>
        <w:br/>
      </w:r>
      <w:r>
        <w:br/>
      </w:r>
      <w:r>
        <w:rPr>
          <w:rStyle w:val="VerbatimChar"/>
        </w:rPr>
        <w:t xml:space="preserve">Projection:</w:t>
      </w:r>
      <w:r>
        <w:br/>
      </w:r>
      <w:r>
        <w:rPr>
          <w:rStyle w:val="VerbatimChar"/>
        </w:rPr>
        <w:t xml:space="preserve">    Unicode ο/Ο may render</w:t>
      </w:r>
      <w:r>
        <w:br/>
      </w:r>
      <w:r>
        <w:rPr>
          <w:rStyle w:val="VerbatimChar"/>
        </w:rPr>
        <w:t xml:space="preserve">    unicode-bidi may invert display</w:t>
      </w:r>
      <w:r>
        <w:br/>
      </w:r>
      <w:r>
        <w:rPr>
          <w:rStyle w:val="VerbatimChar"/>
        </w:rPr>
        <w:t xml:space="preserve">    parser keeps logical byte order</w:t>
      </w:r>
      <w:r>
        <w:br/>
      </w:r>
      <w:r>
        <w:br/>
      </w:r>
      <w:r>
        <w:rPr>
          <w:rStyle w:val="VerbatimChar"/>
        </w:rPr>
        <w:t xml:space="preserve">Authority:</w:t>
      </w:r>
      <w:r>
        <w:br/>
      </w:r>
      <w:r>
        <w:rPr>
          <w:rStyle w:val="VerbatimChar"/>
        </w:rPr>
        <w:t xml:space="preserve">    control is not acceptance</w:t>
      </w:r>
      <w:r>
        <w:br/>
      </w:r>
      <w:r>
        <w:rPr>
          <w:rStyle w:val="VerbatimChar"/>
        </w:rPr>
        <w:t xml:space="preserve">    scope is not acceptance</w:t>
      </w:r>
      <w:r>
        <w:br/>
      </w:r>
      <w:r>
        <w:rPr>
          <w:rStyle w:val="VerbatimChar"/>
        </w:rPr>
        <w:t xml:space="preserve">    relation is not acceptance</w:t>
      </w:r>
      <w:r>
        <w:br/>
      </w:r>
      <w:r>
        <w:rPr>
          <w:rStyle w:val="VerbatimChar"/>
        </w:rPr>
        <w:t xml:space="preserve">    closure is not acceptance</w:t>
      </w:r>
      <w:r>
        <w:br/>
      </w:r>
      <w:r>
        <w:rPr>
          <w:rStyle w:val="VerbatimChar"/>
        </w:rPr>
        <w:t xml:space="preserve">    projection is not acceptance</w:t>
      </w:r>
      <w:r>
        <w:br/>
      </w:r>
      <w:r>
        <w:rPr>
          <w:rStyle w:val="VerbatimChar"/>
        </w:rPr>
        <w:t xml:space="preserve">    validation + receipt accept</w:t>
      </w:r>
    </w:p>
    <w:p>
      <w:r>
        <w:pict>
          <v:rect style="width:0;height:1.5pt" o:hralign="center" o:hrstd="t" o:hr="t"/>
        </w:pict>
      </w:r>
    </w:p>
    <w:bookmarkEnd w:id="55"/>
    <w:bookmarkStart w:id="56" w:name="final-thesis"/>
    <w:p>
      <w:pPr>
        <w:pStyle w:val="Heading1"/>
      </w:pPr>
      <w:r>
        <w:t xml:space="preserve">Final Thesis</w:t>
      </w:r>
    </w:p>
    <w:p>
      <w:pPr>
        <w:pStyle w:val="FirstParagraph"/>
      </w:pPr>
      <w:r>
        <w:rPr>
          <w:rStyle w:val="VerbatimChar"/>
        </w:rPr>
        <w:t xml:space="preserve">omi---imo</w:t>
      </w:r>
      <w:r>
        <w:t xml:space="preserve"> </w:t>
      </w:r>
      <w:r>
        <w:t xml:space="preserve">is canonical because it is the minimal reversible printable form of the OMI/IMO memory relation.</w:t>
      </w:r>
    </w:p>
    <w:p>
      <w:pPr>
        <w:pStyle w:val="BodyText"/>
      </w:pPr>
      <w:r>
        <w:rPr>
          <w:rStyle w:val="VerbatimChar"/>
        </w:rPr>
        <w:t xml:space="preserve">o---o/---/?---?@---@</w:t>
      </w:r>
      <w:r>
        <w:t xml:space="preserve"> </w:t>
      </w:r>
      <w:r>
        <w:t xml:space="preserve">is canonical because it expands that compact relation into four URI-compatible separator regions that correspond to the FS/GS/RS/US ruler cascade and the REGISTER/STACK/CAR/CDR relation surface.</w:t>
      </w:r>
    </w:p>
    <w:p>
      <w:pPr>
        <w:pStyle w:val="BodyText"/>
      </w:pPr>
      <w:r>
        <w:t xml:space="preserve">The hyphen-run is best understood as the URL-compatible stuffed route span. The ASCII</w:t>
      </w:r>
      <w:r>
        <w:t xml:space="preserve"> </w:t>
      </w:r>
      <w:r>
        <w:rPr>
          <w:rStyle w:val="VerbatimChar"/>
        </w:rPr>
        <w:t xml:space="preserve">O/o</w:t>
      </w:r>
      <w:r>
        <w:t xml:space="preserve"> </w:t>
      </w:r>
      <w:r>
        <w:t xml:space="preserve">endpoint distinction supplies the true</w:t>
      </w:r>
      <w:r>
        <w:t xml:space="preserve"> </w:t>
      </w:r>
      <w:r>
        <w:rPr>
          <w:rStyle w:val="VerbatimChar"/>
        </w:rPr>
        <w:t xml:space="preserve">0x20</w:t>
      </w:r>
      <w:r>
        <w:t xml:space="preserve"> </w:t>
      </w:r>
      <w:r>
        <w:t xml:space="preserve">chirality mechanism. Unicode bidi then gives a cost-free projection of inverse traversal, but only as display.</w:t>
      </w:r>
    </w:p>
    <w:p>
      <w:pPr>
        <w:pStyle w:val="BodyText"/>
      </w:pPr>
      <w:r>
        <w:t xml:space="preserve">Therefore the normalized doctrine is:</w:t>
      </w:r>
    </w:p>
    <w:p>
      <w:pPr>
        <w:pStyle w:val="SourceCode"/>
      </w:pPr>
      <w:r>
        <w:rPr>
          <w:rStyle w:val="VerbatimChar"/>
        </w:rPr>
        <w:t xml:space="preserve">OMI uses ASCII-compatible notation to render pre-language memory topology.</w:t>
      </w:r>
      <w:r>
        <w:br/>
      </w:r>
      <w:r>
        <w:br/>
      </w:r>
      <w:r>
        <w:rPr>
          <w:rStyle w:val="VerbatimChar"/>
        </w:rPr>
        <w:t xml:space="preserve">The visible notation may be projected, mirrored, or unfolded.</w:t>
      </w:r>
      <w:r>
        <w:br/>
      </w:r>
      <w:r>
        <w:br/>
      </w:r>
      <w:r>
        <w:rPr>
          <w:rStyle w:val="VerbatimChar"/>
        </w:rPr>
        <w:t xml:space="preserve">The canonical byte order remains stable.</w:t>
      </w:r>
      <w:r>
        <w:br/>
      </w:r>
      <w:r>
        <w:br/>
      </w:r>
      <w:r>
        <w:rPr>
          <w:rStyle w:val="VerbatimChar"/>
        </w:rPr>
        <w:t xml:space="preserve">The relation remains candidate-only.</w:t>
      </w:r>
      <w:r>
        <w:br/>
      </w:r>
      <w:r>
        <w:br/>
      </w:r>
      <w:r>
        <w:rPr>
          <w:rStyle w:val="VerbatimChar"/>
        </w:rPr>
        <w:t xml:space="preserve">Only validation and receipt accept.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2026-07-07T22:26:03Z</dcterms:created>
  <dcterms:modified xsi:type="dcterms:W3CDTF">2026-07-07T22:26:03Z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