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idr-is-cons-the-slash-is-omicron"/>
    <w:p>
      <w:pPr>
        <w:pStyle w:val="Heading1"/>
      </w:pPr>
      <w:r>
        <w:t xml:space="preserve">CIDR is CONS, the Slash is Omicron</w:t>
      </w:r>
    </w:p>
    <w:bookmarkStart w:id="22" w:name="X9810437cbe0bb1565b878a071526da348bf07b3"/>
    <w:p>
      <w:pPr>
        <w:pStyle w:val="Heading2"/>
      </w:pPr>
      <w:r>
        <w:t xml:space="preserve">A First-Principles Write-Up of the OMI Addressing Reduction</w:t>
      </w:r>
    </w:p>
    <w:bookmarkStart w:id="20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Normative conceptual draft.</w:t>
      </w:r>
    </w:p>
    <w:bookmarkEnd w:id="20"/>
    <w:bookmarkStart w:id="21" w:name="one-sentence-claim"/>
    <w:p>
      <w:pPr>
        <w:pStyle w:val="Heading3"/>
      </w:pPr>
      <w:r>
        <w:t xml:space="preserve">One-Sentence Claim</w:t>
      </w:r>
    </w:p>
    <w:p>
      <w:pPr>
        <w:pStyle w:val="FirstParagraph"/>
      </w:pPr>
      <w:r>
        <w:t xml:space="preserve">A CIDR address is a Lisp CONS cell written in network notation: the address is the payload, the prefix length is the factoring depth, and the slash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the Omicron operator that resolves the relation between them.</w:t>
      </w:r>
    </w:p>
    <w:p>
      <w:pPr>
        <w:pStyle w:val="SourceCode"/>
      </w:pPr>
      <w:r>
        <w:rPr>
          <w:rStyle w:val="VerbatimChar"/>
        </w:rPr>
        <w:t xml:space="preserve">CIDR is CONS.</w:t>
      </w:r>
      <w:r>
        <w:br/>
      </w:r>
      <w:r>
        <w:rPr>
          <w:rStyle w:val="VerbatimChar"/>
        </w:rPr>
        <w:t xml:space="preserve">The slash is Omicron.</w:t>
      </w:r>
      <w:r>
        <w:br/>
      </w:r>
      <w:r>
        <w:rPr>
          <w:rStyle w:val="VerbatimChar"/>
        </w:rPr>
        <w:t xml:space="preserve">Longest-prefix match is resolution.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the-problem"/>
    <w:p>
      <w:pPr>
        <w:pStyle w:val="Heading1"/>
      </w:pPr>
      <w:r>
        <w:t xml:space="preserve">1. The Problem</w:t>
      </w:r>
    </w:p>
    <w:p>
      <w:pPr>
        <w:pStyle w:val="FirstParagraph"/>
      </w:pPr>
      <w:r>
        <w:t xml:space="preserve">The problem is decentralized addressing.</w:t>
      </w:r>
    </w:p>
    <w:p>
      <w:pPr>
        <w:pStyle w:val="BodyText"/>
      </w:pPr>
      <w:r>
        <w:t xml:space="preserve">A decentralized system needs a way to answer:</w:t>
      </w:r>
    </w:p>
    <w:p>
      <w:pPr>
        <w:pStyle w:val="SourceCode"/>
      </w:pPr>
      <w:r>
        <w:rPr>
          <w:rStyle w:val="VerbatimChar"/>
        </w:rPr>
        <w:t xml:space="preserve">Given a reference, where does it resolve?</w:t>
      </w:r>
    </w:p>
    <w:p>
      <w:pPr>
        <w:pStyle w:val="FirstParagraph"/>
      </w:pPr>
      <w:r>
        <w:t xml:space="preserve">That sounds simple, but it requires several things at once:</w:t>
      </w:r>
    </w:p>
    <w:p>
      <w:pPr>
        <w:pStyle w:val="Compact"/>
        <w:numPr>
          <w:ilvl w:val="0"/>
          <w:numId w:val="1001"/>
        </w:numPr>
      </w:pPr>
      <w:r>
        <w:t xml:space="preserve">A name or key.</w:t>
      </w:r>
    </w:p>
    <w:p>
      <w:pPr>
        <w:pStyle w:val="Compact"/>
        <w:numPr>
          <w:ilvl w:val="0"/>
          <w:numId w:val="1001"/>
        </w:numPr>
      </w:pPr>
      <w:r>
        <w:t xml:space="preserve">A continuation or target.</w:t>
      </w:r>
    </w:p>
    <w:p>
      <w:pPr>
        <w:pStyle w:val="Compact"/>
        <w:numPr>
          <w:ilvl w:val="0"/>
          <w:numId w:val="1001"/>
        </w:numPr>
      </w:pPr>
      <w:r>
        <w:t xml:space="preserve">A way to determine how much of the name is being resolved.</w:t>
      </w:r>
    </w:p>
    <w:p>
      <w:pPr>
        <w:pStyle w:val="Compact"/>
        <w:numPr>
          <w:ilvl w:val="0"/>
          <w:numId w:val="1001"/>
        </w:numPr>
      </w:pPr>
      <w:r>
        <w:t xml:space="preserve">A way to verify that the resolution is lawful.</w:t>
      </w:r>
    </w:p>
    <w:p>
      <w:pPr>
        <w:pStyle w:val="Compact"/>
        <w:numPr>
          <w:ilvl w:val="0"/>
          <w:numId w:val="1001"/>
        </w:numPr>
      </w:pPr>
      <w:r>
        <w:t xml:space="preserve">A way to route from broad scope to narrow scope.</w:t>
      </w:r>
    </w:p>
    <w:p>
      <w:pPr>
        <w:pStyle w:val="Compact"/>
        <w:numPr>
          <w:ilvl w:val="0"/>
          <w:numId w:val="1001"/>
        </w:numPr>
      </w:pPr>
      <w:r>
        <w:t xml:space="preserve">A way to compose many local tables without requiring one global authority.</w:t>
      </w:r>
    </w:p>
    <w:p>
      <w:pPr>
        <w:pStyle w:val="FirstParagraph"/>
      </w:pPr>
      <w:r>
        <w:t xml:space="preserve">Most systems split these apart:</w:t>
      </w:r>
    </w:p>
    <w:p>
      <w:pPr>
        <w:pStyle w:val="Compact"/>
        <w:numPr>
          <w:ilvl w:val="0"/>
          <w:numId w:val="1002"/>
        </w:numPr>
      </w:pPr>
      <w:r>
        <w:t xml:space="preserve">DNS handles names.</w:t>
      </w:r>
    </w:p>
    <w:p>
      <w:pPr>
        <w:pStyle w:val="Compact"/>
        <w:numPr>
          <w:ilvl w:val="0"/>
          <w:numId w:val="1002"/>
        </w:numPr>
      </w:pPr>
      <w:r>
        <w:t xml:space="preserve">IP handles routes.</w:t>
      </w:r>
    </w:p>
    <w:p>
      <w:pPr>
        <w:pStyle w:val="Compact"/>
        <w:numPr>
          <w:ilvl w:val="0"/>
          <w:numId w:val="1002"/>
        </w:numPr>
      </w:pPr>
      <w:r>
        <w:t xml:space="preserve">Hashes handle content identity.</w:t>
      </w:r>
    </w:p>
    <w:p>
      <w:pPr>
        <w:pStyle w:val="Compact"/>
        <w:numPr>
          <w:ilvl w:val="0"/>
          <w:numId w:val="1002"/>
        </w:numPr>
      </w:pPr>
      <w:r>
        <w:t xml:space="preserve">DHTs handle distributed lookup.</w:t>
      </w:r>
    </w:p>
    <w:p>
      <w:pPr>
        <w:pStyle w:val="Compact"/>
        <w:numPr>
          <w:ilvl w:val="0"/>
          <w:numId w:val="1002"/>
        </w:numPr>
      </w:pPr>
      <w:r>
        <w:t xml:space="preserve">Databases handle records.</w:t>
      </w:r>
    </w:p>
    <w:p>
      <w:pPr>
        <w:pStyle w:val="Compact"/>
        <w:numPr>
          <w:ilvl w:val="0"/>
          <w:numId w:val="1002"/>
        </w:numPr>
      </w:pPr>
      <w:r>
        <w:t xml:space="preserve">Programming languages handle structure.</w:t>
      </w:r>
    </w:p>
    <w:p>
      <w:pPr>
        <w:pStyle w:val="FirstParagraph"/>
      </w:pPr>
      <w:r>
        <w:t xml:space="preserve">The OMI reduction says these are all special cases of one primitive:</w:t>
      </w:r>
    </w:p>
    <w:p>
      <w:pPr>
        <w:pStyle w:val="SourceCode"/>
      </w:pPr>
      <w:r>
        <w:rPr>
          <w:rStyle w:val="VerbatimChar"/>
        </w:rPr>
        <w:t xml:space="preserve">resolution of a pair</w:t>
      </w:r>
    </w:p>
    <w:p>
      <w:pPr>
        <w:pStyle w:val="FirstParagraph"/>
      </w:pPr>
      <w:r>
        <w:t xml:space="preserve">That primitive is the CONS.</w:t>
      </w:r>
    </w:p>
    <w:p>
      <w:r>
        <w:pict>
          <v:rect style="width:0;height:1.5pt" o:hralign="center" o:hrstd="t" o:hr="t"/>
        </w:pict>
      </w:r>
    </w:p>
    <w:bookmarkEnd w:id="24"/>
    <w:bookmarkStart w:id="25" w:name="the-minimal-primitive-cons"/>
    <w:p>
      <w:pPr>
        <w:pStyle w:val="Heading1"/>
      </w:pPr>
      <w:r>
        <w:t xml:space="preserve">2. The Minimal Primitive: CONS</w:t>
      </w:r>
    </w:p>
    <w:p>
      <w:pPr>
        <w:pStyle w:val="FirstParagraph"/>
      </w:pPr>
      <w:r>
        <w:t xml:space="preserve">In Lisp, a CONS cell 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cdr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visually:</w:t>
      </w:r>
    </w:p>
    <w:p>
      <w:pPr>
        <w:pStyle w:val="SourceCode"/>
      </w:pPr>
      <w:r>
        <w:rPr>
          <w:rStyle w:val="VerbatimChar"/>
        </w:rPr>
        <w:t xml:space="preserve">(car . cdr)</w:t>
      </w:r>
    </w:p>
    <w:p>
      <w:pPr>
        <w:pStyle w:val="FirstParagraph"/>
      </w:pPr>
      <w:r>
        <w:t xml:space="preserve">This is the smallest possible structure that can express:</w:t>
      </w:r>
    </w:p>
    <w:p>
      <w:pPr>
        <w:pStyle w:val="SourceCode"/>
      </w:pPr>
      <w:r>
        <w:rPr>
          <w:rStyle w:val="VerbatimChar"/>
        </w:rPr>
        <w:t xml:space="preserve">head . continuation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identity . edge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is the current thing.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is the continuation.</w:t>
      </w:r>
    </w:p>
    <w:p>
      <w:pPr>
        <w:pStyle w:val="BodyText"/>
      </w:pPr>
      <w:r>
        <w:t xml:space="preserve">That means CONS is not merely a data structure.</w:t>
      </w:r>
    </w:p>
    <w:p>
      <w:pPr>
        <w:pStyle w:val="BodyText"/>
      </w:pPr>
      <w:r>
        <w:t xml:space="preserve">It is the minimal resolver form:</w:t>
      </w:r>
    </w:p>
    <w:p>
      <w:pPr>
        <w:pStyle w:val="SourceCode"/>
      </w:pPr>
      <w:r>
        <w:rPr>
          <w:rStyle w:val="VerbatimChar"/>
        </w:rPr>
        <w:t xml:space="preserve">Given a head, follow its continuation.</w:t>
      </w:r>
    </w:p>
    <w:p>
      <w:pPr>
        <w:pStyle w:val="FirstParagraph"/>
      </w:pPr>
      <w:r>
        <w:t xml:space="preserve">So the first principle is:</w:t>
      </w:r>
    </w:p>
    <w:p>
      <w:pPr>
        <w:pStyle w:val="SourceCode"/>
      </w:pPr>
      <w:r>
        <w:rPr>
          <w:rStyle w:val="VerbatimChar"/>
        </w:rPr>
        <w:t xml:space="preserve">Addressing begins as a pair.</w:t>
      </w:r>
    </w:p>
    <w:p>
      <w:r>
        <w:pict>
          <v:rect style="width:0;height:1.5pt" o:hralign="center" o:hrstd="t" o:hr="t"/>
        </w:pict>
      </w:r>
    </w:p>
    <w:bookmarkEnd w:id="25"/>
    <w:bookmarkStart w:id="26" w:name="why-ip-notation-matters"/>
    <w:p>
      <w:pPr>
        <w:pStyle w:val="Heading1"/>
      </w:pPr>
      <w:r>
        <w:t xml:space="preserve">3. Why IP Notation Matters</w:t>
      </w:r>
    </w:p>
    <w:p>
      <w:pPr>
        <w:pStyle w:val="FirstParagraph"/>
      </w:pPr>
      <w:r>
        <w:t xml:space="preserve">IP notation already contains a pairing operation.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192.168.1.0/24</w:t>
      </w:r>
    </w:p>
    <w:p>
      <w:pPr>
        <w:pStyle w:val="FirstParagraph"/>
      </w:pPr>
      <w:r>
        <w:t xml:space="preserve">This has two parts:</w:t>
      </w:r>
    </w:p>
    <w:p>
      <w:pPr>
        <w:pStyle w:val="SourceCode"/>
      </w:pPr>
      <w:r>
        <w:rPr>
          <w:rStyle w:val="VerbatimChar"/>
        </w:rPr>
        <w:t xml:space="preserve">192.168.1.0  = address payload</w:t>
      </w:r>
      <w:r>
        <w:br/>
      </w:r>
      <w:r>
        <w:rPr>
          <w:rStyle w:val="VerbatimChar"/>
        </w:rPr>
        <w:t xml:space="preserve">/24          = prefix length / resolution depth</w:t>
      </w:r>
    </w:p>
    <w:p>
      <w:pPr>
        <w:pStyle w:val="FirstParagraph"/>
      </w:pPr>
      <w:r>
        <w:t xml:space="preserve">In ordinary networking, this means:</w:t>
      </w:r>
    </w:p>
    <w:p>
      <w:pPr>
        <w:pStyle w:val="SourceCode"/>
      </w:pPr>
      <w:r>
        <w:rPr>
          <w:rStyle w:val="VerbatimChar"/>
        </w:rPr>
        <w:t xml:space="preserve">The first 24 bits define the network prefix.</w:t>
      </w:r>
    </w:p>
    <w:p>
      <w:pPr>
        <w:pStyle w:val="FirstParagraph"/>
      </w:pPr>
      <w:r>
        <w:t xml:space="preserve">In OMI terms, it means:</w:t>
      </w:r>
    </w:p>
    <w:p>
      <w:pPr>
        <w:pStyle w:val="SourceCode"/>
      </w:pPr>
      <w:r>
        <w:rPr>
          <w:rStyle w:val="VerbatimChar"/>
        </w:rPr>
        <w:t xml:space="preserve">Resolve this address only to depth 24.</w:t>
      </w:r>
    </w:p>
    <w:p>
      <w:pPr>
        <w:pStyle w:val="FirstParagraph"/>
      </w:pPr>
      <w:r>
        <w:t xml:space="preserve">So CIDR notation is already a pair: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network prefix-length)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(network . prefix-length)</w:t>
      </w:r>
    </w:p>
    <w:p>
      <w:pPr>
        <w:pStyle w:val="FirstParagraph"/>
      </w:pPr>
      <w:r>
        <w:t xml:space="preserve">The slash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the visible operator that separates the payload from the depth.</w:t>
      </w:r>
    </w:p>
    <w:p>
      <w:pPr>
        <w:pStyle w:val="BodyText"/>
      </w:pPr>
      <w:r>
        <w:t xml:space="preserve">That is why the slash becomes Omicron.</w:t>
      </w:r>
    </w:p>
    <w:p>
      <w:r>
        <w:pict>
          <v:rect style="width:0;height:1.5pt" o:hralign="center" o:hrstd="t" o:hr="t"/>
        </w:pict>
      </w:r>
    </w:p>
    <w:bookmarkEnd w:id="26"/>
    <w:bookmarkStart w:id="27" w:name="omicron"/>
    <w:p>
      <w:pPr>
        <w:pStyle w:val="Heading1"/>
      </w:pPr>
      <w:r>
        <w:t xml:space="preserve">4. Omicron</w:t>
      </w:r>
    </w:p>
    <w:p>
      <w:pPr>
        <w:pStyle w:val="FirstParagraph"/>
      </w:pPr>
      <w:r>
        <w:t xml:space="preserve">Omicron is the factoring operator.</w:t>
      </w:r>
    </w:p>
    <w:p>
      <w:pPr>
        <w:pStyle w:val="BodyText"/>
      </w:pPr>
      <w:r>
        <w:t xml:space="preserve">It sits at the boundary between:</w:t>
      </w:r>
    </w:p>
    <w:p>
      <w:pPr>
        <w:pStyle w:val="SourceCode"/>
      </w:pP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resolution depth</w:t>
      </w:r>
    </w:p>
    <w:p>
      <w:pPr>
        <w:pStyle w:val="FirstParagraph"/>
      </w:pPr>
      <w:r>
        <w:t xml:space="preserve">In CIDR notation:</w:t>
      </w:r>
    </w:p>
    <w:p>
      <w:pPr>
        <w:pStyle w:val="SourceCode"/>
      </w:pPr>
      <w:r>
        <w:rPr>
          <w:rStyle w:val="VerbatimChar"/>
        </w:rPr>
        <w:t xml:space="preserve">address/prefix</w:t>
      </w:r>
    </w:p>
    <w:p>
      <w:pPr>
        <w:pStyle w:val="FirstParagraph"/>
      </w:pPr>
      <w:r>
        <w:t xml:space="preserve">The slash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says:</w:t>
      </w:r>
    </w:p>
    <w:p>
      <w:pPr>
        <w:pStyle w:val="SourceCode"/>
      </w:pPr>
      <w:r>
        <w:rPr>
          <w:rStyle w:val="VerbatimChar"/>
        </w:rPr>
        <w:t xml:space="preserve">factor this address through this prefix depth</w:t>
      </w:r>
    </w:p>
    <w:p>
      <w:pPr>
        <w:pStyle w:val="FirstParagraph"/>
      </w:pPr>
      <w:r>
        <w:t xml:space="preserve">So Omicron is not a number and not merely a symbol.</w:t>
      </w:r>
    </w:p>
    <w:p>
      <w:pPr>
        <w:pStyle w:val="BodyText"/>
      </w:pPr>
      <w:r>
        <w:t xml:space="preserve">It is the operation that makes a payload resolvable.</w:t>
      </w:r>
    </w:p>
    <w:p>
      <w:pPr>
        <w:pStyle w:val="SourceCode"/>
      </w:pPr>
      <w:r>
        <w:rPr>
          <w:rStyle w:val="VerbatimChar"/>
        </w:rPr>
        <w:t xml:space="preserve">payload / depth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resolve payload under depth</w:t>
      </w:r>
    </w:p>
    <w:p>
      <w:pPr>
        <w:pStyle w:val="FirstParagraph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/ = Omicron boundary operator</w:t>
      </w:r>
    </w:p>
    <w:p>
      <w:r>
        <w:pict>
          <v:rect style="width:0;height:1.5pt" o:hralign="center" o:hrstd="t" o:hr="t"/>
        </w:pict>
      </w:r>
    </w:p>
    <w:bookmarkEnd w:id="27"/>
    <w:bookmarkStart w:id="28" w:name="cidr-as-cons"/>
    <w:p>
      <w:pPr>
        <w:pStyle w:val="Heading1"/>
      </w:pPr>
      <w:r>
        <w:t xml:space="preserve">5. CIDR as CONS</w:t>
      </w:r>
    </w:p>
    <w:p>
      <w:pPr>
        <w:pStyle w:val="FirstParagraph"/>
      </w:pPr>
      <w:r>
        <w:t xml:space="preserve">The core equation is:</w:t>
      </w:r>
    </w:p>
    <w:p>
      <w:pPr>
        <w:pStyle w:val="SourceCode"/>
      </w:pPr>
      <w:r>
        <w:rPr>
          <w:rStyle w:val="VerbatimChar"/>
        </w:rPr>
        <w:t xml:space="preserve">CIDR = CONS</w:t>
      </w:r>
    </w:p>
    <w:p>
      <w:pPr>
        <w:pStyle w:val="FirstParagraph"/>
      </w:pPr>
      <w:r>
        <w:t xml:space="preserve">More explicitly:</w:t>
      </w:r>
    </w:p>
    <w:p>
      <w:pPr>
        <w:pStyle w:val="SourceCode"/>
      </w:pPr>
      <w:r>
        <w:rPr>
          <w:rStyle w:val="VerbatimChar"/>
        </w:rPr>
        <w:t xml:space="preserve">address/prefix = (address . prefix)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address prefix)</w:t>
      </w:r>
    </w:p>
    <w:p>
      <w:pPr>
        <w:pStyle w:val="FirstParagraph"/>
      </w:pPr>
      <w:r>
        <w:t xml:space="preserve">In OMI language:</w:t>
      </w:r>
    </w:p>
    <w:p>
      <w:pPr>
        <w:pStyle w:val="SourceCode"/>
      </w:pPr>
      <w:r>
        <w:rPr>
          <w:rStyle w:val="VerbatimChar"/>
        </w:rPr>
        <w:t xml:space="preserve">CAR = address payload</w:t>
      </w:r>
      <w:r>
        <w:br/>
      </w:r>
      <w:r>
        <w:rPr>
          <w:rStyle w:val="VerbatimChar"/>
        </w:rPr>
        <w:t xml:space="preserve">CDR = factoring depth / continuation condition</w:t>
      </w:r>
      <w:r>
        <w:br/>
      </w:r>
      <w:r>
        <w:rPr>
          <w:rStyle w:val="VerbatimChar"/>
        </w:rPr>
        <w:t xml:space="preserve">/   = Omicron operator</w:t>
      </w:r>
    </w:p>
    <w:p>
      <w:pPr>
        <w:pStyle w:val="FirstParagraph"/>
      </w:pPr>
      <w:r>
        <w:t xml:space="preserve">This gives a direct bridge between Lisp structure and network notation:</w:t>
      </w:r>
    </w:p>
    <w:p>
      <w:pPr>
        <w:pStyle w:val="SourceCode"/>
      </w:pPr>
      <w:r>
        <w:rPr>
          <w:rStyle w:val="VerbatimChar"/>
        </w:rPr>
        <w:t xml:space="preserve">Lisp:    (car . cdr)</w:t>
      </w:r>
      <w:r>
        <w:br/>
      </w:r>
      <w:r>
        <w:rPr>
          <w:rStyle w:val="VerbatimChar"/>
        </w:rPr>
        <w:t xml:space="preserve">CIDR:    address/prefix</w:t>
      </w:r>
      <w:r>
        <w:br/>
      </w:r>
      <w:r>
        <w:rPr>
          <w:rStyle w:val="VerbatimChar"/>
        </w:rPr>
        <w:t xml:space="preserve">OMI:     payload / factoring-depth</w:t>
      </w:r>
    </w:p>
    <w:p>
      <w:pPr>
        <w:pStyle w:val="FirstParagraph"/>
      </w:pPr>
      <w:r>
        <w:t xml:space="preserve">That is the reduction.</w:t>
      </w:r>
    </w:p>
    <w:p>
      <w:r>
        <w:pict>
          <v:rect style="width:0;height:1.5pt" o:hralign="center" o:hrstd="t" o:hr="t"/>
        </w:pict>
      </w:r>
    </w:p>
    <w:bookmarkEnd w:id="28"/>
    <w:bookmarkStart w:id="29" w:name="longest-prefix-match-as-resolution"/>
    <w:p>
      <w:pPr>
        <w:pStyle w:val="Heading1"/>
      </w:pPr>
      <w:r>
        <w:t xml:space="preserve">6. Longest-Prefix Match as Resolution</w:t>
      </w:r>
    </w:p>
    <w:p>
      <w:pPr>
        <w:pStyle w:val="FirstParagraph"/>
      </w:pPr>
      <w:r>
        <w:t xml:space="preserve">In IP routing, the rule is longest-prefix match.</w:t>
      </w:r>
    </w:p>
    <w:p>
      <w:pPr>
        <w:pStyle w:val="BodyText"/>
      </w:pPr>
      <w:r>
        <w:t xml:space="preserve">Given a table:</w:t>
      </w:r>
    </w:p>
    <w:p>
      <w:pPr>
        <w:pStyle w:val="SourceCode"/>
      </w:pPr>
      <w:r>
        <w:rPr>
          <w:rStyle w:val="VerbatimChar"/>
        </w:rPr>
        <w:t xml:space="preserve">0.0.0.0/0          → default</w:t>
      </w:r>
      <w:r>
        <w:br/>
      </w:r>
      <w:r>
        <w:rPr>
          <w:rStyle w:val="VerbatimChar"/>
        </w:rPr>
        <w:t xml:space="preserve">10.0.0.0/8         → local mesh</w:t>
      </w:r>
      <w:r>
        <w:br/>
      </w:r>
      <w:r>
        <w:rPr>
          <w:rStyle w:val="VerbatimChar"/>
        </w:rPr>
        <w:t xml:space="preserve">10.120.0.0/16      → region</w:t>
      </w:r>
      <w:r>
        <w:br/>
      </w:r>
      <w:r>
        <w:rPr>
          <w:rStyle w:val="VerbatimChar"/>
        </w:rPr>
        <w:t xml:space="preserve">10.120.78.0/24     → event board</w:t>
      </w:r>
      <w:r>
        <w:br/>
      </w:r>
      <w:r>
        <w:rPr>
          <w:rStyle w:val="VerbatimChar"/>
        </w:rPr>
        <w:t xml:space="preserve">10.120.78.40/32    → exact object</w:t>
      </w:r>
    </w:p>
    <w:p>
      <w:pPr>
        <w:pStyle w:val="FirstParagraph"/>
      </w:pPr>
      <w:r>
        <w:t xml:space="preserve">and query:</w:t>
      </w:r>
    </w:p>
    <w:p>
      <w:pPr>
        <w:pStyle w:val="SourceCode"/>
      </w:pPr>
      <w:r>
        <w:rPr>
          <w:rStyle w:val="VerbatimChar"/>
        </w:rPr>
        <w:t xml:space="preserve">10.120.78.40</w:t>
      </w:r>
    </w:p>
    <w:p>
      <w:pPr>
        <w:pStyle w:val="FirstParagraph"/>
      </w:pPr>
      <w:r>
        <w:t xml:space="preserve">the resolver chooses:</w:t>
      </w:r>
    </w:p>
    <w:p>
      <w:pPr>
        <w:pStyle w:val="SourceCode"/>
      </w:pPr>
      <w:r>
        <w:rPr>
          <w:rStyle w:val="VerbatimChar"/>
        </w:rPr>
        <w:t xml:space="preserve">10.120.78.40/32</w:t>
      </w:r>
    </w:p>
    <w:p>
      <w:pPr>
        <w:pStyle w:val="FirstParagraph"/>
      </w:pPr>
      <w:r>
        <w:t xml:space="preserve">because it is the deepest matching prefix.</w:t>
      </w:r>
    </w:p>
    <w:p>
      <w:pPr>
        <w:pStyle w:val="BodyText"/>
      </w:pPr>
      <w:r>
        <w:t xml:space="preserve">In OMI terms:</w:t>
      </w:r>
    </w:p>
    <w:p>
      <w:pPr>
        <w:pStyle w:val="SourceCode"/>
      </w:pPr>
      <w:r>
        <w:rPr>
          <w:rStyle w:val="VerbatimChar"/>
        </w:rPr>
        <w:t xml:space="preserve">resolution chooses the most specific lawful factoring depth.</w:t>
      </w:r>
    </w:p>
    <w:p>
      <w:pPr>
        <w:pStyle w:val="FirstParagraph"/>
      </w:pPr>
      <w:r>
        <w:t xml:space="preserve">This is exactly what a decentralized lookup table needs.</w:t>
      </w:r>
    </w:p>
    <w:p>
      <w:pPr>
        <w:pStyle w:val="BodyText"/>
      </w:pPr>
      <w:r>
        <w:t xml:space="preserve">It can resolve broadly when only broad information is known, and narrowly when more precise information is available.</w:t>
      </w:r>
    </w:p>
    <w:p>
      <w:pPr>
        <w:pStyle w:val="SourceCode"/>
      </w:pPr>
      <w:r>
        <w:rPr>
          <w:rStyle w:val="VerbatimChar"/>
        </w:rPr>
        <w:t xml:space="preserve">/0   = entire address space</w:t>
      </w:r>
      <w:r>
        <w:br/>
      </w:r>
      <w:r>
        <w:rPr>
          <w:rStyle w:val="VerbatimChar"/>
        </w:rPr>
        <w:t xml:space="preserve">/8   = large region</w:t>
      </w:r>
      <w:r>
        <w:br/>
      </w:r>
      <w:r>
        <w:rPr>
          <w:rStyle w:val="VerbatimChar"/>
        </w:rPr>
        <w:t xml:space="preserve">/16  = local region</w:t>
      </w:r>
      <w:r>
        <w:br/>
      </w:r>
      <w:r>
        <w:rPr>
          <w:rStyle w:val="VerbatimChar"/>
        </w:rPr>
        <w:t xml:space="preserve">/24  = subnet or board</w:t>
      </w:r>
      <w:r>
        <w:br/>
      </w:r>
      <w:r>
        <w:rPr>
          <w:rStyle w:val="VerbatimChar"/>
        </w:rPr>
        <w:t xml:space="preserve">/32  = exact IPv4 object</w:t>
      </w:r>
      <w:r>
        <w:br/>
      </w:r>
      <w:r>
        <w:rPr>
          <w:rStyle w:val="VerbatimChar"/>
        </w:rPr>
        <w:t xml:space="preserve">/128 = exact IPv6 object</w:t>
      </w:r>
    </w:p>
    <w:p>
      <w:pPr>
        <w:pStyle w:val="FirstParagraph"/>
      </w:pPr>
      <w:r>
        <w:t xml:space="preserve">The lookup operation is therefore:</w:t>
      </w:r>
    </w:p>
    <w:p>
      <w:pPr>
        <w:pStyle w:val="SourceCode"/>
      </w:pPr>
      <w:r>
        <w:rPr>
          <w:rStyle w:val="VerbatimChar"/>
        </w:rPr>
        <w:t xml:space="preserve">find the deepest matching CONS pair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find the most specific Omicron factorization</w:t>
      </w:r>
    </w:p>
    <w:p>
      <w:r>
        <w:pict>
          <v:rect style="width:0;height:1.5pt" o:hralign="center" o:hrstd="t" o:hr="t"/>
        </w:pict>
      </w:r>
    </w:p>
    <w:bookmarkEnd w:id="29"/>
    <w:bookmarkStart w:id="30" w:name="the-seven-layer-omi-reduction"/>
    <w:p>
      <w:pPr>
        <w:pStyle w:val="Heading1"/>
      </w:pPr>
      <w:r>
        <w:t xml:space="preserve">7. The Seven-Layer OMI Reduction</w:t>
      </w:r>
    </w:p>
    <w:p>
      <w:pPr>
        <w:pStyle w:val="FirstParagraph"/>
      </w:pPr>
      <w:r>
        <w:t xml:space="preserve">The earlier large layer systems can reduce to a balanced seven-layer kernel:</w:t>
      </w:r>
    </w:p>
    <w:p>
      <w:pPr>
        <w:pStyle w:val="SourceCode"/>
      </w:pPr>
      <w:r>
        <w:rPr>
          <w:rStyle w:val="VerbatimChar"/>
        </w:rPr>
        <w:t xml:space="preserve">-3  significand decomposition</w:t>
      </w:r>
      <w:r>
        <w:br/>
      </w:r>
      <w:r>
        <w:rPr>
          <w:rStyle w:val="VerbatimChar"/>
        </w:rPr>
        <w:t xml:space="preserve">-2  exponent factoring</w:t>
      </w:r>
      <w:r>
        <w:br/>
      </w:r>
      <w:r>
        <w:rPr>
          <w:rStyle w:val="VerbatimChar"/>
        </w:rPr>
        <w:t xml:space="preserve">-1  sign inversion</w:t>
      </w:r>
      <w:r>
        <w:br/>
      </w:r>
      <w:r>
        <w:rPr>
          <w:rStyle w:val="VerbatimChar"/>
        </w:rPr>
        <w:t xml:space="preserve"> 0  Omicron normalization</w:t>
      </w:r>
      <w:r>
        <w:br/>
      </w:r>
      <w:r>
        <w:rPr>
          <w:rStyle w:val="VerbatimChar"/>
        </w:rPr>
        <w:t xml:space="preserve">+1  sign orientation</w:t>
      </w:r>
      <w:r>
        <w:br/>
      </w:r>
      <w:r>
        <w:rPr>
          <w:rStyle w:val="VerbatimChar"/>
        </w:rPr>
        <w:t xml:space="preserve">+2  exponent composition</w:t>
      </w:r>
      <w:r>
        <w:br/>
      </w:r>
      <w:r>
        <w:rPr>
          <w:rStyle w:val="VerbatimChar"/>
        </w:rPr>
        <w:t xml:space="preserve">+3  significand realization</w:t>
      </w:r>
    </w:p>
    <w:p>
      <w:pPr>
        <w:pStyle w:val="FirstParagraph"/>
      </w:pPr>
      <w:r>
        <w:t xml:space="preserve">This is the bit-pattern form.</w:t>
      </w:r>
    </w:p>
    <w:p>
      <w:pPr>
        <w:pStyle w:val="BodyText"/>
      </w:pPr>
      <w:r>
        <w:t xml:space="preserve">It mirrors floating-point structure, but it does not require floating-point arithmetic.</w:t>
      </w:r>
    </w:p>
    <w:p>
      <w:pPr>
        <w:pStyle w:val="BodyText"/>
      </w:pPr>
      <w:r>
        <w:t xml:space="preserve">The key structure is:</w:t>
      </w:r>
    </w:p>
    <w:p>
      <w:pPr>
        <w:pStyle w:val="SourceCode"/>
      </w:pPr>
      <w:r>
        <w:rPr>
          <w:rStyle w:val="VerbatimChar"/>
        </w:rPr>
        <w:t xml:space="preserve">sign + exponent + significand</w:t>
      </w:r>
    </w:p>
    <w:p>
      <w:pPr>
        <w:pStyle w:val="FirstParagraph"/>
      </w:pPr>
      <w:r>
        <w:t xml:space="preserve">which can be read as:</w:t>
      </w:r>
    </w:p>
    <w:p>
      <w:pPr>
        <w:pStyle w:val="SourceCode"/>
      </w:pPr>
      <w:r>
        <w:rPr>
          <w:rStyle w:val="VerbatimChar"/>
        </w:rPr>
        <w:t xml:space="preserve">orientation + scale + payload</w:t>
      </w:r>
    </w:p>
    <w:p>
      <w:pPr>
        <w:pStyle w:val="FirstParagraph"/>
      </w:pPr>
      <w:r>
        <w:t xml:space="preserve">In OMI terms:</w:t>
      </w:r>
    </w:p>
    <w:p>
      <w:pPr>
        <w:pStyle w:val="SourceCode"/>
      </w:pPr>
      <w:r>
        <w:rPr>
          <w:rStyle w:val="VerbatimChar"/>
        </w:rPr>
        <w:t xml:space="preserve">sign        = orientation</w:t>
      </w:r>
      <w:r>
        <w:br/>
      </w:r>
      <w:r>
        <w:rPr>
          <w:rStyle w:val="VerbatimChar"/>
        </w:rPr>
        <w:t xml:space="preserve">exponent    = factoring depth</w:t>
      </w:r>
      <w:r>
        <w:br/>
      </w:r>
      <w:r>
        <w:rPr>
          <w:rStyle w:val="VerbatimChar"/>
        </w:rPr>
        <w:t xml:space="preserve">significand = payload</w:t>
      </w:r>
    </w:p>
    <w:p>
      <w:pPr>
        <w:pStyle w:val="FirstParagraph"/>
      </w:pPr>
      <w:r>
        <w:t xml:space="preserve">So the balanced seven-layer kernel becomes:</w:t>
      </w:r>
    </w:p>
    <w:p>
      <w:pPr>
        <w:pStyle w:val="SourceCode"/>
      </w:pP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orientation</w:t>
      </w:r>
      <w:r>
        <w:br/>
      </w:r>
      <w:r>
        <w:rPr>
          <w:rStyle w:val="VerbatimChar"/>
        </w:rPr>
        <w:t xml:space="preserve">Omicron</w:t>
      </w:r>
      <w:r>
        <w:br/>
      </w:r>
      <w:r>
        <w:rPr>
          <w:rStyle w:val="VerbatimChar"/>
        </w:rPr>
        <w:t xml:space="preserve">orientation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This explains why exponent/factoring kept appearing in the architecture.</w:t>
      </w:r>
    </w:p>
    <w:p>
      <w:pPr>
        <w:pStyle w:val="BodyText"/>
      </w:pPr>
      <w:r>
        <w:t xml:space="preserve">The exponent is the depth at which an address is resolved.</w:t>
      </w:r>
    </w:p>
    <w:p>
      <w:pPr>
        <w:pStyle w:val="BodyText"/>
      </w:pPr>
      <w:r>
        <w:t xml:space="preserve">CIDR prefix length is already an exponent-like resolution depth.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address/prefix</w:t>
      </w:r>
    </w:p>
    <w:p>
      <w:pPr>
        <w:pStyle w:val="FirstParagraph"/>
      </w:pPr>
      <w:r>
        <w:t xml:space="preserve">is a concrete, practical notation for:</w:t>
      </w:r>
    </w:p>
    <w:p>
      <w:pPr>
        <w:pStyle w:val="SourceCode"/>
      </w:pPr>
      <w:r>
        <w:rPr>
          <w:rStyle w:val="VerbatimChar"/>
        </w:rPr>
        <w:t xml:space="preserve">significand/exponent</w:t>
      </w:r>
    </w:p>
    <w:p>
      <w:r>
        <w:pict>
          <v:rect style="width:0;height:1.5pt" o:hralign="center" o:hrstd="t" o:hr="t"/>
        </w:pict>
      </w:r>
    </w:p>
    <w:bookmarkEnd w:id="30"/>
    <w:bookmarkStart w:id="31" w:name="Xc6d3906df90559686df1264979e4b919d05cc60"/>
    <w:p>
      <w:pPr>
        <w:pStyle w:val="Heading1"/>
      </w:pPr>
      <w:r>
        <w:t xml:space="preserve">8. IPv4 and IPv6 as Low and High Omicron Coordinates</w:t>
      </w:r>
    </w:p>
    <w:p>
      <w:pPr>
        <w:pStyle w:val="FirstParagraph"/>
      </w:pPr>
      <w:r>
        <w:t xml:space="preserve">IPv4 is 32 bits.</w:t>
      </w:r>
    </w:p>
    <w:p>
      <w:pPr>
        <w:pStyle w:val="BodyText"/>
      </w:pPr>
      <w:r>
        <w:t xml:space="preserve">IPv6 is 128 bits.</w:t>
      </w:r>
    </w:p>
    <w:p>
      <w:pPr>
        <w:pStyle w:val="BodyText"/>
      </w:pPr>
      <w:r>
        <w:t xml:space="preserve">In normal networking, they are two address families.</w:t>
      </w:r>
    </w:p>
    <w:p>
      <w:pPr>
        <w:pStyle w:val="BodyText"/>
      </w:pPr>
      <w:r>
        <w:t xml:space="preserve">In OMI, they can be treated as two projection scales of the same resolver idea.</w:t>
      </w:r>
    </w:p>
    <w:p>
      <w:pPr>
        <w:pStyle w:val="SourceCode"/>
      </w:pPr>
      <w:r>
        <w:rPr>
          <w:rStyle w:val="VerbatimChar"/>
        </w:rPr>
        <w:t xml:space="preserve">IPv4 = low address projection</w:t>
      </w:r>
      <w:r>
        <w:br/>
      </w:r>
      <w:r>
        <w:rPr>
          <w:rStyle w:val="VerbatimChar"/>
        </w:rPr>
        <w:t xml:space="preserve">IPv6 = high continuation frame</w:t>
      </w:r>
    </w:p>
    <w:p>
      <w:pPr>
        <w:pStyle w:val="FirstParagraph"/>
      </w:pPr>
      <w:r>
        <w:t xml:space="preserve">IPv4 can be interpreted through a 32-bit sign/exponent/significand grammar:</w:t>
      </w:r>
    </w:p>
    <w:p>
      <w:pPr>
        <w:pStyle w:val="SourceCode"/>
      </w:pPr>
      <w:r>
        <w:rPr>
          <w:rStyle w:val="VerbatimChar"/>
        </w:rPr>
        <w:t xml:space="preserve">1 bit   = sign / orientation</w:t>
      </w:r>
      <w:r>
        <w:br/>
      </w:r>
      <w:r>
        <w:rPr>
          <w:rStyle w:val="VerbatimChar"/>
        </w:rPr>
        <w:t xml:space="preserve">8 bits  = exponent / scale</w:t>
      </w:r>
      <w:r>
        <w:br/>
      </w:r>
      <w:r>
        <w:rPr>
          <w:rStyle w:val="VerbatimChar"/>
        </w:rPr>
        <w:t xml:space="preserve">23 bits = significand / payload</w:t>
      </w:r>
    </w:p>
    <w:p>
      <w:pPr>
        <w:pStyle w:val="FirstParagraph"/>
      </w:pPr>
      <w:r>
        <w:t xml:space="preserve">This mirrors the familiar 32-bit floating representation pattern, but OMI uses it as a bitwise addressing grammar, not as a floating-point number.</w:t>
      </w:r>
    </w:p>
    <w:p>
      <w:pPr>
        <w:pStyle w:val="BodyText"/>
      </w:pPr>
      <w:r>
        <w:t xml:space="preserve">IPv6 gives a 128-bit continuation field:</w:t>
      </w:r>
    </w:p>
    <w:p>
      <w:pPr>
        <w:pStyle w:val="SourceCode"/>
      </w:pPr>
      <w:r>
        <w:rPr>
          <w:rStyle w:val="VerbatimChar"/>
        </w:rPr>
        <w:t xml:space="preserve">128 bits = high continuation space</w:t>
      </w:r>
    </w:p>
    <w:p>
      <w:pPr>
        <w:pStyle w:val="FirstParagraph"/>
      </w:pPr>
      <w:r>
        <w:t xml:space="preserve">So the conceptual bridge is:</w:t>
      </w:r>
    </w:p>
    <w:p>
      <w:pPr>
        <w:pStyle w:val="SourceCode"/>
      </w:pPr>
      <w:r>
        <w:rPr>
          <w:rStyle w:val="VerbatimChar"/>
        </w:rPr>
        <w:t xml:space="preserve">ip6-notation / Omicron</w:t>
      </w:r>
      <w:r>
        <w:br/>
      </w:r>
      <w:r>
        <w:rPr>
          <w:rStyle w:val="VerbatimChar"/>
        </w:rPr>
        <w:t xml:space="preserve">===</w:t>
      </w:r>
      <w:r>
        <w:br/>
      </w:r>
      <w:r>
        <w:rPr>
          <w:rStyle w:val="VerbatimChar"/>
        </w:rPr>
        <w:t xml:space="preserve">Omicron([sign][exponent][significand])</w:t>
      </w:r>
      <w:r>
        <w:br/>
      </w:r>
      <w:r>
        <w:rPr>
          <w:rStyle w:val="VerbatimChar"/>
        </w:rPr>
        <w:t xml:space="preserve">===</w:t>
      </w:r>
      <w:r>
        <w:br/>
      </w:r>
      <w:r>
        <w:rPr>
          <w:rStyle w:val="VerbatimChar"/>
        </w:rPr>
        <w:t xml:space="preserve">ip4-notation / Omicron</w:t>
      </w:r>
    </w:p>
    <w:p>
      <w:pPr>
        <w:pStyle w:val="FirstParagraph"/>
      </w:pPr>
      <w:r>
        <w:t xml:space="preserve">This does not mean IPv4 and IPv6 are literally the same protocol.</w:t>
      </w:r>
    </w:p>
    <w:p>
      <w:pPr>
        <w:pStyle w:val="BodyText"/>
      </w:pPr>
      <w:r>
        <w:t xml:space="preserve">It means they can be treated as two notations for address factorization:</w:t>
      </w:r>
    </w:p>
    <w:p>
      <w:pPr>
        <w:pStyle w:val="SourceCode"/>
      </w:pPr>
      <w:r>
        <w:rPr>
          <w:rStyle w:val="VerbatimChar"/>
        </w:rPr>
        <w:t xml:space="preserve">IPv4 = compact low projection</w:t>
      </w:r>
      <w:r>
        <w:br/>
      </w:r>
      <w:r>
        <w:rPr>
          <w:rStyle w:val="VerbatimChar"/>
        </w:rPr>
        <w:t xml:space="preserve">IPv6 = extended high continuation</w:t>
      </w:r>
    </w:p>
    <w:p>
      <w:r>
        <w:pict>
          <v:rect style="width:0;height:1.5pt" o:hralign="center" o:hrstd="t" o:hr="t"/>
        </w:pict>
      </w:r>
    </w:p>
    <w:bookmarkEnd w:id="31"/>
    <w:bookmarkStart w:id="35" w:name="cons256"/>
    <w:p>
      <w:pPr>
        <w:pStyle w:val="Heading1"/>
      </w:pPr>
      <w:r>
        <w:t xml:space="preserve">9. CONS256</w:t>
      </w:r>
    </w:p>
    <w:p>
      <w:pPr>
        <w:pStyle w:val="FirstParagraph"/>
      </w:pPr>
      <w:r>
        <w:t xml:space="preserve">The canonical OMI runtime record is:</w:t>
      </w:r>
    </w:p>
    <w:p>
      <w:pPr>
        <w:pStyle w:val="SourceCode"/>
      </w:pPr>
      <w:r>
        <w:rPr>
          <w:rStyle w:val="VerbatimChar"/>
        </w:rPr>
        <w:t xml:space="preserve">CONS256</w:t>
      </w:r>
    </w:p>
    <w:p>
      <w:pPr>
        <w:pStyle w:val="FirstParagraph"/>
      </w:pPr>
      <w:r>
        <w:t xml:space="preserve">It has three fields:</w:t>
      </w:r>
    </w:p>
    <w:p>
      <w:pPr>
        <w:pStyle w:val="SourceCode"/>
      </w:pPr>
      <w:r>
        <w:rPr>
          <w:rStyle w:val="VerbatimChar"/>
        </w:rPr>
        <w:t xml:space="preserve">CONS256</w:t>
      </w:r>
      <w:r>
        <w:br/>
      </w:r>
      <w:r>
        <w:rPr>
          <w:rStyle w:val="VerbatimChar"/>
        </w:rPr>
        <w:t xml:space="preserve">├── CAR64</w:t>
      </w:r>
      <w:r>
        <w:br/>
      </w:r>
      <w:r>
        <w:rPr>
          <w:rStyle w:val="VerbatimChar"/>
        </w:rPr>
        <w:t xml:space="preserve">├── CDR128</w:t>
      </w:r>
      <w:r>
        <w:br/>
      </w:r>
      <w:r>
        <w:rPr>
          <w:rStyle w:val="VerbatimChar"/>
        </w:rPr>
        <w:t xml:space="preserve">└── META64</w:t>
      </w:r>
    </w:p>
    <w:p>
      <w:pPr>
        <w:pStyle w:val="FirstParagraph"/>
      </w:pPr>
      <w:r>
        <w:t xml:space="preserve">with total width:</w:t>
      </w:r>
    </w:p>
    <w:p>
      <w:pPr>
        <w:pStyle w:val="SourceCode"/>
      </w:pPr>
      <w:r>
        <w:rPr>
          <w:rStyle w:val="VerbatimChar"/>
        </w:rPr>
        <w:t xml:space="preserve">64 + 128 + 64 = 256 bits</w:t>
      </w:r>
    </w:p>
    <w:p>
      <w:pPr>
        <w:pStyle w:val="FirstParagraph"/>
      </w:pPr>
      <w:r>
        <w:t xml:space="preserve">But the fields have different roles.</w:t>
      </w:r>
    </w:p>
    <w:bookmarkStart w:id="32" w:name="car64"/>
    <w:p>
      <w:pPr>
        <w:pStyle w:val="Heading2"/>
      </w:pPr>
      <w:r>
        <w:t xml:space="preserve">CAR64</w:t>
      </w:r>
    </w:p>
    <w:p>
      <w:pPr>
        <w:pStyle w:val="SourceCode"/>
      </w:pPr>
      <w:r>
        <w:rPr>
          <w:rStyle w:val="VerbatimChar"/>
        </w:rPr>
        <w:t xml:space="preserve">CAR64 = semantic head / identity / reference nucleus</w:t>
      </w:r>
    </w:p>
    <w:p>
      <w:pPr>
        <w:pStyle w:val="FirstParagraph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what is being referenced?</w:t>
      </w:r>
    </w:p>
    <w:bookmarkEnd w:id="32"/>
    <w:bookmarkStart w:id="33" w:name="cdr128"/>
    <w:p>
      <w:pPr>
        <w:pStyle w:val="Heading2"/>
      </w:pPr>
      <w:r>
        <w:t xml:space="preserve">CDR128</w:t>
      </w:r>
    </w:p>
    <w:p>
      <w:pPr>
        <w:pStyle w:val="SourceCode"/>
      </w:pPr>
      <w:r>
        <w:rPr>
          <w:rStyle w:val="VerbatimChar"/>
        </w:rPr>
        <w:t xml:space="preserve">CDR128 = continuation / edge / resolver target</w:t>
      </w:r>
    </w:p>
    <w:p>
      <w:pPr>
        <w:pStyle w:val="FirstParagraph"/>
      </w:pPr>
      <w:r>
        <w:t xml:space="preserve">It answers:</w:t>
      </w:r>
    </w:p>
    <w:p>
      <w:pPr>
        <w:pStyle w:val="SourceCode"/>
      </w:pPr>
      <w:r>
        <w:rPr>
          <w:rStyle w:val="VerbatimChar"/>
        </w:rPr>
        <w:t xml:space="preserve">where does it continue?</w:t>
      </w:r>
    </w:p>
    <w:p>
      <w:pPr>
        <w:pStyle w:val="FirstParagraph"/>
      </w:pPr>
      <w:r>
        <w:t xml:space="preserve">This is the edge.</w:t>
      </w:r>
    </w:p>
    <w:p>
      <w:pPr>
        <w:pStyle w:val="BodyText"/>
      </w:pPr>
      <w:r>
        <w:t xml:space="preserve">The CDR is the edge.</w:t>
      </w:r>
    </w:p>
    <w:bookmarkEnd w:id="33"/>
    <w:bookmarkStart w:id="34" w:name="meta64"/>
    <w:p>
      <w:pPr>
        <w:pStyle w:val="Heading2"/>
      </w:pPr>
      <w:r>
        <w:t xml:space="preserve">META64</w:t>
      </w:r>
    </w:p>
    <w:p>
      <w:pPr>
        <w:pStyle w:val="SourceCode"/>
      </w:pPr>
      <w:r>
        <w:rPr>
          <w:rStyle w:val="VerbatimChar"/>
        </w:rPr>
        <w:t xml:space="preserve">META64 = receipt / proof of resolution</w:t>
      </w:r>
    </w:p>
    <w:p>
      <w:pPr>
        <w:pStyle w:val="FirstParagraph"/>
      </w:pPr>
      <w:r>
        <w:t xml:space="preserve">META64 is not the edge.</w:t>
      </w:r>
    </w:p>
    <w:p>
      <w:pPr>
        <w:pStyle w:val="BodyText"/>
      </w:pPr>
      <w:r>
        <w:t xml:space="preserve">META64 is not payload.</w:t>
      </w:r>
    </w:p>
    <w:p>
      <w:pPr>
        <w:pStyle w:val="BodyText"/>
      </w:pPr>
      <w:r>
        <w:t xml:space="preserve">META64 is not a metadata table.</w:t>
      </w:r>
    </w:p>
    <w:p>
      <w:pPr>
        <w:pStyle w:val="BodyText"/>
      </w:pPr>
      <w:r>
        <w:t xml:space="preserve">META64 is a receipt proving that the CAR/CDR relation resolved lawfully.</w:t>
      </w:r>
    </w:p>
    <w:p>
      <w:pPr>
        <w:pStyle w:val="SourceCode"/>
      </w:pPr>
      <w:r>
        <w:rPr>
          <w:rStyle w:val="VerbatimChar"/>
        </w:rPr>
        <w:t xml:space="preserve">CAR = head</w:t>
      </w:r>
      <w:r>
        <w:br/>
      </w:r>
      <w:r>
        <w:rPr>
          <w:rStyle w:val="VerbatimChar"/>
        </w:rPr>
        <w:t xml:space="preserve">CDR = edge</w:t>
      </w:r>
      <w:r>
        <w:br/>
      </w:r>
      <w:r>
        <w:rPr>
          <w:rStyle w:val="VerbatimChar"/>
        </w:rPr>
        <w:t xml:space="preserve">META = proof receipt</w:t>
      </w:r>
    </w:p>
    <w:p>
      <w:pPr>
        <w:pStyle w:val="FirstParagraph"/>
      </w:pPr>
      <w:r>
        <w:t xml:space="preserve">This predicate must stay locked.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eta64-as-receipt"/>
    <w:p>
      <w:pPr>
        <w:pStyle w:val="Heading1"/>
      </w:pPr>
      <w:r>
        <w:t xml:space="preserve">10. META64 as Receipt</w:t>
      </w:r>
    </w:p>
    <w:p>
      <w:pPr>
        <w:pStyle w:val="FirstParagraph"/>
      </w:pPr>
      <w:r>
        <w:t xml:space="preserve">META64 is a 64-bit proof receipt.</w:t>
      </w:r>
    </w:p>
    <w:p>
      <w:pPr>
        <w:pStyle w:val="BodyText"/>
      </w:pPr>
      <w:r>
        <w:t xml:space="preserve">It may be rendered as Base64 text.</w:t>
      </w:r>
    </w:p>
    <w:p>
      <w:pPr>
        <w:pStyle w:val="BodyText"/>
      </w:pPr>
      <w:r>
        <w:t xml:space="preserve">It proves a relation, but it does not contain the full relation.</w:t>
      </w:r>
    </w:p>
    <w:p>
      <w:pPr>
        <w:pStyle w:val="BodyText"/>
      </w:pPr>
      <w:r>
        <w:t xml:space="preserve">A simple v0 receipt can be:</w:t>
      </w:r>
    </w:p>
    <w:p>
      <w:pPr>
        <w:pStyle w:val="SourceCode"/>
      </w:pPr>
      <w:r>
        <w:rPr>
          <w:rStyle w:val="VerbatimChar"/>
        </w:rPr>
        <w:t xml:space="preserve">META64 = first 64 bits of hash(CAR64 || CDR128 || version)</w:t>
      </w:r>
    </w:p>
    <w:p>
      <w:pPr>
        <w:pStyle w:val="FirstParagraph"/>
      </w:pPr>
      <w:r>
        <w:t xml:space="preserve">Later, the receipt can become the stronger OMI form:</w:t>
      </w:r>
    </w:p>
    <w:p>
      <w:pPr>
        <w:pStyle w:val="SourceCode"/>
      </w:pPr>
      <w:r>
        <w:rPr>
          <w:rStyle w:val="VerbatimChar"/>
        </w:rPr>
        <w:t xml:space="preserve">64 proof bits = 16 × 4-bit truth cells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16 truth predicates over 16 CDR resolution surfaces</w:t>
      </w:r>
    </w:p>
    <w:p>
      <w:pPr>
        <w:pStyle w:val="FirstParagraph"/>
      </w:pPr>
      <w:r>
        <w:t xml:space="preserve">But the role does not change:</w:t>
      </w:r>
    </w:p>
    <w:p>
      <w:pPr>
        <w:pStyle w:val="SourceCode"/>
      </w:pPr>
      <w:r>
        <w:rPr>
          <w:rStyle w:val="VerbatimChar"/>
        </w:rPr>
        <w:t xml:space="preserve">META64 proves the edge.</w:t>
      </w:r>
      <w:r>
        <w:br/>
      </w:r>
      <w:r>
        <w:rPr>
          <w:rStyle w:val="VerbatimChar"/>
        </w:rPr>
        <w:t xml:space="preserve">CDR carries the edge.</w:t>
      </w:r>
    </w:p>
    <w:p>
      <w:r>
        <w:pict>
          <v:rect style="width:0;height:1.5pt" o:hralign="center" o:hrstd="t" o:hr="t"/>
        </w:pict>
      </w:r>
    </w:p>
    <w:bookmarkEnd w:id="36"/>
    <w:bookmarkStart w:id="37" w:name="the-minimal-lookup-table"/>
    <w:p>
      <w:pPr>
        <w:pStyle w:val="Heading1"/>
      </w:pPr>
      <w:r>
        <w:t xml:space="preserve">11. The Minimal Lookup Table</w:t>
      </w:r>
    </w:p>
    <w:p>
      <w:pPr>
        <w:pStyle w:val="FirstParagraph"/>
      </w:pPr>
      <w:r>
        <w:t xml:space="preserve">A decentralized OMI lookup table starts as a local prefix table.</w:t>
      </w:r>
    </w:p>
    <w:p>
      <w:pPr>
        <w:pStyle w:val="BodyText"/>
      </w:pPr>
      <w:r>
        <w:t xml:space="preserve">Each row is:</w:t>
      </w:r>
    </w:p>
    <w:p>
      <w:pPr>
        <w:pStyle w:val="SourceCode"/>
      </w:pPr>
      <w:r>
        <w:rPr>
          <w:rStyle w:val="VerbatimChar"/>
        </w:rPr>
        <w:t xml:space="preserve">prefix → value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10.0.0.0/8        → local mesh</w:t>
      </w:r>
      <w:r>
        <w:br/>
      </w:r>
      <w:r>
        <w:rPr>
          <w:rStyle w:val="VerbatimChar"/>
        </w:rPr>
        <w:t xml:space="preserve">10.120.0.0/16     → bike region</w:t>
      </w:r>
      <w:r>
        <w:br/>
      </w:r>
      <w:r>
        <w:rPr>
          <w:rStyle w:val="VerbatimChar"/>
        </w:rPr>
        <w:t xml:space="preserve">10.120.78.0/24    → event board</w:t>
      </w:r>
      <w:r>
        <w:br/>
      </w:r>
      <w:r>
        <w:rPr>
          <w:rStyle w:val="VerbatimChar"/>
        </w:rPr>
        <w:t xml:space="preserve">10.120.78.40/32   → exact node</w:t>
      </w:r>
    </w:p>
    <w:p>
      <w:pPr>
        <w:pStyle w:val="FirstParagraph"/>
      </w:pPr>
      <w:r>
        <w:t xml:space="preserve">In OMI terms, each row becomes a CONS256 record:</w:t>
      </w:r>
    </w:p>
    <w:p>
      <w:pPr>
        <w:pStyle w:val="SourceCode"/>
      </w:pPr>
      <w:r>
        <w:rPr>
          <w:rStyle w:val="VerbatimChar"/>
        </w:rPr>
        <w:t xml:space="preserve">CAR64  = route identity / semantic key</w:t>
      </w:r>
      <w:r>
        <w:br/>
      </w:r>
      <w:r>
        <w:rPr>
          <w:rStyle w:val="VerbatimChar"/>
        </w:rPr>
        <w:t xml:space="preserve">CDR128 = continuation target / next edge</w:t>
      </w:r>
      <w:r>
        <w:br/>
      </w:r>
      <w:r>
        <w:rPr>
          <w:rStyle w:val="VerbatimChar"/>
        </w:rPr>
        <w:t xml:space="preserve">META64 = receipt proving the binding</w:t>
      </w:r>
    </w:p>
    <w:p>
      <w:pPr>
        <w:pStyle w:val="FirstParagraph"/>
      </w:pPr>
      <w:r>
        <w:t xml:space="preserve">Resolution is:</w:t>
      </w:r>
    </w:p>
    <w:p>
      <w:pPr>
        <w:pStyle w:val="SourceCode"/>
      </w:pPr>
      <w:r>
        <w:rPr>
          <w:rStyle w:val="VerbatimChar"/>
        </w:rPr>
        <w:t xml:space="preserve">query address</w:t>
      </w:r>
      <w:r>
        <w:br/>
      </w:r>
      <w:r>
        <w:rPr>
          <w:rStyle w:val="VerbatimChar"/>
        </w:rPr>
        <w:t xml:space="preserve">→ longest-prefix match</w:t>
      </w:r>
      <w:r>
        <w:br/>
      </w:r>
      <w:r>
        <w:rPr>
          <w:rStyle w:val="VerbatimChar"/>
        </w:rPr>
        <w:t xml:space="preserve">→ verify META64 receipt</w:t>
      </w:r>
      <w:r>
        <w:br/>
      </w:r>
      <w:r>
        <w:rPr>
          <w:rStyle w:val="VerbatimChar"/>
        </w:rPr>
        <w:t xml:space="preserve">→ follow CDR128 edge</w:t>
      </w:r>
    </w:p>
    <w:p>
      <w:pPr>
        <w:pStyle w:val="FirstParagraph"/>
      </w:pPr>
      <w:r>
        <w:t xml:space="preserve">This is the practical heart of the system.</w:t>
      </w:r>
    </w:p>
    <w:p>
      <w:r>
        <w:pict>
          <v:rect style="width:0;height:1.5pt" o:hralign="center" o:hrstd="t" o:hr="t"/>
        </w:pict>
      </w:r>
    </w:p>
    <w:bookmarkEnd w:id="37"/>
    <w:bookmarkStart w:id="38" w:name="minimal-implementation"/>
    <w:p>
      <w:pPr>
        <w:pStyle w:val="Heading1"/>
      </w:pPr>
      <w:r>
        <w:t xml:space="preserve">12. Minimal Implementation</w:t>
      </w:r>
    </w:p>
    <w:p>
      <w:pPr>
        <w:pStyle w:val="FirstParagraph"/>
      </w:pPr>
      <w:r>
        <w:t xml:space="preserve">The first implementation does not need geometry.</w:t>
      </w:r>
    </w:p>
    <w:p>
      <w:pPr>
        <w:pStyle w:val="BodyText"/>
      </w:pPr>
      <w:r>
        <w:t xml:space="preserve">It only needs:</w:t>
      </w:r>
    </w:p>
    <w:p>
      <w:pPr>
        <w:pStyle w:val="SourceCode"/>
      </w:pPr>
      <w:r>
        <w:rPr>
          <w:rStyle w:val="VerbatimChar"/>
        </w:rPr>
        <w:t xml:space="preserve">put(cidr, value)</w:t>
      </w:r>
      <w:r>
        <w:br/>
      </w:r>
      <w:r>
        <w:rPr>
          <w:rStyle w:val="VerbatimChar"/>
        </w:rPr>
        <w:t xml:space="preserve">get(address)</w:t>
      </w:r>
      <w:r>
        <w:br/>
      </w:r>
      <w:r>
        <w:rPr>
          <w:rStyle w:val="VerbatimChar"/>
        </w:rPr>
        <w:t xml:space="preserve">verify(cons256)</w:t>
      </w:r>
      <w:r>
        <w:br/>
      </w:r>
      <w:r>
        <w:rPr>
          <w:rStyle w:val="VerbatimChar"/>
        </w:rPr>
        <w:t xml:space="preserve">link(from, to)</w:t>
      </w:r>
    </w:p>
    <w:p>
      <w:pPr>
        <w:pStyle w:val="FirstParagraph"/>
      </w:pPr>
      <w:r>
        <w:t xml:space="preserve">A tiny implementation can be written 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ipaddress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OmicronTable: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cidr, value):</w:t>
      </w:r>
      <w:r>
        <w:br/>
      </w:r>
      <w:r>
        <w:rPr>
          <w:rStyle w:val="NormalTok"/>
        </w:rPr>
        <w:t xml:space="preserve">    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ipaddress.ip_network(cidr,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.table[net]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address):</w:t>
      </w:r>
      <w:r>
        <w:br/>
      </w:r>
      <w:r>
        <w:rPr>
          <w:rStyle w:val="NormalTok"/>
        </w:rPr>
        <w:t xml:space="preserve">       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ipaddress.ip_address(address)</w:t>
      </w:r>
      <w:r>
        <w:br/>
      </w:r>
      <w:r>
        <w:rPr>
          <w:rStyle w:val="NormalTok"/>
        </w:rPr>
        <w:t xml:space="preserve">        best_value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best_prefix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net,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ip.version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net.version: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net.prefixlen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best_prefix:</w:t>
      </w:r>
      <w:r>
        <w:br/>
      </w:r>
      <w:r>
        <w:rPr>
          <w:rStyle w:val="NormalTok"/>
        </w:rPr>
        <w:t xml:space="preserve">                best_prefix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net.prefixlen</w:t>
      </w:r>
      <w:r>
        <w:br/>
      </w:r>
      <w:r>
        <w:rPr>
          <w:rStyle w:val="NormalTok"/>
        </w:rPr>
        <w:t xml:space="preserve">                best_value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best_value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OmicronTable()</w:t>
      </w:r>
      <w:r>
        <w:br/>
      </w:r>
      <w:r>
        <w:rPr>
          <w:rStyle w:val="NormalTok"/>
        </w:rPr>
        <w:t xml:space="preserve">    table.put(</w:t>
      </w:r>
      <w:r>
        <w:rPr>
          <w:rStyle w:val="StringTok"/>
        </w:rPr>
        <w:t xml:space="preserve">"10.0.0.0/8"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"local-mesh"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table.put(</w:t>
      </w:r>
      <w:r>
        <w:rPr>
          <w:rStyle w:val="StringTok"/>
        </w:rPr>
        <w:t xml:space="preserve">"10.120.0.0/16"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"bike-region"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table.put(</w:t>
      </w:r>
      <w:r>
        <w:rPr>
          <w:rStyle w:val="StringTok"/>
        </w:rPr>
        <w:t xml:space="preserve">"10.120.78.0/24"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"event-board"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table.put(</w:t>
      </w:r>
      <w:r>
        <w:rPr>
          <w:rStyle w:val="StringTok"/>
        </w:rPr>
        <w:t xml:space="preserve">"10.120.78.40/32"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"exact-node"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(table.get(</w:t>
      </w:r>
      <w:r>
        <w:rPr>
          <w:rStyle w:val="StringTok"/>
        </w:rPr>
        <w:t xml:space="preserve">"10.120.78.40"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exact-node</w:t>
      </w:r>
    </w:p>
    <w:p>
      <w:pPr>
        <w:pStyle w:val="FirstParagraph"/>
      </w:pPr>
      <w:r>
        <w:t xml:space="preserve">This is not yet the full decentralized network.</w:t>
      </w:r>
    </w:p>
    <w:p>
      <w:pPr>
        <w:pStyle w:val="BodyText"/>
      </w:pPr>
      <w:r>
        <w:t xml:space="preserve">It is the minimal resolver.</w:t>
      </w:r>
    </w:p>
    <w:p>
      <w:r>
        <w:pict>
          <v:rect style="width:0;height:1.5pt" o:hralign="center" o:hrstd="t" o:hr="t"/>
        </w:pict>
      </w:r>
    </w:p>
    <w:bookmarkEnd w:id="38"/>
    <w:bookmarkStart w:id="39" w:name="X3342ec753539a1105b318e7b2d817a3bc4d22eb"/>
    <w:p>
      <w:pPr>
        <w:pStyle w:val="Heading1"/>
      </w:pPr>
      <w:r>
        <w:t xml:space="preserve">13. From Prefix Table to Decentralized Lookup</w:t>
      </w:r>
    </w:p>
    <w:p>
      <w:pPr>
        <w:pStyle w:val="FirstParagraph"/>
      </w:pPr>
      <w:r>
        <w:t xml:space="preserve">To decentralize it, each peer maintains a local table and announces the prefixes it can resolve.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peer A announces 10.0.0.0/8</w:t>
      </w:r>
      <w:r>
        <w:br/>
      </w:r>
      <w:r>
        <w:rPr>
          <w:rStyle w:val="VerbatimChar"/>
        </w:rPr>
        <w:t xml:space="preserve">peer B announces 10.120.0.0/16</w:t>
      </w:r>
      <w:r>
        <w:br/>
      </w:r>
      <w:r>
        <w:rPr>
          <w:rStyle w:val="VerbatimChar"/>
        </w:rPr>
        <w:t xml:space="preserve">peer C announces 10.120.78.0/24</w:t>
      </w:r>
      <w:r>
        <w:br/>
      </w:r>
      <w:r>
        <w:rPr>
          <w:rStyle w:val="VerbatimChar"/>
        </w:rPr>
        <w:t xml:space="preserve">peer D announces 10.120.78.40/32</w:t>
      </w:r>
    </w:p>
    <w:p>
      <w:pPr>
        <w:pStyle w:val="FirstParagraph"/>
      </w:pPr>
      <w:r>
        <w:t xml:space="preserve">A lookup is forwarded to the peer with the deepest known matching prefix.</w:t>
      </w:r>
    </w:p>
    <w:p>
      <w:pPr>
        <w:pStyle w:val="BodyText"/>
      </w:pPr>
      <w:r>
        <w:t xml:space="preserve">This resembles routing, but it does not need to be BGP.</w:t>
      </w:r>
    </w:p>
    <w:p>
      <w:pPr>
        <w:pStyle w:val="BodyText"/>
      </w:pPr>
      <w:r>
        <w:t xml:space="preserve">It is a prefix-resolution protocol.</w:t>
      </w:r>
    </w:p>
    <w:p>
      <w:pPr>
        <w:pStyle w:val="BodyText"/>
      </w:pPr>
      <w:r>
        <w:t xml:space="preserve">The decentralized rule is:</w:t>
      </w:r>
    </w:p>
    <w:p>
      <w:pPr>
        <w:pStyle w:val="SourceCode"/>
      </w:pPr>
      <w:r>
        <w:rPr>
          <w:rStyle w:val="VerbatimChar"/>
        </w:rPr>
        <w:t xml:space="preserve">forward to the peer with the deepest verified prefix receipt</w:t>
      </w:r>
    </w:p>
    <w:p>
      <w:pPr>
        <w:pStyle w:val="FirstParagraph"/>
      </w:pPr>
      <w:r>
        <w:t xml:space="preserve">So the network becomes:</w:t>
      </w:r>
    </w:p>
    <w:p>
      <w:pPr>
        <w:pStyle w:val="SourceCode"/>
      </w:pPr>
      <w:r>
        <w:rPr>
          <w:rStyle w:val="VerbatimChar"/>
        </w:rPr>
        <w:t xml:space="preserve">local prefix tables</w:t>
      </w:r>
      <w:r>
        <w:br/>
      </w:r>
      <w:r>
        <w:rPr>
          <w:rStyle w:val="VerbatimChar"/>
        </w:rPr>
        <w:t xml:space="preserve">+ peer announcements</w:t>
      </w:r>
      <w:r>
        <w:br/>
      </w:r>
      <w:r>
        <w:rPr>
          <w:rStyle w:val="VerbatimChar"/>
        </w:rPr>
        <w:t xml:space="preserve">+ receipt verification</w:t>
      </w:r>
      <w:r>
        <w:br/>
      </w:r>
      <w:r>
        <w:rPr>
          <w:rStyle w:val="VerbatimChar"/>
        </w:rPr>
        <w:t xml:space="preserve">+ longest-prefix forwarding</w:t>
      </w:r>
    </w:p>
    <w:p>
      <w:pPr>
        <w:pStyle w:val="FirstParagraph"/>
      </w:pPr>
      <w:r>
        <w:t xml:space="preserve">This is enough to build a decentralized lookup layer.</w:t>
      </w:r>
    </w:p>
    <w:p>
      <w:r>
        <w:pict>
          <v:rect style="width:0;height:1.5pt" o:hralign="center" o:hrstd="t" o:hr="t"/>
        </w:pict>
      </w:r>
    </w:p>
    <w:bookmarkEnd w:id="39"/>
    <w:bookmarkStart w:id="40" w:name="why-this-is-not-just-ip-routing"/>
    <w:p>
      <w:pPr>
        <w:pStyle w:val="Heading1"/>
      </w:pPr>
      <w:r>
        <w:t xml:space="preserve">14. Why This Is Not Just IP Routing</w:t>
      </w:r>
    </w:p>
    <w:p>
      <w:pPr>
        <w:pStyle w:val="FirstParagraph"/>
      </w:pPr>
      <w:r>
        <w:t xml:space="preserve">Ordinary IP routing routes packets.</w:t>
      </w:r>
    </w:p>
    <w:p>
      <w:pPr>
        <w:pStyle w:val="BodyText"/>
      </w:pPr>
      <w:r>
        <w:t xml:space="preserve">OMI prefix resolution routes meaning-bearing references.</w:t>
      </w:r>
    </w:p>
    <w:p>
      <w:pPr>
        <w:pStyle w:val="BodyText"/>
      </w:pPr>
      <w:r>
        <w:t xml:space="preserve">The difference is that every row can carry:</w:t>
      </w:r>
    </w:p>
    <w:p>
      <w:pPr>
        <w:pStyle w:val="SourceCode"/>
      </w:pPr>
      <w:r>
        <w:rPr>
          <w:rStyle w:val="VerbatimChar"/>
        </w:rPr>
        <w:t xml:space="preserve">semantic key</w:t>
      </w:r>
      <w:r>
        <w:br/>
      </w:r>
      <w:r>
        <w:rPr>
          <w:rStyle w:val="VerbatimChar"/>
        </w:rPr>
        <w:t xml:space="preserve">continuation edge</w:t>
      </w:r>
      <w:r>
        <w:br/>
      </w:r>
      <w:r>
        <w:rPr>
          <w:rStyle w:val="VerbatimChar"/>
        </w:rPr>
        <w:t xml:space="preserve">proof receipt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lineage</w:t>
      </w:r>
      <w:r>
        <w:br/>
      </w:r>
      <w:r>
        <w:rPr>
          <w:rStyle w:val="VerbatimChar"/>
        </w:rPr>
        <w:t xml:space="preserve">projection witness</w:t>
      </w:r>
    </w:p>
    <w:p>
      <w:pPr>
        <w:pStyle w:val="FirstParagraph"/>
      </w:pPr>
      <w:r>
        <w:t xml:space="preserve">So OMI does not merely ask:</w:t>
      </w:r>
    </w:p>
    <w:p>
      <w:pPr>
        <w:pStyle w:val="SourceCode"/>
      </w:pPr>
      <w:r>
        <w:rPr>
          <w:rStyle w:val="VerbatimChar"/>
        </w:rPr>
        <w:t xml:space="preserve">where should this packet go?</w:t>
      </w:r>
    </w:p>
    <w:p>
      <w:pPr>
        <w:pStyle w:val="FirstParagraph"/>
      </w:pPr>
      <w:r>
        <w:t xml:space="preserve">It asks:</w:t>
      </w:r>
    </w:p>
    <w:p>
      <w:pPr>
        <w:pStyle w:val="SourceCode"/>
      </w:pPr>
      <w:r>
        <w:rPr>
          <w:rStyle w:val="VerbatimChar"/>
        </w:rPr>
        <w:t xml:space="preserve">what does this reference resolve to at this factoring depth?</w:t>
      </w:r>
    </w:p>
    <w:p>
      <w:pPr>
        <w:pStyle w:val="FirstParagraph"/>
      </w:pPr>
      <w:r>
        <w:t xml:space="preserve">That is why Lisp CONS matters.</w:t>
      </w:r>
    </w:p>
    <w:p>
      <w:pPr>
        <w:pStyle w:val="BodyText"/>
      </w:pPr>
      <w:r>
        <w:t xml:space="preserve">A route is not only a path.</w:t>
      </w:r>
    </w:p>
    <w:p>
      <w:pPr>
        <w:pStyle w:val="BodyText"/>
      </w:pPr>
      <w:r>
        <w:t xml:space="preserve">It is a pair:</w:t>
      </w:r>
    </w:p>
    <w:p>
      <w:pPr>
        <w:pStyle w:val="SourceCode"/>
      </w:pPr>
      <w:r>
        <w:rPr>
          <w:rStyle w:val="VerbatimChar"/>
        </w:rPr>
        <w:t xml:space="preserve">head . continuation</w:t>
      </w:r>
    </w:p>
    <w:p>
      <w:pPr>
        <w:pStyle w:val="FirstParagraph"/>
      </w:pPr>
      <w:r>
        <w:t xml:space="preserve">And the slash says how much of the head has been factored.</w:t>
      </w:r>
    </w:p>
    <w:p>
      <w:r>
        <w:pict>
          <v:rect style="width:0;height:1.5pt" o:hralign="center" o:hrstd="t" o:hr="t"/>
        </w:pict>
      </w:r>
    </w:p>
    <w:bookmarkEnd w:id="40"/>
    <w:bookmarkStart w:id="41" w:name="projection-capsules"/>
    <w:p>
      <w:pPr>
        <w:pStyle w:val="Heading1"/>
      </w:pPr>
      <w:r>
        <w:t xml:space="preserve">15. Projection Capsules</w:t>
      </w:r>
    </w:p>
    <w:p>
      <w:pPr>
        <w:pStyle w:val="FirstParagraph"/>
      </w:pPr>
      <w:r>
        <w:t xml:space="preserve">Once CONS256 records exist, they can be wrapped into Projection Capsules.</w:t>
      </w:r>
    </w:p>
    <w:p>
      <w:pPr>
        <w:pStyle w:val="BodyText"/>
      </w:pPr>
      <w:r>
        <w:t xml:space="preserve">A Projection Capsule contains:</w:t>
      </w:r>
    </w:p>
    <w:p>
      <w:pPr>
        <w:pStyle w:val="SourceCode"/>
      </w:pPr>
      <w:r>
        <w:rPr>
          <w:rStyle w:val="VerbatimChar"/>
        </w:rPr>
        <w:t xml:space="preserve">witness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carrier proof</w:t>
      </w:r>
      <w:r>
        <w:br/>
      </w:r>
      <w:r>
        <w:rPr>
          <w:rStyle w:val="VerbatimChar"/>
        </w:rPr>
        <w:t xml:space="preserve">scope lineage</w:t>
      </w:r>
      <w:r>
        <w:br/>
      </w:r>
      <w:r>
        <w:rPr>
          <w:rStyle w:val="VerbatimChar"/>
        </w:rPr>
        <w:t xml:space="preserve">orientation state</w:t>
      </w:r>
      <w:r>
        <w:br/>
      </w:r>
      <w:r>
        <w:rPr>
          <w:rStyle w:val="VerbatimChar"/>
        </w:rPr>
        <w:t xml:space="preserve">horizon state</w:t>
      </w:r>
      <w:r>
        <w:br/>
      </w:r>
      <w:r>
        <w:rPr>
          <w:rStyle w:val="VerbatimChar"/>
        </w:rPr>
        <w:t xml:space="preserve">rewrite ancestry</w:t>
      </w:r>
      <w:r>
        <w:br/>
      </w:r>
      <w:r>
        <w:rPr>
          <w:rStyle w:val="VerbatimChar"/>
        </w:rPr>
        <w:t xml:space="preserve">route lineage</w:t>
      </w:r>
    </w:p>
    <w:p>
      <w:pPr>
        <w:pStyle w:val="FirstParagraph"/>
      </w:pPr>
      <w:r>
        <w:t xml:space="preserve">Its core invariant is:</w:t>
      </w:r>
    </w:p>
    <w:p>
      <w:pPr>
        <w:pStyle w:val="SourceCode"/>
      </w:pPr>
      <w:r>
        <w:rPr>
          <w:rStyle w:val="VerbatimChar"/>
        </w:rPr>
        <w:t xml:space="preserve">decode(encode(x)) preserves witness(x)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meaning survives projection</w:t>
      </w:r>
    </w:p>
    <w:p>
      <w:pPr>
        <w:pStyle w:val="FirstParagraph"/>
      </w:pPr>
      <w:r>
        <w:t xml:space="preserve">For decentralized addressing, this means:</w:t>
      </w:r>
    </w:p>
    <w:p>
      <w:pPr>
        <w:pStyle w:val="SourceCode"/>
      </w:pPr>
      <w:r>
        <w:rPr>
          <w:rStyle w:val="VerbatimChar"/>
        </w:rPr>
        <w:t xml:space="preserve">A lookup result can carry its own proof of resolution.</w:t>
      </w:r>
    </w:p>
    <w:p>
      <w:pPr>
        <w:pStyle w:val="FirstParagraph"/>
      </w:pPr>
      <w:r>
        <w:t xml:space="preserve">So the resolver is not just returning data.</w:t>
      </w:r>
    </w:p>
    <w:p>
      <w:pPr>
        <w:pStyle w:val="BodyText"/>
      </w:pPr>
      <w:r>
        <w:t xml:space="preserve">It is returning:</w:t>
      </w:r>
    </w:p>
    <w:p>
      <w:pPr>
        <w:pStyle w:val="SourceCode"/>
      </w:pPr>
      <w:r>
        <w:rPr>
          <w:rStyle w:val="VerbatimChar"/>
        </w:rPr>
        <w:t xml:space="preserve">data + receipt + route lineage</w:t>
      </w:r>
    </w:p>
    <w:p>
      <w:pPr>
        <w:pStyle w:val="FirstParagraph"/>
      </w:pPr>
      <w:r>
        <w:t xml:space="preserve">That makes the lookup auditable.</w:t>
      </w:r>
    </w:p>
    <w:p>
      <w:r>
        <w:pict>
          <v:rect style="width:0;height:1.5pt" o:hralign="center" o:hrstd="t" o:hr="t"/>
        </w:pict>
      </w:r>
    </w:p>
    <w:bookmarkEnd w:id="41"/>
    <w:bookmarkStart w:id="47" w:name="X93764e16bf636041b65eeb02c7cb0b97b999cc9"/>
    <w:p>
      <w:pPr>
        <w:pStyle w:val="Heading1"/>
      </w:pPr>
      <w:r>
        <w:t xml:space="preserve">16. Bridge Geometry: Tetrahedron → 5-Cell → 24-Cell</w:t>
      </w:r>
    </w:p>
    <w:p>
      <w:pPr>
        <w:pStyle w:val="FirstParagraph"/>
      </w:pPr>
      <w:r>
        <w:t xml:space="preserve">The geometry should not begin with the 120-cell or 600-cell.</w:t>
      </w:r>
    </w:p>
    <w:p>
      <w:pPr>
        <w:pStyle w:val="BodyText"/>
      </w:pPr>
      <w:r>
        <w:t xml:space="preserve">Those are important, but they are too large to be the kernel spine.</w:t>
      </w:r>
    </w:p>
    <w:p>
      <w:pPr>
        <w:pStyle w:val="BodyText"/>
      </w:pPr>
      <w:r>
        <w:t xml:space="preserve">The better kernel spine is:</w:t>
      </w:r>
    </w:p>
    <w:p>
      <w:pPr>
        <w:pStyle w:val="SourceCode"/>
      </w:pPr>
      <w:r>
        <w:rPr>
          <w:rStyle w:val="VerbatimChar"/>
        </w:rPr>
        <w:t xml:space="preserve">tetrahedron → 5-cell → 24-cell</w:t>
      </w:r>
    </w:p>
    <w:p>
      <w:pPr>
        <w:pStyle w:val="FirstParagraph"/>
      </w:pPr>
      <w:r>
        <w:t xml:space="preserve">because these are the self-dual bridge forms.</w:t>
      </w:r>
    </w:p>
    <w:p>
      <w:pPr>
        <w:pStyle w:val="BodyText"/>
      </w:pPr>
      <w:r>
        <w:t xml:space="preserve">Self-duality matters because Omicron is a fixed-point operator.</w:t>
      </w:r>
    </w:p>
    <w:p>
      <w:pPr>
        <w:pStyle w:val="BodyText"/>
      </w:pPr>
      <w:r>
        <w:t xml:space="preserve">A self-dual object does not require switching to a separate dual object in order to compare vertex, edge, face, and cell structure. Its duality is internal.</w:t>
      </w:r>
    </w:p>
    <w:p>
      <w:pPr>
        <w:pStyle w:val="BodyText"/>
      </w:pPr>
      <w:r>
        <w:t xml:space="preserve">That makes self-dual geometry the natural home for the Omicron layer.</w:t>
      </w:r>
    </w:p>
    <w:bookmarkStart w:id="42" w:name="self-dual-spine"/>
    <w:p>
      <w:pPr>
        <w:pStyle w:val="Heading2"/>
      </w:pPr>
      <w:r>
        <w:t xml:space="preserve">Self-Dual Spine</w:t>
      </w:r>
    </w:p>
    <w:p>
      <w:pPr>
        <w:pStyle w:val="SourceCode"/>
      </w:pPr>
      <w:r>
        <w:rPr>
          <w:rStyle w:val="VerbatimChar"/>
        </w:rPr>
        <w:t xml:space="preserve">tetrahedron = minimal 3D self-dual form</w:t>
      </w:r>
      <w:r>
        <w:br/>
      </w:r>
      <w:r>
        <w:rPr>
          <w:rStyle w:val="VerbatimChar"/>
        </w:rPr>
        <w:t xml:space="preserve">5-cell      = minimal 4D self-dual simplex</w:t>
      </w:r>
      <w:r>
        <w:br/>
      </w:r>
      <w:r>
        <w:rPr>
          <w:rStyle w:val="VerbatimChar"/>
        </w:rPr>
        <w:t xml:space="preserve">24-cell     = exceptional 4D self-dual bridge polytope</w:t>
      </w:r>
    </w:p>
    <w:p>
      <w:pPr>
        <w:pStyle w:val="FirstParagraph"/>
      </w:pPr>
      <w:r>
        <w:t xml:space="preserve">These should be treated as the constitutional bridge between the lower dual pairs and the higher dual pairs.</w:t>
      </w:r>
    </w:p>
    <w:bookmarkEnd w:id="42"/>
    <w:bookmarkStart w:id="43" w:name="lower-dual-pair"/>
    <w:p>
      <w:pPr>
        <w:pStyle w:val="Heading2"/>
      </w:pPr>
      <w:r>
        <w:t xml:space="preserve">Lower Dual Pair</w:t>
      </w:r>
    </w:p>
    <w:p>
      <w:pPr>
        <w:pStyle w:val="SourceCode"/>
      </w:pPr>
      <w:r>
        <w:rPr>
          <w:rStyle w:val="VerbatimChar"/>
        </w:rPr>
        <w:t xml:space="preserve">cube ↔ octahedron</w:t>
      </w:r>
      <w:r>
        <w:br/>
      </w:r>
      <w:r>
        <w:rPr>
          <w:rStyle w:val="VerbatimChar"/>
        </w:rPr>
        <w:t xml:space="preserve">8-cell ↔ 16-cell</w:t>
      </w:r>
    </w:p>
    <w:p>
      <w:pPr>
        <w:pStyle w:val="FirstParagraph"/>
      </w:pPr>
      <w:r>
        <w:t xml:space="preserve">These represent the binary construction/deconstruction pair:</w:t>
      </w:r>
    </w:p>
    <w:p>
      <w:pPr>
        <w:pStyle w:val="SourceCode"/>
      </w:pPr>
      <w:r>
        <w:rPr>
          <w:rStyle w:val="VerbatimChar"/>
        </w:rPr>
        <w:t xml:space="preserve">container ↔ selector</w:t>
      </w:r>
      <w:r>
        <w:br/>
      </w:r>
      <w:r>
        <w:rPr>
          <w:rStyle w:val="VerbatimChar"/>
        </w:rPr>
        <w:t xml:space="preserve">field     ↔ cross-polytope</w:t>
      </w:r>
    </w:p>
    <w:p>
      <w:pPr>
        <w:pStyle w:val="FirstParagraph"/>
      </w:pPr>
      <w:r>
        <w:t xml:space="preserve">In OMI language:</w:t>
      </w:r>
    </w:p>
    <w:p>
      <w:pPr>
        <w:pStyle w:val="SourceCode"/>
      </w:pPr>
      <w:r>
        <w:rPr>
          <w:rStyle w:val="VerbatimChar"/>
        </w:rPr>
        <w:t xml:space="preserve">cons space ↔ resolution axes</w:t>
      </w:r>
    </w:p>
    <w:bookmarkEnd w:id="43"/>
    <w:bookmarkStart w:id="44" w:name="higher-dual-pair"/>
    <w:p>
      <w:pPr>
        <w:pStyle w:val="Heading2"/>
      </w:pPr>
      <w:r>
        <w:t xml:space="preserve">Higher Dual Pair</w:t>
      </w:r>
    </w:p>
    <w:p>
      <w:pPr>
        <w:pStyle w:val="SourceCode"/>
      </w:pPr>
      <w:r>
        <w:rPr>
          <w:rStyle w:val="VerbatimChar"/>
        </w:rPr>
        <w:t xml:space="preserve">dodecahedron ↔ icosahedron</w:t>
      </w:r>
      <w:r>
        <w:br/>
      </w:r>
      <w:r>
        <w:rPr>
          <w:rStyle w:val="VerbatimChar"/>
        </w:rPr>
        <w:t xml:space="preserve">120-cell     ↔ 600-cell</w:t>
      </w:r>
    </w:p>
    <w:p>
      <w:pPr>
        <w:pStyle w:val="FirstParagraph"/>
      </w:pPr>
      <w:r>
        <w:t xml:space="preserve">These represent larger semantic/projection manifolds.</w:t>
      </w:r>
    </w:p>
    <w:p>
      <w:pPr>
        <w:pStyle w:val="BodyText"/>
      </w:pPr>
      <w:r>
        <w:t xml:space="preserve">They are useful for routing, semantic lookup, and projection geometry, but they should not be the first kernel law.</w:t>
      </w:r>
    </w:p>
    <w:bookmarkEnd w:id="44"/>
    <w:bookmarkStart w:id="45" w:name="the-bridge-role"/>
    <w:p>
      <w:pPr>
        <w:pStyle w:val="Heading2"/>
      </w:pPr>
      <w:r>
        <w:t xml:space="preserve">The Bridge Role</w:t>
      </w:r>
    </w:p>
    <w:p>
      <w:pPr>
        <w:pStyle w:val="FirstParagraph"/>
      </w:pPr>
      <w:r>
        <w:t xml:space="preserve">The self-dual chain mediates between these two dual views:</w:t>
      </w:r>
    </w:p>
    <w:p>
      <w:pPr>
        <w:pStyle w:val="SourceCode"/>
      </w:pPr>
      <w:r>
        <w:rPr>
          <w:rStyle w:val="VerbatimChar"/>
        </w:rPr>
        <w:t xml:space="preserve">cube / octahedron / 8-cell / 16-cell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tetrahedron / 5-cell / 24-cell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dodecahedron / icosahedron / 120-cell / 600-cell</w:t>
      </w:r>
    </w:p>
    <w:p>
      <w:pPr>
        <w:pStyle w:val="FirstParagraph"/>
      </w:pPr>
      <w:r>
        <w:t xml:space="preserve">So the corrected doctrine is:</w:t>
      </w:r>
    </w:p>
    <w:p>
      <w:pPr>
        <w:pStyle w:val="SourceCode"/>
      </w:pPr>
      <w:r>
        <w:rPr>
          <w:rStyle w:val="VerbatimChar"/>
        </w:rPr>
        <w:t xml:space="preserve">120-cell / 600-cell = projection manifolds</w:t>
      </w:r>
      <w:r>
        <w:br/>
      </w:r>
      <w:r>
        <w:rPr>
          <w:rStyle w:val="VerbatimChar"/>
        </w:rPr>
        <w:t xml:space="preserve">5-cell / 24-cell    = bridge manifolds</w:t>
      </w:r>
      <w:r>
        <w:br/>
      </w:r>
      <w:r>
        <w:rPr>
          <w:rStyle w:val="VerbatimChar"/>
        </w:rPr>
        <w:t xml:space="preserve">tetrahedron         = minimal control manifold</w:t>
      </w:r>
    </w:p>
    <w:p>
      <w:pPr>
        <w:pStyle w:val="FirstParagraph"/>
      </w:pPr>
      <w:r>
        <w:t xml:space="preserve">This is stronger than making the 600-cell the root geometry.</w:t>
      </w:r>
    </w:p>
    <w:p>
      <w:pPr>
        <w:pStyle w:val="BodyText"/>
      </w:pPr>
      <w:r>
        <w:t xml:space="preserve">The 600-cell can be a semantic routing surface.</w:t>
      </w:r>
    </w:p>
    <w:p>
      <w:pPr>
        <w:pStyle w:val="BodyText"/>
      </w:pPr>
      <w:r>
        <w:t xml:space="preserve">The 24-cell should be the discrete synchronization bridge.</w:t>
      </w:r>
    </w:p>
    <w:p>
      <w:pPr>
        <w:pStyle w:val="BodyText"/>
      </w:pPr>
      <w:r>
        <w:t xml:space="preserve">The 5-cell should be the minimal 4D Omicron simplex.</w:t>
      </w:r>
    </w:p>
    <w:p>
      <w:pPr>
        <w:pStyle w:val="BodyText"/>
      </w:pPr>
      <w:r>
        <w:t xml:space="preserve">The tetrahedron should be the minimal 3D control simplex.</w:t>
      </w:r>
    </w:p>
    <w:bookmarkEnd w:id="45"/>
    <w:bookmarkStart w:id="46" w:name="relation-to-0d-1d-2d"/>
    <w:p>
      <w:pPr>
        <w:pStyle w:val="Heading2"/>
      </w:pPr>
      <w:r>
        <w:t xml:space="preserve">Relation to 0D, 1D, 2D</w:t>
      </w:r>
    </w:p>
    <w:p>
      <w:pPr>
        <w:pStyle w:val="FirstParagraph"/>
      </w:pPr>
      <w:r>
        <w:t xml:space="preserve">The bridge chain should emerge from the primitive incidence sequence:</w:t>
      </w:r>
    </w:p>
    <w:p>
      <w:pPr>
        <w:pStyle w:val="SourceCode"/>
      </w:pPr>
      <w:r>
        <w:rPr>
          <w:rStyle w:val="VerbatimChar"/>
        </w:rPr>
        <w:t xml:space="preserve">0D point</w:t>
      </w:r>
      <w:r>
        <w:br/>
      </w:r>
      <w:r>
        <w:rPr>
          <w:rStyle w:val="VerbatimChar"/>
        </w:rPr>
        <w:t xml:space="preserve">1D line</w:t>
      </w:r>
      <w:r>
        <w:br/>
      </w:r>
      <w:r>
        <w:rPr>
          <w:rStyle w:val="VerbatimChar"/>
        </w:rPr>
        <w:t xml:space="preserve">2D plane</w:t>
      </w:r>
      <w:r>
        <w:br/>
      </w:r>
      <w:r>
        <w:rPr>
          <w:rStyle w:val="VerbatimChar"/>
        </w:rPr>
        <w:t xml:space="preserve">3D tetrahedral simplex</w:t>
      </w:r>
      <w:r>
        <w:br/>
      </w:r>
      <w:r>
        <w:rPr>
          <w:rStyle w:val="VerbatimChar"/>
        </w:rPr>
        <w:t xml:space="preserve">4D 5-cell simplex</w:t>
      </w:r>
      <w:r>
        <w:br/>
      </w:r>
      <w:r>
        <w:rPr>
          <w:rStyle w:val="VerbatimChar"/>
        </w:rPr>
        <w:t xml:space="preserve">4D 24-cell bridge</w:t>
      </w:r>
    </w:p>
    <w:p>
      <w:pPr>
        <w:pStyle w:val="FirstParagraph"/>
      </w:pPr>
      <w:r>
        <w:t xml:space="preserve">This preserves a clean construction path:</w:t>
      </w:r>
    </w:p>
    <w:p>
      <w:pPr>
        <w:pStyle w:val="SourceCode"/>
      </w:pPr>
      <w:r>
        <w:rPr>
          <w:rStyle w:val="VerbatimChar"/>
        </w:rPr>
        <w:t xml:space="preserve">point → line → plane → simplex → self-dual bridge → projection manifold</w:t>
      </w:r>
    </w:p>
    <w:p>
      <w:pPr>
        <w:pStyle w:val="FirstParagraph"/>
      </w:pPr>
      <w:r>
        <w:t xml:space="preserve">That is the correct first-principles geometry for OMI.</w:t>
      </w:r>
    </w:p>
    <w:p>
      <w:pPr>
        <w:pStyle w:val="BodyText"/>
      </w:pPr>
      <w:r>
        <w:t xml:space="preserve">It also keeps the runtime bitwise and finite.</w:t>
      </w:r>
    </w:p>
    <w:p>
      <w:pPr>
        <w:pStyle w:val="BodyText"/>
      </w:pPr>
      <w:r>
        <w:t xml:space="preserve">The geometry is represented by:</w:t>
      </w:r>
    </w:p>
    <w:p>
      <w:pPr>
        <w:pStyle w:val="SourceCode"/>
      </w:pPr>
      <w:r>
        <w:rPr>
          <w:rStyle w:val="VerbatimChar"/>
        </w:rPr>
        <w:t xml:space="preserve">incidence tables</w:t>
      </w:r>
      <w:r>
        <w:br/>
      </w:r>
      <w:r>
        <w:rPr>
          <w:rStyle w:val="VerbatimChar"/>
        </w:rPr>
        <w:t xml:space="preserve">adjacency matrices</w:t>
      </w:r>
      <w:r>
        <w:br/>
      </w:r>
      <w:r>
        <w:rPr>
          <w:rStyle w:val="VerbatimChar"/>
        </w:rPr>
        <w:t xml:space="preserve">finite permutations</w:t>
      </w:r>
      <w:r>
        <w:br/>
      </w:r>
      <w:r>
        <w:rPr>
          <w:rStyle w:val="VerbatimChar"/>
        </w:rPr>
        <w:t xml:space="preserve">bit masks</w:t>
      </w:r>
    </w:p>
    <w:p>
      <w:pPr>
        <w:pStyle w:val="FirstParagraph"/>
      </w:pPr>
      <w:r>
        <w:t xml:space="preserve">not floating-point coordinates.</w:t>
      </w:r>
    </w:p>
    <w:bookmarkEnd w:id="46"/>
    <w:bookmarkEnd w:id="47"/>
    <w:bookmarkStart w:id="48" w:name="geometry-comes-later"/>
    <w:p>
      <w:pPr>
        <w:pStyle w:val="Heading1"/>
      </w:pPr>
      <w:r>
        <w:t xml:space="preserve">17. Geometry Comes Later</w:t>
      </w:r>
    </w:p>
    <w:p>
      <w:pPr>
        <w:pStyle w:val="FirstParagraph"/>
      </w:pPr>
      <w:r>
        <w:t xml:space="preserve">The geometry is not needed for v0.</w:t>
      </w:r>
    </w:p>
    <w:p>
      <w:pPr>
        <w:pStyle w:val="BodyText"/>
      </w:pPr>
      <w:r>
        <w:t xml:space="preserve">The v0 system only needs:</w:t>
      </w:r>
    </w:p>
    <w:p>
      <w:pPr>
        <w:pStyle w:val="SourceCode"/>
      </w:pPr>
      <w:r>
        <w:rPr>
          <w:rStyle w:val="VerbatimChar"/>
        </w:rPr>
        <w:t xml:space="preserve">CIDR as CONS</w:t>
      </w:r>
      <w:r>
        <w:br/>
      </w:r>
      <w:r>
        <w:rPr>
          <w:rStyle w:val="VerbatimChar"/>
        </w:rPr>
        <w:t xml:space="preserve">slash as Omicron</w:t>
      </w:r>
      <w:r>
        <w:br/>
      </w:r>
      <w:r>
        <w:rPr>
          <w:rStyle w:val="VerbatimChar"/>
        </w:rPr>
        <w:t xml:space="preserve">longest-prefix match as resolution</w:t>
      </w:r>
      <w:r>
        <w:br/>
      </w:r>
      <w:r>
        <w:rPr>
          <w:rStyle w:val="VerbatimChar"/>
        </w:rPr>
        <w:t xml:space="preserve">META64 as receipt</w:t>
      </w:r>
      <w:r>
        <w:br/>
      </w:r>
      <w:r>
        <w:rPr>
          <w:rStyle w:val="VerbatimChar"/>
        </w:rPr>
        <w:t xml:space="preserve">CDR128 as edge</w:t>
      </w:r>
    </w:p>
    <w:p>
      <w:pPr>
        <w:pStyle w:val="FirstParagraph"/>
      </w:pPr>
      <w:r>
        <w:t xml:space="preserve">The geometry can come later as an optimization or visualization layer.</w:t>
      </w:r>
    </w:p>
    <w:p>
      <w:pPr>
        <w:pStyle w:val="BodyText"/>
      </w:pPr>
      <w:r>
        <w:t xml:space="preserve">Possible later mappings:</w:t>
      </w:r>
    </w:p>
    <w:p>
      <w:pPr>
        <w:pStyle w:val="SourceCode"/>
      </w:pPr>
      <w:r>
        <w:rPr>
          <w:rStyle w:val="VerbatimChar"/>
        </w:rPr>
        <w:t xml:space="preserve">600-cell vertices      → address vertices</w:t>
      </w:r>
      <w:r>
        <w:br/>
      </w:r>
      <w:r>
        <w:rPr>
          <w:rStyle w:val="VerbatimChar"/>
        </w:rPr>
        <w:t xml:space="preserve">120-cell cells         → semantic regions</w:t>
      </w:r>
      <w:r>
        <w:br/>
      </w:r>
      <w:r>
        <w:rPr>
          <w:rStyle w:val="VerbatimChar"/>
        </w:rPr>
        <w:t xml:space="preserve">Karnaugh maps          → bit adjacency</w:t>
      </w:r>
      <w:r>
        <w:br/>
      </w:r>
      <w:r>
        <w:rPr>
          <w:rStyle w:val="VerbatimChar"/>
        </w:rPr>
        <w:t xml:space="preserve">Smith charts           → projection visualization</w:t>
      </w:r>
      <w:r>
        <w:br/>
      </w:r>
      <w:r>
        <w:rPr>
          <w:rStyle w:val="VerbatimChar"/>
        </w:rPr>
        <w:t xml:space="preserve">nomograms              → scale/factor reading</w:t>
      </w:r>
      <w:r>
        <w:br/>
      </w:r>
      <w:r>
        <w:rPr>
          <w:rStyle w:val="VerbatimChar"/>
        </w:rPr>
        <w:t xml:space="preserve">stellated tetrahedron  → control centroid</w:t>
      </w:r>
    </w:p>
    <w:p>
      <w:pPr>
        <w:pStyle w:val="FirstParagraph"/>
      </w:pPr>
      <w:r>
        <w:t xml:space="preserve">But these are not prerequisites.</w:t>
      </w:r>
    </w:p>
    <w:p>
      <w:pPr>
        <w:pStyle w:val="BodyText"/>
      </w:pPr>
      <w:r>
        <w:t xml:space="preserve">The first system should be boring and testable.</w:t>
      </w:r>
    </w:p>
    <w:p>
      <w:r>
        <w:pict>
          <v:rect style="width:0;height:1.5pt" o:hralign="center" o:hrstd="t" o:hr="t"/>
        </w:pict>
      </w:r>
    </w:p>
    <w:bookmarkEnd w:id="48"/>
    <w:bookmarkStart w:id="49" w:name="why-this-reduces-two-years-of-work"/>
    <w:p>
      <w:pPr>
        <w:pStyle w:val="Heading1"/>
      </w:pPr>
      <w:r>
        <w:t xml:space="preserve">17. Why This Reduces Two Years of Work</w:t>
      </w:r>
    </w:p>
    <w:p>
      <w:pPr>
        <w:pStyle w:val="FirstParagraph"/>
      </w:pPr>
      <w:r>
        <w:t xml:space="preserve">The larger OMI project has repeatedly circled around these ideas:</w:t>
      </w:r>
    </w:p>
    <w:p>
      <w:pPr>
        <w:pStyle w:val="Compact"/>
        <w:numPr>
          <w:ilvl w:val="0"/>
          <w:numId w:val="1003"/>
        </w:numPr>
      </w:pPr>
      <w:r>
        <w:t xml:space="preserve">CONS</w:t>
      </w:r>
    </w:p>
    <w:p>
      <w:pPr>
        <w:pStyle w:val="Compact"/>
        <w:numPr>
          <w:ilvl w:val="0"/>
          <w:numId w:val="1003"/>
        </w:numPr>
      </w:pPr>
      <w:r>
        <w:t xml:space="preserve">CAR/CDR</w:t>
      </w:r>
    </w:p>
    <w:p>
      <w:pPr>
        <w:pStyle w:val="Compact"/>
        <w:numPr>
          <w:ilvl w:val="0"/>
          <w:numId w:val="1003"/>
        </w:numPr>
      </w:pPr>
      <w:r>
        <w:t xml:space="preserve">Omicron</w:t>
      </w:r>
    </w:p>
    <w:p>
      <w:pPr>
        <w:pStyle w:val="Compact"/>
        <w:numPr>
          <w:ilvl w:val="0"/>
          <w:numId w:val="1003"/>
        </w:numPr>
      </w:pPr>
      <w:r>
        <w:t xml:space="preserve">proof receipts</w:t>
      </w:r>
    </w:p>
    <w:p>
      <w:pPr>
        <w:pStyle w:val="Compact"/>
        <w:numPr>
          <w:ilvl w:val="0"/>
          <w:numId w:val="1003"/>
        </w:numPr>
      </w:pPr>
      <w:r>
        <w:t xml:space="preserve">bitwise layers</w:t>
      </w:r>
    </w:p>
    <w:p>
      <w:pPr>
        <w:pStyle w:val="Compact"/>
        <w:numPr>
          <w:ilvl w:val="0"/>
          <w:numId w:val="1003"/>
        </w:numPr>
      </w:pPr>
      <w:r>
        <w:t xml:space="preserve">prefix depth</w:t>
      </w:r>
    </w:p>
    <w:p>
      <w:pPr>
        <w:pStyle w:val="Compact"/>
        <w:numPr>
          <w:ilvl w:val="0"/>
          <w:numId w:val="1003"/>
        </w:numPr>
      </w:pPr>
      <w:r>
        <w:t xml:space="preserve">graph continuation</w:t>
      </w:r>
    </w:p>
    <w:p>
      <w:pPr>
        <w:pStyle w:val="Compact"/>
        <w:numPr>
          <w:ilvl w:val="0"/>
          <w:numId w:val="1003"/>
        </w:numPr>
      </w:pPr>
      <w:r>
        <w:t xml:space="preserve">projection witnesses</w:t>
      </w:r>
    </w:p>
    <w:p>
      <w:pPr>
        <w:pStyle w:val="Compact"/>
        <w:numPr>
          <w:ilvl w:val="0"/>
          <w:numId w:val="1003"/>
        </w:numPr>
      </w:pPr>
      <w:r>
        <w:t xml:space="preserve">decentralized lookup</w:t>
      </w:r>
    </w:p>
    <w:p>
      <w:pPr>
        <w:pStyle w:val="Compact"/>
        <w:numPr>
          <w:ilvl w:val="0"/>
          <w:numId w:val="1003"/>
        </w:numPr>
      </w:pPr>
      <w:r>
        <w:t xml:space="preserve">geometry as synchronization law</w:t>
      </w:r>
    </w:p>
    <w:p>
      <w:pPr>
        <w:pStyle w:val="FirstParagraph"/>
      </w:pPr>
      <w:r>
        <w:t xml:space="preserve">The reduction is that all of these can be expressed through one small operational sentence:</w:t>
      </w:r>
    </w:p>
    <w:p>
      <w:pPr>
        <w:pStyle w:val="SourceCode"/>
      </w:pPr>
      <w:r>
        <w:rPr>
          <w:rStyle w:val="VerbatimChar"/>
        </w:rPr>
        <w:t xml:space="preserve">Resolve a CONS through an Omicron boundary and verify the receipt.</w:t>
      </w:r>
    </w:p>
    <w:p>
      <w:pPr>
        <w:pStyle w:val="FirstParagraph"/>
      </w:pPr>
      <w:r>
        <w:t xml:space="preserve">Expanded:</w:t>
      </w:r>
    </w:p>
    <w:p>
      <w:pPr>
        <w:pStyle w:val="SourceCode"/>
      </w:pPr>
      <w:r>
        <w:rPr>
          <w:rStyle w:val="VerbatimChar"/>
        </w:rPr>
        <w:t xml:space="preserve">Given address/depth,</w:t>
      </w:r>
      <w:r>
        <w:br/>
      </w:r>
      <w:r>
        <w:rPr>
          <w:rStyle w:val="VerbatimChar"/>
        </w:rPr>
        <w:t xml:space="preserve">find the deepest matching prefix,</w:t>
      </w:r>
      <w:r>
        <w:br/>
      </w:r>
      <w:r>
        <w:rPr>
          <w:rStyle w:val="VerbatimChar"/>
        </w:rPr>
        <w:t xml:space="preserve">verify the META64 receipt,</w:t>
      </w:r>
      <w:r>
        <w:br/>
      </w:r>
      <w:r>
        <w:rPr>
          <w:rStyle w:val="VerbatimChar"/>
        </w:rPr>
        <w:t xml:space="preserve">and follow the CDR128 continuation edge.</w:t>
      </w:r>
    </w:p>
    <w:p>
      <w:pPr>
        <w:pStyle w:val="FirstParagraph"/>
      </w:pPr>
      <w:r>
        <w:t xml:space="preserve">That is the minimal executable form of the belief.</w:t>
      </w:r>
    </w:p>
    <w:p>
      <w:r>
        <w:pict>
          <v:rect style="width:0;height:1.5pt" o:hralign="center" o:hrstd="t" o:hr="t"/>
        </w:pict>
      </w:r>
    </w:p>
    <w:bookmarkEnd w:id="49"/>
    <w:bookmarkStart w:id="60" w:name="what-to-build-first"/>
    <w:p>
      <w:pPr>
        <w:pStyle w:val="Heading1"/>
      </w:pPr>
      <w:r>
        <w:t xml:space="preserve">18. What To Build First</w:t>
      </w:r>
    </w:p>
    <w:p>
      <w:pPr>
        <w:pStyle w:val="FirstParagraph"/>
      </w:pPr>
      <w:r>
        <w:t xml:space="preserve">Build this, in this order:</w:t>
      </w:r>
    </w:p>
    <w:bookmarkStart w:id="50" w:name="parser"/>
    <w:p>
      <w:pPr>
        <w:pStyle w:val="Heading2"/>
      </w:pPr>
      <w:r>
        <w:t xml:space="preserve">1. Parser</w:t>
      </w:r>
    </w:p>
    <w:p>
      <w:pPr>
        <w:pStyle w:val="SourceCode"/>
      </w:pPr>
      <w:r>
        <w:rPr>
          <w:rStyle w:val="VerbatimChar"/>
        </w:rPr>
        <w:t xml:space="preserve">parse("10.120.78.40/32")</w:t>
      </w:r>
      <w:r>
        <w:br/>
      </w:r>
      <w:r>
        <w:rPr>
          <w:rStyle w:val="VerbatimChar"/>
        </w:rPr>
        <w:t xml:space="preserve">→ address bits</w:t>
      </w:r>
      <w:r>
        <w:br/>
      </w:r>
      <w:r>
        <w:rPr>
          <w:rStyle w:val="VerbatimChar"/>
        </w:rPr>
        <w:t xml:space="preserve">→ prefix length</w:t>
      </w:r>
      <w:r>
        <w:br/>
      </w:r>
      <w:r>
        <w:rPr>
          <w:rStyle w:val="VerbatimChar"/>
        </w:rPr>
        <w:t xml:space="preserve">→ address family</w:t>
      </w:r>
    </w:p>
    <w:bookmarkEnd w:id="50"/>
    <w:bookmarkStart w:id="51" w:name="cons-encoder"/>
    <w:p>
      <w:pPr>
        <w:pStyle w:val="Heading2"/>
      </w:pPr>
      <w:r>
        <w:t xml:space="preserve">2. CONS Encoder</w:t>
      </w:r>
    </w:p>
    <w:p>
      <w:pPr>
        <w:pStyle w:val="SourceCode"/>
      </w:pPr>
      <w:r>
        <w:rPr>
          <w:rStyle w:val="VerbatimChar"/>
        </w:rPr>
        <w:t xml:space="preserve">CIDR → CONS256</w:t>
      </w:r>
    </w:p>
    <w:bookmarkEnd w:id="51"/>
    <w:bookmarkStart w:id="52" w:name="receipt-function"/>
    <w:p>
      <w:pPr>
        <w:pStyle w:val="Heading2"/>
      </w:pPr>
      <w:r>
        <w:t xml:space="preserve">3. Receipt Function</w:t>
      </w:r>
    </w:p>
    <w:p>
      <w:pPr>
        <w:pStyle w:val="SourceCode"/>
      </w:pPr>
      <w:r>
        <w:rPr>
          <w:rStyle w:val="VerbatimChar"/>
        </w:rPr>
        <w:t xml:space="preserve">META64 = receipt64(CAR64, CDR128)</w:t>
      </w:r>
    </w:p>
    <w:bookmarkEnd w:id="52"/>
    <w:bookmarkStart w:id="53" w:name="local-table"/>
    <w:p>
      <w:pPr>
        <w:pStyle w:val="Heading2"/>
      </w:pPr>
      <w:r>
        <w:t xml:space="preserve">4. Local Table</w:t>
      </w:r>
    </w:p>
    <w:p>
      <w:pPr>
        <w:pStyle w:val="SourceCode"/>
      </w:pPr>
      <w:r>
        <w:rPr>
          <w:rStyle w:val="VerbatimChar"/>
        </w:rPr>
        <w:t xml:space="preserve">put(prefix, target)</w:t>
      </w:r>
      <w:r>
        <w:br/>
      </w:r>
      <w:r>
        <w:rPr>
          <w:rStyle w:val="VerbatimChar"/>
        </w:rPr>
        <w:t xml:space="preserve">get(address)</w:t>
      </w:r>
    </w:p>
    <w:bookmarkEnd w:id="53"/>
    <w:bookmarkStart w:id="54" w:name="verifier"/>
    <w:p>
      <w:pPr>
        <w:pStyle w:val="Heading2"/>
      </w:pPr>
      <w:r>
        <w:t xml:space="preserve">5. Verifier</w:t>
      </w:r>
    </w:p>
    <w:p>
      <w:pPr>
        <w:pStyle w:val="SourceCode"/>
      </w:pPr>
      <w:r>
        <w:rPr>
          <w:rStyle w:val="VerbatimChar"/>
        </w:rPr>
        <w:t xml:space="preserve">verify(CONS256)</w:t>
      </w:r>
    </w:p>
    <w:bookmarkEnd w:id="54"/>
    <w:bookmarkStart w:id="55" w:name="longest-prefix-resolver"/>
    <w:p>
      <w:pPr>
        <w:pStyle w:val="Heading2"/>
      </w:pPr>
      <w:r>
        <w:t xml:space="preserve">6. Longest-Prefix Resolver</w:t>
      </w:r>
    </w:p>
    <w:p>
      <w:pPr>
        <w:pStyle w:val="SourceCode"/>
      </w:pPr>
      <w:r>
        <w:rPr>
          <w:rStyle w:val="VerbatimChar"/>
        </w:rPr>
        <w:t xml:space="preserve">resolve(address)</w:t>
      </w:r>
      <w:r>
        <w:br/>
      </w:r>
      <w:r>
        <w:rPr>
          <w:rStyle w:val="VerbatimChar"/>
        </w:rPr>
        <w:t xml:space="preserve">→ best verified CONS256</w:t>
      </w:r>
    </w:p>
    <w:bookmarkEnd w:id="55"/>
    <w:bookmarkStart w:id="56" w:name="link-traversal"/>
    <w:p>
      <w:pPr>
        <w:pStyle w:val="Heading2"/>
      </w:pPr>
      <w:r>
        <w:t xml:space="preserve">7. Link Traversal</w:t>
      </w:r>
    </w:p>
    <w:p>
      <w:pPr>
        <w:pStyle w:val="SourceCode"/>
      </w:pPr>
      <w:r>
        <w:rPr>
          <w:rStyle w:val="VerbatimChar"/>
        </w:rPr>
        <w:t xml:space="preserve">follow CDR128 to next CONS256</w:t>
      </w:r>
    </w:p>
    <w:bookmarkEnd w:id="56"/>
    <w:bookmarkStart w:id="57" w:name="peer-announcements"/>
    <w:p>
      <w:pPr>
        <w:pStyle w:val="Heading2"/>
      </w:pPr>
      <w:r>
        <w:t xml:space="preserve">8. Peer Announcements</w:t>
      </w:r>
    </w:p>
    <w:p>
      <w:pPr>
        <w:pStyle w:val="SourceCode"/>
      </w:pPr>
      <w:r>
        <w:rPr>
          <w:rStyle w:val="VerbatimChar"/>
        </w:rPr>
        <w:t xml:space="preserve">peer announces prefix + receipt</w:t>
      </w:r>
    </w:p>
    <w:bookmarkEnd w:id="57"/>
    <w:bookmarkStart w:id="58" w:name="capsule-export"/>
    <w:p>
      <w:pPr>
        <w:pStyle w:val="Heading2"/>
      </w:pPr>
      <w:r>
        <w:t xml:space="preserve">9. Capsule Export</w:t>
      </w:r>
    </w:p>
    <w:p>
      <w:pPr>
        <w:pStyle w:val="SourceCode"/>
      </w:pPr>
      <w:r>
        <w:rPr>
          <w:rStyle w:val="VerbatimChar"/>
        </w:rPr>
        <w:t xml:space="preserve">lookup result → projection capsule</w:t>
      </w:r>
    </w:p>
    <w:bookmarkEnd w:id="58"/>
    <w:bookmarkStart w:id="59" w:name="graph-export"/>
    <w:p>
      <w:pPr>
        <w:pStyle w:val="Heading2"/>
      </w:pPr>
      <w:r>
        <w:t xml:space="preserve">10. Graph Export</w:t>
      </w:r>
    </w:p>
    <w:p>
      <w:pPr>
        <w:pStyle w:val="SourceCode"/>
      </w:pPr>
      <w:r>
        <w:rPr>
          <w:rStyle w:val="VerbatimChar"/>
        </w:rPr>
        <w:t xml:space="preserve">prefix table → Obsidian Canvas / JSON graph</w:t>
      </w:r>
    </w:p>
    <w:p>
      <w:pPr>
        <w:pStyle w:val="FirstParagraph"/>
      </w:pPr>
      <w:r>
        <w:t xml:space="preserve">Only after these work should the project add 600-cell, Smith chart, or advanced geometry surfaces.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minimal-test-set"/>
    <w:p>
      <w:pPr>
        <w:pStyle w:val="Heading1"/>
      </w:pPr>
      <w:r>
        <w:t xml:space="preserve">19. Minimal Test Set</w:t>
      </w:r>
    </w:p>
    <w:p>
      <w:pPr>
        <w:pStyle w:val="FirstParagraph"/>
      </w:pPr>
      <w:r>
        <w:t xml:space="preserve">The first tests should be simple:</w:t>
      </w:r>
    </w:p>
    <w:bookmarkStart w:id="61" w:name="valid-lookup"/>
    <w:p>
      <w:pPr>
        <w:pStyle w:val="Heading2"/>
      </w:pPr>
      <w:r>
        <w:t xml:space="preserve">Valid lookup</w:t>
      </w:r>
    </w:p>
    <w:p>
      <w:pPr>
        <w:pStyle w:val="SourceCode"/>
      </w:pPr>
      <w:r>
        <w:rPr>
          <w:rStyle w:val="VerbatimChar"/>
        </w:rPr>
        <w:t xml:space="preserve">put 10.120.78.0/24 → event-board</w:t>
      </w:r>
      <w:r>
        <w:br/>
      </w:r>
      <w:r>
        <w:rPr>
          <w:rStyle w:val="VerbatimChar"/>
        </w:rPr>
        <w:t xml:space="preserve">get 10.120.78.40 → event-board</w:t>
      </w:r>
    </w:p>
    <w:bookmarkEnd w:id="61"/>
    <w:bookmarkStart w:id="62" w:name="longest-prefix-wins"/>
    <w:p>
      <w:pPr>
        <w:pStyle w:val="Heading2"/>
      </w:pPr>
      <w:r>
        <w:t xml:space="preserve">Longest prefix wins</w:t>
      </w:r>
    </w:p>
    <w:p>
      <w:pPr>
        <w:pStyle w:val="SourceCode"/>
      </w:pPr>
      <w:r>
        <w:rPr>
          <w:rStyle w:val="VerbatimChar"/>
        </w:rPr>
        <w:t xml:space="preserve">10.0.0.0/8       → mesh</w:t>
      </w:r>
      <w:r>
        <w:br/>
      </w:r>
      <w:r>
        <w:rPr>
          <w:rStyle w:val="VerbatimChar"/>
        </w:rPr>
        <w:t xml:space="preserve">10.120.0.0/16    → region</w:t>
      </w:r>
      <w:r>
        <w:br/>
      </w:r>
      <w:r>
        <w:rPr>
          <w:rStyle w:val="VerbatimChar"/>
        </w:rPr>
        <w:t xml:space="preserve">10.120.78.0/24   → board</w:t>
      </w:r>
      <w:r>
        <w:br/>
      </w:r>
      <w:r>
        <w:br/>
      </w:r>
      <w:r>
        <w:rPr>
          <w:rStyle w:val="VerbatimChar"/>
        </w:rPr>
        <w:t xml:space="preserve">query 10.120.78.40 returns board</w:t>
      </w:r>
    </w:p>
    <w:bookmarkEnd w:id="62"/>
    <w:bookmarkStart w:id="63" w:name="tamper-fails"/>
    <w:p>
      <w:pPr>
        <w:pStyle w:val="Heading2"/>
      </w:pPr>
      <w:r>
        <w:t xml:space="preserve">Tamper fails</w:t>
      </w:r>
    </w:p>
    <w:p>
      <w:pPr>
        <w:pStyle w:val="SourceCode"/>
      </w:pPr>
      <w:r>
        <w:rPr>
          <w:rStyle w:val="VerbatimChar"/>
        </w:rPr>
        <w:t xml:space="preserve">change CDR128</w:t>
      </w:r>
      <w:r>
        <w:br/>
      </w:r>
      <w:r>
        <w:rPr>
          <w:rStyle w:val="VerbatimChar"/>
        </w:rPr>
        <w:t xml:space="preserve">META64 verification fails</w:t>
      </w:r>
    </w:p>
    <w:bookmarkEnd w:id="63"/>
    <w:bookmarkStart w:id="64" w:name="broad-fallback"/>
    <w:p>
      <w:pPr>
        <w:pStyle w:val="Heading2"/>
      </w:pPr>
      <w:r>
        <w:t xml:space="preserve">Broad fallback</w:t>
      </w:r>
    </w:p>
    <w:p>
      <w:pPr>
        <w:pStyle w:val="SourceCode"/>
      </w:pPr>
      <w:r>
        <w:rPr>
          <w:rStyle w:val="VerbatimChar"/>
        </w:rPr>
        <w:t xml:space="preserve">if /24 is absent,</w:t>
      </w:r>
      <w:r>
        <w:br/>
      </w:r>
      <w:r>
        <w:rPr>
          <w:rStyle w:val="VerbatimChar"/>
        </w:rPr>
        <w:t xml:space="preserve">query falls back to /16</w:t>
      </w:r>
    </w:p>
    <w:bookmarkEnd w:id="64"/>
    <w:bookmarkStart w:id="65" w:name="no-match"/>
    <w:p>
      <w:pPr>
        <w:pStyle w:val="Heading2"/>
      </w:pPr>
      <w:r>
        <w:t xml:space="preserve">No match</w:t>
      </w:r>
    </w:p>
    <w:p>
      <w:pPr>
        <w:pStyle w:val="SourceCode"/>
      </w:pPr>
      <w:r>
        <w:rPr>
          <w:rStyle w:val="VerbatimChar"/>
        </w:rPr>
        <w:t xml:space="preserve">query outside all prefixes returns none</w:t>
      </w:r>
    </w:p>
    <w:bookmarkEnd w:id="65"/>
    <w:bookmarkStart w:id="66" w:name="ipv4-and-ipv6-separate"/>
    <w:p>
      <w:pPr>
        <w:pStyle w:val="Heading2"/>
      </w:pPr>
      <w:r>
        <w:t xml:space="preserve">IPv4 and IPv6 separate</w:t>
      </w:r>
    </w:p>
    <w:p>
      <w:pPr>
        <w:pStyle w:val="SourceCode"/>
      </w:pPr>
      <w:r>
        <w:rPr>
          <w:rStyle w:val="VerbatimChar"/>
        </w:rPr>
        <w:t xml:space="preserve">IPv4 query does not match IPv6 prefix</w:t>
      </w:r>
      <w:r>
        <w:br/>
      </w:r>
      <w:r>
        <w:rPr>
          <w:rStyle w:val="VerbatimChar"/>
        </w:rPr>
        <w:t xml:space="preserve">IPv6 query does not match IPv4 prefix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final-form"/>
    <w:p>
      <w:pPr>
        <w:pStyle w:val="Heading1"/>
      </w:pPr>
      <w:r>
        <w:t xml:space="preserve">20. Final Form</w:t>
      </w:r>
    </w:p>
    <w:p>
      <w:pPr>
        <w:pStyle w:val="FirstParagraph"/>
      </w:pPr>
      <w:r>
        <w:t xml:space="preserve">The ultimate reduced doctrine is:</w:t>
      </w:r>
    </w:p>
    <w:p>
      <w:pPr>
        <w:pStyle w:val="SourceCode"/>
      </w:pPr>
      <w:r>
        <w:rPr>
          <w:rStyle w:val="VerbatimChar"/>
        </w:rPr>
        <w:t xml:space="preserve">CIDR is CONS.</w:t>
      </w:r>
      <w:r>
        <w:br/>
      </w:r>
      <w:r>
        <w:rPr>
          <w:rStyle w:val="VerbatimChar"/>
        </w:rPr>
        <w:t xml:space="preserve">The slash is Omicron.</w:t>
      </w:r>
      <w:r>
        <w:br/>
      </w:r>
      <w:r>
        <w:rPr>
          <w:rStyle w:val="VerbatimChar"/>
        </w:rPr>
        <w:t xml:space="preserve">Longest-prefix match is resolution.</w:t>
      </w:r>
      <w:r>
        <w:br/>
      </w:r>
      <w:r>
        <w:rPr>
          <w:rStyle w:val="VerbatimChar"/>
        </w:rPr>
        <w:t xml:space="preserve">CDR is the edge.</w:t>
      </w:r>
      <w:r>
        <w:br/>
      </w:r>
      <w:r>
        <w:rPr>
          <w:rStyle w:val="VerbatimChar"/>
        </w:rPr>
        <w:t xml:space="preserve">META64 is the proof receipt.</w:t>
      </w:r>
      <w:r>
        <w:br/>
      </w:r>
      <w:r>
        <w:rPr>
          <w:rStyle w:val="VerbatimChar"/>
        </w:rPr>
        <w:t xml:space="preserve">CONS256 is the canonical addressable record.</w:t>
      </w:r>
    </w:p>
    <w:p>
      <w:pPr>
        <w:pStyle w:val="FirstParagraph"/>
      </w:pPr>
      <w:r>
        <w:t xml:space="preserve">Or as a resolver law:</w:t>
      </w:r>
    </w:p>
    <w:p>
      <w:pPr>
        <w:pStyle w:val="SourceCode"/>
      </w:pPr>
      <w:r>
        <w:rPr>
          <w:rStyle w:val="VerbatimChar"/>
        </w:rPr>
        <w:t xml:space="preserve">resolve(address/depth):</w:t>
      </w:r>
      <w:r>
        <w:br/>
      </w:r>
      <w:r>
        <w:rPr>
          <w:rStyle w:val="VerbatimChar"/>
        </w:rPr>
        <w:t xml:space="preserve">  parse address as payload</w:t>
      </w:r>
      <w:r>
        <w:br/>
      </w:r>
      <w:r>
        <w:rPr>
          <w:rStyle w:val="VerbatimChar"/>
        </w:rPr>
        <w:t xml:space="preserve">  parse depth as exponent</w:t>
      </w:r>
      <w:r>
        <w:br/>
      </w:r>
      <w:r>
        <w:rPr>
          <w:rStyle w:val="VerbatimChar"/>
        </w:rPr>
        <w:t xml:space="preserve">  apply Omicron boundary</w:t>
      </w:r>
      <w:r>
        <w:br/>
      </w:r>
      <w:r>
        <w:rPr>
          <w:rStyle w:val="VerbatimChar"/>
        </w:rPr>
        <w:t xml:space="preserve">  find deepest lawful prefix</w:t>
      </w:r>
      <w:r>
        <w:br/>
      </w:r>
      <w:r>
        <w:rPr>
          <w:rStyle w:val="VerbatimChar"/>
        </w:rPr>
        <w:t xml:space="preserve">  verify META64 receipt</w:t>
      </w:r>
      <w:r>
        <w:br/>
      </w:r>
      <w:r>
        <w:rPr>
          <w:rStyle w:val="VerbatimChar"/>
        </w:rPr>
        <w:t xml:space="preserve">  follow CDR128 edge</w:t>
      </w:r>
    </w:p>
    <w:p>
      <w:pPr>
        <w:pStyle w:val="FirstParagraph"/>
      </w:pPr>
      <w:r>
        <w:t xml:space="preserve">That is the practical core.</w:t>
      </w:r>
    </w:p>
    <w:p>
      <w:pPr>
        <w:pStyle w:val="BodyText"/>
      </w:pPr>
      <w:r>
        <w:t xml:space="preserve">Everything else in the larger OMI system can be built around this.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2026-05-17T19:32:20Z</dcterms:created>
  <dcterms:modified xsi:type="dcterms:W3CDTF">2026-05-17T19:32:20Z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