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6249F" w14:textId="708FB693" w:rsidR="001D6C3A" w:rsidRPr="00C9295B" w:rsidRDefault="00000000" w:rsidP="00C9295B">
      <w:pPr>
        <w:pStyle w:val="Titre1"/>
        <w:rPr>
          <w:rFonts w:cstheme="majorHAnsi"/>
          <w:b w:val="0"/>
          <w:bCs w:val="0"/>
          <w:color w:val="000000" w:themeColor="text1"/>
          <w:sz w:val="40"/>
          <w:szCs w:val="40"/>
        </w:rPr>
      </w:pPr>
      <w:r w:rsidRPr="00C9295B">
        <w:rPr>
          <w:rFonts w:cstheme="majorHAnsi"/>
          <w:b w:val="0"/>
          <w:bCs w:val="0"/>
          <w:color w:val="000000" w:themeColor="text1"/>
          <w:sz w:val="40"/>
          <w:szCs w:val="40"/>
        </w:rPr>
        <w:t xml:space="preserve">Documentation </w:t>
      </w:r>
      <w:proofErr w:type="spellStart"/>
      <w:r w:rsidRPr="00C9295B">
        <w:rPr>
          <w:rFonts w:cstheme="majorHAnsi"/>
          <w:b w:val="0"/>
          <w:bCs w:val="0"/>
          <w:color w:val="000000" w:themeColor="text1"/>
          <w:sz w:val="40"/>
          <w:szCs w:val="40"/>
        </w:rPr>
        <w:t>fonctionnelle</w:t>
      </w:r>
      <w:proofErr w:type="spellEnd"/>
      <w:r w:rsidRPr="00C9295B">
        <w:rPr>
          <w:rFonts w:cstheme="majorHAnsi"/>
          <w:b w:val="0"/>
          <w:bCs w:val="0"/>
          <w:color w:val="000000" w:themeColor="text1"/>
          <w:sz w:val="40"/>
          <w:szCs w:val="40"/>
        </w:rPr>
        <w:t xml:space="preserve"> de </w:t>
      </w:r>
      <w:proofErr w:type="spellStart"/>
      <w:r w:rsidRPr="00C9295B">
        <w:rPr>
          <w:rFonts w:cstheme="majorHAnsi"/>
          <w:b w:val="0"/>
          <w:bCs w:val="0"/>
          <w:color w:val="000000" w:themeColor="text1"/>
          <w:sz w:val="40"/>
          <w:szCs w:val="40"/>
        </w:rPr>
        <w:t>l’application</w:t>
      </w:r>
      <w:proofErr w:type="spellEnd"/>
      <w:r w:rsidRPr="00C9295B">
        <w:rPr>
          <w:rFonts w:cstheme="majorHAnsi"/>
          <w:b w:val="0"/>
          <w:bCs w:val="0"/>
          <w:color w:val="000000" w:themeColor="text1"/>
          <w:sz w:val="40"/>
          <w:szCs w:val="40"/>
        </w:rPr>
        <w:t xml:space="preserve"> </w:t>
      </w:r>
      <w:proofErr w:type="spellStart"/>
      <w:r w:rsidRPr="00C9295B">
        <w:rPr>
          <w:rFonts w:cstheme="majorHAnsi"/>
          <w:b w:val="0"/>
          <w:bCs w:val="0"/>
          <w:color w:val="000000" w:themeColor="text1"/>
          <w:sz w:val="40"/>
          <w:szCs w:val="40"/>
        </w:rPr>
        <w:t>PowerBI</w:t>
      </w:r>
      <w:proofErr w:type="spellEnd"/>
      <w:r w:rsidRPr="00C9295B">
        <w:rPr>
          <w:rFonts w:cstheme="majorHAnsi"/>
          <w:b w:val="0"/>
          <w:bCs w:val="0"/>
          <w:color w:val="000000" w:themeColor="text1"/>
          <w:sz w:val="40"/>
          <w:szCs w:val="40"/>
        </w:rPr>
        <w:br/>
      </w:r>
      <w:proofErr w:type="gramStart"/>
      <w:r w:rsidRPr="00C9295B">
        <w:rPr>
          <w:rStyle w:val="Titre2Car"/>
          <w:color w:val="000000" w:themeColor="text1"/>
          <w:sz w:val="32"/>
          <w:szCs w:val="32"/>
        </w:rPr>
        <w:t>Rapport :</w:t>
      </w:r>
      <w:proofErr w:type="gramEnd"/>
      <w:r w:rsidRPr="00C9295B">
        <w:rPr>
          <w:rStyle w:val="Titre2Car"/>
          <w:color w:val="000000" w:themeColor="text1"/>
          <w:sz w:val="32"/>
          <w:szCs w:val="32"/>
        </w:rPr>
        <w:t xml:space="preserve"> </w:t>
      </w:r>
      <w:proofErr w:type="spellStart"/>
      <w:r w:rsidRPr="00C9295B">
        <w:rPr>
          <w:rStyle w:val="Titre2Car"/>
          <w:color w:val="000000" w:themeColor="text1"/>
          <w:sz w:val="32"/>
          <w:szCs w:val="32"/>
        </w:rPr>
        <w:t>Analyse</w:t>
      </w:r>
      <w:proofErr w:type="spellEnd"/>
      <w:r w:rsidRPr="00C9295B">
        <w:rPr>
          <w:rStyle w:val="Titre2Car"/>
          <w:color w:val="000000" w:themeColor="text1"/>
          <w:sz w:val="32"/>
          <w:szCs w:val="32"/>
        </w:rPr>
        <w:t xml:space="preserve"> des </w:t>
      </w:r>
      <w:proofErr w:type="spellStart"/>
      <w:r w:rsidRPr="00C9295B">
        <w:rPr>
          <w:rStyle w:val="Titre2Car"/>
          <w:color w:val="000000" w:themeColor="text1"/>
          <w:sz w:val="32"/>
          <w:szCs w:val="32"/>
        </w:rPr>
        <w:t>logements</w:t>
      </w:r>
      <w:proofErr w:type="spellEnd"/>
      <w:r w:rsidRPr="00C9295B">
        <w:rPr>
          <w:rStyle w:val="Titre2Car"/>
          <w:color w:val="000000" w:themeColor="text1"/>
          <w:sz w:val="32"/>
          <w:szCs w:val="32"/>
        </w:rPr>
        <w:t xml:space="preserve"> </w:t>
      </w:r>
      <w:proofErr w:type="spellStart"/>
      <w:r w:rsidRPr="00C9295B">
        <w:rPr>
          <w:rStyle w:val="Titre2Car"/>
          <w:color w:val="000000" w:themeColor="text1"/>
          <w:sz w:val="32"/>
          <w:szCs w:val="32"/>
        </w:rPr>
        <w:t>en</w:t>
      </w:r>
      <w:proofErr w:type="spellEnd"/>
      <w:r w:rsidRPr="00C9295B">
        <w:rPr>
          <w:rStyle w:val="Titre2Car"/>
          <w:color w:val="000000" w:themeColor="text1"/>
          <w:sz w:val="32"/>
          <w:szCs w:val="32"/>
        </w:rPr>
        <w:t xml:space="preserve"> Occitanie – ENEDIS</w:t>
      </w:r>
    </w:p>
    <w:p w14:paraId="66678F3F" w14:textId="77777777" w:rsidR="001D6C3A" w:rsidRDefault="00000000" w:rsidP="00C9295B">
      <w:pPr>
        <w:pStyle w:val="Titre3"/>
      </w:pPr>
      <w:r>
        <w:t>1. Objectifs de l’application</w:t>
      </w:r>
    </w:p>
    <w:p w14:paraId="2DEF5987" w14:textId="77777777" w:rsidR="001D6C3A" w:rsidRDefault="00000000">
      <w:r>
        <w:t>L’application Power BI a pour objectif d’analyser les caractéristiques énergétiques des logements situés en région Occitanie. Elle permet d’exploiter des données issues des logements neufs et existants afin d’accompagner les acteurs territoriaux dans la prise de décision liée à la transition énergétique.</w:t>
      </w:r>
      <w:r>
        <w:br/>
      </w:r>
      <w:r>
        <w:br/>
        <w:t>Les principaux objectifs sont :</w:t>
      </w:r>
      <w:r>
        <w:br/>
        <w:t>- analyser la performance énergétique des logements (DPE, GES),</w:t>
      </w:r>
      <w:r>
        <w:br/>
        <w:t>- comparer les communes entre elles,</w:t>
      </w:r>
      <w:r>
        <w:br/>
        <w:t>- suivre l’évolution du coût de l’énergie dans le temps,</w:t>
      </w:r>
      <w:r>
        <w:br/>
        <w:t>- fournir une information claire et sécurisée aux décideurs locaux.</w:t>
      </w:r>
    </w:p>
    <w:p w14:paraId="524A4A43" w14:textId="77777777" w:rsidR="001D6C3A" w:rsidRDefault="00000000" w:rsidP="00C9295B">
      <w:pPr>
        <w:pStyle w:val="Titre3"/>
      </w:pPr>
      <w:r>
        <w:t>2. Public cible</w:t>
      </w:r>
    </w:p>
    <w:p w14:paraId="070FCB5A" w14:textId="77777777" w:rsidR="001D6C3A" w:rsidRDefault="00000000">
      <w:r>
        <w:t xml:space="preserve">L’application est destinée principalement </w:t>
      </w:r>
      <w:proofErr w:type="gramStart"/>
      <w:r>
        <w:t>aux :</w:t>
      </w:r>
      <w:proofErr w:type="gramEnd"/>
      <w:r>
        <w:br/>
        <w:t>- maires des communes de la région Occitanie,</w:t>
      </w:r>
      <w:r>
        <w:br/>
        <w:t>- acteurs institutionnels du secteur de l’énergie,</w:t>
      </w:r>
      <w:r>
        <w:br/>
        <w:t>- analystes territoriaux et décideurs publics.</w:t>
      </w:r>
    </w:p>
    <w:p w14:paraId="03F8FB77" w14:textId="77777777" w:rsidR="001D6C3A" w:rsidRDefault="00000000" w:rsidP="00C9295B">
      <w:pPr>
        <w:pStyle w:val="Titre3"/>
      </w:pPr>
      <w:r>
        <w:t>3. Présentation des visualisations clés</w:t>
      </w:r>
    </w:p>
    <w:p w14:paraId="01D3A773" w14:textId="77777777" w:rsidR="001D6C3A" w:rsidRDefault="00000000">
      <w:r>
        <w:t>3.1 Indicateurs synthétiques (KPI)</w:t>
      </w:r>
      <w:r>
        <w:br/>
        <w:t>Le rapport présente en tête de page plusieurs indicateurs clés permettant une lecture rapide de la situation globale :</w:t>
      </w:r>
      <w:r>
        <w:br/>
        <w:t>- nombre total de logements,</w:t>
      </w:r>
      <w:r>
        <w:br/>
        <w:t>- coût moyen de l’énergie,</w:t>
      </w:r>
      <w:r>
        <w:br/>
        <w:t>- surface moyenne des logements.</w:t>
      </w:r>
      <w:r>
        <w:br/>
      </w:r>
      <w:r>
        <w:br/>
        <w:t>3.2 Répartition des logements par type de bâtiment</w:t>
      </w:r>
      <w:r>
        <w:br/>
        <w:t>Un diagramme circulaire présente la répartition des logements selon leur type (maison, appartement, immeuble), permettant d’identifier la typologie dominante du parc immobilier.</w:t>
      </w:r>
      <w:r>
        <w:br/>
      </w:r>
      <w:r>
        <w:br/>
        <w:t>3.3 Carte de répartition géographique</w:t>
      </w:r>
      <w:r>
        <w:br/>
        <w:t>Une carte interactive affiche la localisation des logements par commune avec une représentation des étiquettes GES. Cette visualisation permet d’identifier les zones géographiques les plus énergivores.</w:t>
      </w:r>
      <w:r>
        <w:br/>
      </w:r>
      <w:r>
        <w:br/>
      </w:r>
      <w:r>
        <w:lastRenderedPageBreak/>
        <w:t>3.4 Analyse des classes DPE</w:t>
      </w:r>
      <w:r>
        <w:br/>
        <w:t>Des histogrammes présentent le nombre de logements par classe DPE (A à G). Cette analyse est essentielle pour identifier les logements les moins performants énergétiquement.</w:t>
      </w:r>
      <w:r>
        <w:br/>
      </w:r>
      <w:r>
        <w:br/>
        <w:t>3.5 Évolution du coût de l’énergie</w:t>
      </w:r>
      <w:r>
        <w:br/>
        <w:t>Des graphiques linéaires montrent l’évolution du coût moyen de l’énergie sur plusieurs années, permettant d’analyser les tendances et variations dans le temps.</w:t>
      </w:r>
    </w:p>
    <w:p w14:paraId="2FCBA87E" w14:textId="77777777" w:rsidR="001D6C3A" w:rsidRDefault="00000000" w:rsidP="00C9295B">
      <w:pPr>
        <w:pStyle w:val="Titre3"/>
      </w:pPr>
      <w:r>
        <w:t>4. Fonctionnalités principales</w:t>
      </w:r>
    </w:p>
    <w:p w14:paraId="330BA8B7" w14:textId="00FC7790" w:rsidR="001D6C3A" w:rsidRDefault="00000000">
      <w:r>
        <w:t>4.1 Navigation</w:t>
      </w:r>
      <w:r>
        <w:br/>
        <w:t>La navigation entre les pages du rapport est assurée par des boutons et icônes latérales, permettant un accès rapide aux différentes vues de l’application.</w:t>
      </w:r>
      <w:r>
        <w:br/>
      </w:r>
      <w:r>
        <w:br/>
        <w:t>4.2 Filtres interactifs</w:t>
      </w:r>
      <w:r>
        <w:br/>
        <w:t>Des filtres sont mis à disposition de l’utilisateur afin d’affiner l’analyse :</w:t>
      </w:r>
      <w:r>
        <w:br/>
        <w:t>- commune,</w:t>
      </w:r>
      <w:r>
        <w:br/>
        <w:t>- type de bâtiment,</w:t>
      </w:r>
      <w:r>
        <w:br/>
        <w:t>- état du logement (neuf ou existant).</w:t>
      </w:r>
      <w:r>
        <w:br/>
        <w:t>Les filtres sont synchronisés sur l’ensemble des visualisations.</w:t>
      </w:r>
      <w:r>
        <w:br/>
      </w:r>
      <w:r>
        <w:br/>
        <w:t xml:space="preserve">4.3 </w:t>
      </w:r>
      <w:proofErr w:type="spellStart"/>
      <w:r>
        <w:t>Comparaison</w:t>
      </w:r>
      <w:proofErr w:type="spellEnd"/>
      <w:r>
        <w:t xml:space="preserve"> entre communes</w:t>
      </w:r>
      <w:r>
        <w:br/>
        <w:t xml:space="preserve">Une page </w:t>
      </w:r>
      <w:proofErr w:type="spellStart"/>
      <w:r>
        <w:t>dédiée</w:t>
      </w:r>
      <w:proofErr w:type="spellEnd"/>
      <w:r>
        <w:t xml:space="preserve"> permet la comparaison de deux communes côte à côte. Elle met en évidence les différences en termes de consommation énergétique, de classe DPE dominante et de coût de l’énergie.</w:t>
      </w:r>
      <w:r>
        <w:br/>
      </w:r>
      <w:r>
        <w:br/>
        <w:t>4.4 Sécurité et rôles utilisateurs</w:t>
      </w:r>
      <w:r>
        <w:br/>
        <w:t>Grâce à la mise en place de règles de sécurité (RLS), chaque maire ne peut consulter que les données relatives à sa commune. Cette fonctionnalité garantit la confidentialité des informations.</w:t>
      </w:r>
    </w:p>
    <w:p w14:paraId="61545523" w14:textId="77777777" w:rsidR="001D6C3A" w:rsidRDefault="00000000" w:rsidP="00C9295B">
      <w:pPr>
        <w:pStyle w:val="Titre3"/>
      </w:pPr>
      <w:r>
        <w:t>5. Valeur ajoutée de l’application</w:t>
      </w:r>
    </w:p>
    <w:p w14:paraId="7B5305B0" w14:textId="77777777" w:rsidR="001D6C3A" w:rsidRDefault="00000000">
      <w:r>
        <w:t>L’application Power BI apporte une forte valeur ajoutée en fournissant une vision claire et synthétique du parc immobilier. Elle facilite la prise de décision en matière de politiques énergétiques locales et contribue à l’amélioration de la performance énergétique des logements.</w:t>
      </w:r>
    </w:p>
    <w:p w14:paraId="3B0E394F" w14:textId="77777777" w:rsidR="001D6C3A" w:rsidRDefault="00000000" w:rsidP="00C9295B">
      <w:pPr>
        <w:pStyle w:val="Titre3"/>
      </w:pPr>
      <w:r>
        <w:t>6. Conclusion</w:t>
      </w:r>
    </w:p>
    <w:p w14:paraId="2BB955A8" w14:textId="77777777" w:rsidR="001D6C3A" w:rsidRDefault="00000000">
      <w:r>
        <w:t>Cette application constitue un outil d’aide à la décision performant, combinant visualisations pertinentes, fonctionnalités interactives et sécurité des données. Elle répond aux besoins des collectivités locales en matière d’analyse énergétique et territoriale.</w:t>
      </w:r>
    </w:p>
    <w:sectPr w:rsidR="001D6C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58690915">
    <w:abstractNumId w:val="8"/>
  </w:num>
  <w:num w:numId="2" w16cid:durableId="1387753845">
    <w:abstractNumId w:val="6"/>
  </w:num>
  <w:num w:numId="3" w16cid:durableId="105734748">
    <w:abstractNumId w:val="5"/>
  </w:num>
  <w:num w:numId="4" w16cid:durableId="635185848">
    <w:abstractNumId w:val="4"/>
  </w:num>
  <w:num w:numId="5" w16cid:durableId="91632311">
    <w:abstractNumId w:val="7"/>
  </w:num>
  <w:num w:numId="6" w16cid:durableId="1554268146">
    <w:abstractNumId w:val="3"/>
  </w:num>
  <w:num w:numId="7" w16cid:durableId="861016808">
    <w:abstractNumId w:val="2"/>
  </w:num>
  <w:num w:numId="8" w16cid:durableId="1770655565">
    <w:abstractNumId w:val="1"/>
  </w:num>
  <w:num w:numId="9" w16cid:durableId="609707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C3A"/>
    <w:rsid w:val="0029639D"/>
    <w:rsid w:val="00326F90"/>
    <w:rsid w:val="003A4631"/>
    <w:rsid w:val="00AA1D8D"/>
    <w:rsid w:val="00B47730"/>
    <w:rsid w:val="00C9295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986DC5"/>
  <w14:defaultImageDpi w14:val="300"/>
  <w15:docId w15:val="{C5DA7BAE-B383-4FE8-83E4-8F991635D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545</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Chouki Meryem</cp:lastModifiedBy>
  <cp:revision>2</cp:revision>
  <dcterms:created xsi:type="dcterms:W3CDTF">2013-12-23T23:15:00Z</dcterms:created>
  <dcterms:modified xsi:type="dcterms:W3CDTF">2026-02-07T10:36:00Z</dcterms:modified>
  <cp:category/>
</cp:coreProperties>
</file>