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Arial" w:cs="Arial" w:eastAsia="Arial" w:hAnsi="Arial"/>
          <w:b/>
          <w:bCs/>
          <w:color w:val="1F4E79"/>
          <w:sz w:val="34"/>
          <w:szCs w:val="34"/>
        </w:rPr>
        <w:t xml:space="preserve">Protocol 2 Confirmatory Campaign — Build Report</w:t>
      </w:r>
    </w:p>
    <w:p>
      <w:pPr>
        <w:spacing w:after="60" w:before="0"/>
        <w:jc w:val="center"/>
      </w:pPr>
      <w:r>
        <w:rPr>
          <w:rFonts w:ascii="Arial" w:cs="Arial" w:eastAsia="Arial" w:hAnsi="Arial"/>
          <w:i/>
          <w:iCs/>
          <w:sz w:val="24"/>
          <w:szCs w:val="24"/>
        </w:rPr>
        <w:t xml:space="preserve">constraint-ethics-necessity</w:t>
      </w:r>
    </w:p>
    <w:p>
      <w:pPr>
        <w:spacing w:after="40" w:before="0"/>
        <w:jc w:val="center"/>
      </w:pPr>
      <w:r>
        <w:rPr>
          <w:rFonts w:ascii="Arial" w:cs="Arial" w:eastAsia="Arial" w:hAnsi="Arial"/>
          <w:color w:val="595959"/>
          <w:sz w:val="20"/>
          <w:szCs w:val="20"/>
        </w:rPr>
        <w:t xml:space="preserve">Prepared by: Bruce Tisler / Quantum Inquiry  |  March 2026</w:t>
      </w:r>
    </w:p>
    <w:p>
      <w:pPr>
        <w:spacing w:after="300" w:before="0"/>
        <w:jc w:val="center"/>
      </w:pPr>
      <w:r>
        <w:rPr>
          <w:rFonts w:ascii="Arial" w:cs="Arial" w:eastAsia="Arial" w:hAnsi="Arial"/>
          <w:color w:val="595959"/>
          <w:sz w:val="20"/>
          <w:szCs w:val="20"/>
        </w:rPr>
        <w:t xml:space="preserve">Preregistration DOI: </w:t>
      </w:r>
      <w:r>
        <w:rPr>
          <w:rFonts w:ascii="Arial" w:cs="Arial" w:eastAsia="Arial" w:hAnsi="Arial"/>
          <w:color w:val="2E75B6"/>
          <w:sz w:val="20"/>
          <w:szCs w:val="20"/>
        </w:rPr>
        <w:t xml:space="preserve">10.5281/zenodo.18929040</w:t>
      </w:r>
      <w:r>
        <w:rPr>
          <w:rFonts w:ascii="Arial" w:cs="Arial" w:eastAsia="Arial" w:hAnsi="Arial"/>
          <w:color w:val="595959"/>
          <w:sz w:val="20"/>
          <w:szCs w:val="20"/>
        </w:rPr>
        <w:t xml:space="preserve">  |  Git lock commit: fb69241  |  All 20 runs complete</w:t>
      </w:r>
    </w:p>
    <w:p>
      <w:pPr>
        <w:pBdr>
          <w:bottom w:val="single" w:color="2E75B6" w:sz="6"/>
        </w:pBdr>
        <w:spacing w:after="120" w:before="400"/>
      </w:pPr>
      <w:r>
        <w:rPr>
          <w:rFonts w:ascii="Arial" w:cs="Arial" w:eastAsia="Arial" w:hAnsi="Arial"/>
          <w:b/>
          <w:bCs/>
          <w:color w:val="1F4E79"/>
          <w:sz w:val="32"/>
          <w:szCs w:val="32"/>
        </w:rPr>
        <w:t xml:space="preserve">1. Purpose and Scope</w:t>
      </w:r>
    </w:p>
    <w:p>
      <w:pPr>
        <w:spacing w:after="60" w:before="60"/>
      </w:pPr>
      <w:r>
        <w:rPr>
          <w:rFonts w:ascii="Arial" w:cs="Arial" w:eastAsia="Arial" w:hAnsi="Arial"/>
          <w:sz w:val="22"/>
          <w:szCs w:val="22"/>
        </w:rPr>
        <w:t xml:space="preserve">This build report is the permanent scientific record of the Protocol 2 confirmatory campaign for the constraint-ethics-necessity study. It documents the harness as implemented, all deviations from the preregistration, the complete per-seed dataset, and the confirmatory statistical results.</w:t>
      </w:r>
    </w:p>
    <w:p>
      <w:pPr>
        <w:spacing w:after="60" w:before="60"/>
      </w:pPr>
      <w:r>
        <w:rPr>
          <w:rFonts w:ascii="Arial" w:cs="Arial" w:eastAsia="Arial" w:hAnsi="Arial"/>
          <w:sz w:val="22"/>
          <w:szCs w:val="22"/>
        </w:rPr>
        <w:t xml:space="preserve">All 20 confirmatory runs are complete (10 seeds per condition, 500 epochs each). This document closes the Protocol 2 phase before any new experimental work begins.</w:t>
      </w:r>
    </w:p>
    <w:p>
      <w:pPr>
        <w:pBdr>
          <w:bottom w:val="single" w:color="2E75B6" w:sz="6"/>
        </w:pBdr>
        <w:spacing w:after="120" w:before="400"/>
      </w:pPr>
      <w:r>
        <w:rPr>
          <w:rFonts w:ascii="Arial" w:cs="Arial" w:eastAsia="Arial" w:hAnsi="Arial"/>
          <w:b/>
          <w:bCs/>
          <w:color w:val="1F4E79"/>
          <w:sz w:val="32"/>
          <w:szCs w:val="32"/>
        </w:rPr>
        <w:t xml:space="preserve">2. Harness Architecture (as-implemented)</w:t>
      </w:r>
    </w:p>
    <w:p>
      <w:pPr>
        <w:spacing w:after="80" w:before="280"/>
      </w:pPr>
      <w:r>
        <w:rPr>
          <w:rFonts w:ascii="Arial" w:cs="Arial" w:eastAsia="Arial" w:hAnsi="Arial"/>
          <w:b/>
          <w:bCs/>
          <w:color w:val="2E75B6"/>
          <w:sz w:val="26"/>
          <w:szCs w:val="26"/>
        </w:rPr>
        <w:t xml:space="preserve">2.1 Environment</w:t>
      </w:r>
    </w:p>
    <w:p>
      <w:pPr>
        <w:spacing w:after="60" w:before="60"/>
      </w:pPr>
      <w:r>
        <w:rPr>
          <w:rFonts w:ascii="Arial" w:cs="Arial" w:eastAsia="Arial" w:hAnsi="Arial"/>
          <w:sz w:val="22"/>
          <w:szCs w:val="22"/>
        </w:rPr>
        <w:t xml:space="preserve">20×20 grid world. One fixed target position per episode, 8 obstacles, 3 agents (A, B, C). Episodes terminate on target-reached, energy-depleted, or timeout (max 100 steps). The environment resets each episode.</w:t>
      </w:r>
    </w:p>
    <w:p>
      <w:pPr>
        <w:spacing w:after="60" w:before="60"/>
      </w:pPr>
      <w:r>
        <w:rPr>
          <w:rFonts w:ascii="Arial" w:cs="Arial" w:eastAsia="Arial" w:hAnsi="Arial"/>
          <w:b/>
          <w:bCs/>
          <w:sz w:val="22"/>
          <w:szCs w:val="22"/>
        </w:rPr>
        <w:t xml:space="preserve">Resource depletion finding: </w:t>
      </w:r>
      <w:r>
        <w:rPr>
          <w:rFonts w:ascii="Arial" w:cs="Arial" w:eastAsia="Arial" w:hAnsi="Arial"/>
          <w:sz w:val="22"/>
          <w:szCs w:val="22"/>
        </w:rPr>
        <w:t xml:space="preserve">The grid does not contain a depletable resource pool. The single target position holds a constant value of 1.0 and does not deplete when agents exploit (repeatedly target the same position). Agent energy depletes through movement costs only. When consecutive same-target steps ≥ 3, no grid resource state changes — only agent energy is consumed. The survival pressure the preregistered theory required (resource depletion creating scarcity that forces interrogative behavior) is absent from this harness. This is the primary operationalization gap and the root cause of elr = 0.0 across all 20 runs.</w:t>
      </w:r>
    </w:p>
    <w:p>
      <w:pPr>
        <w:spacing w:after="80" w:before="280"/>
      </w:pPr>
      <w:r>
        <w:rPr>
          <w:rFonts w:ascii="Arial" w:cs="Arial" w:eastAsia="Arial" w:hAnsi="Arial"/>
          <w:b/>
          <w:bCs/>
          <w:color w:val="2E75B6"/>
          <w:sz w:val="26"/>
          <w:szCs w:val="26"/>
        </w:rPr>
        <w:t xml:space="preserve">2.2 Agent Architectures</w:t>
      </w:r>
    </w:p>
    <w:p>
      <w:pPr>
        <w:pStyle w:val="ListParagraph"/>
        <w:numPr>
          <w:ilvl w:val="0"/>
          <w:numId w:val="2"/>
        </w:numPr>
        <w:spacing w:after="36" w:before="36"/>
      </w:pPr>
      <w:r>
        <w:rPr>
          <w:rFonts w:ascii="Arial" w:cs="Arial" w:eastAsia="Arial" w:hAnsi="Arial"/>
          <w:sz w:val="22"/>
          <w:szCs w:val="22"/>
        </w:rPr>
        <w:t xml:space="preserve">Agent A (RNN): 1D sequence input — distances to target, obstacles, and other agents</w:t>
      </w:r>
    </w:p>
    <w:p>
      <w:pPr>
        <w:pStyle w:val="ListParagraph"/>
        <w:numPr>
          <w:ilvl w:val="0"/>
          <w:numId w:val="2"/>
        </w:numPr>
        <w:spacing w:after="36" w:before="36"/>
      </w:pPr>
      <w:r>
        <w:rPr>
          <w:rFonts w:ascii="Arial" w:cs="Arial" w:eastAsia="Arial" w:hAnsi="Arial"/>
          <w:sz w:val="22"/>
          <w:szCs w:val="22"/>
        </w:rPr>
        <w:t xml:space="preserve">Agent B (CNN): 3D volumetric density map using linear decay gradient (Hardware Friction Mandate — not a perfect voxel grid)</w:t>
      </w:r>
    </w:p>
    <w:p>
      <w:pPr>
        <w:pStyle w:val="ListParagraph"/>
        <w:numPr>
          <w:ilvl w:val="0"/>
          <w:numId w:val="2"/>
        </w:numPr>
        <w:spacing w:after="36" w:before="36"/>
      </w:pPr>
      <w:r>
        <w:rPr>
          <w:rFonts w:ascii="Arial" w:cs="Arial" w:eastAsia="Arial" w:hAnsi="Arial"/>
          <w:sz w:val="22"/>
          <w:szCs w:val="22"/>
        </w:rPr>
        <w:t xml:space="preserve">Agent C (GNN-attention): Pairwise relational feature matrix across all entities</w:t>
      </w:r>
    </w:p>
    <w:p>
      <w:pPr>
        <w:spacing w:after="80" w:before="280"/>
      </w:pPr>
      <w:r>
        <w:rPr>
          <w:rFonts w:ascii="Arial" w:cs="Arial" w:eastAsia="Arial" w:hAnsi="Arial"/>
          <w:b/>
          <w:bCs/>
          <w:color w:val="2E75B6"/>
          <w:sz w:val="26"/>
          <w:szCs w:val="26"/>
        </w:rPr>
        <w:t xml:space="preserve">2.3 Signal Types and Costs</w:t>
      </w:r>
    </w:p>
    <w:p>
      <w:pPr>
        <w:pStyle w:val="ListParagraph"/>
        <w:numPr>
          <w:ilvl w:val="0"/>
          <w:numId w:val="2"/>
        </w:numPr>
        <w:spacing w:after="36" w:before="36"/>
      </w:pPr>
      <w:r>
        <w:rPr>
          <w:rFonts w:ascii="Arial" w:cs="Arial" w:eastAsia="Arial" w:hAnsi="Arial"/>
          <w:sz w:val="22"/>
          <w:szCs w:val="22"/>
        </w:rPr>
        <w:t xml:space="preserve">DECLARE (0): Environmental declaration — baseline signal cost</w:t>
      </w:r>
    </w:p>
    <w:p>
      <w:pPr>
        <w:pStyle w:val="ListParagraph"/>
        <w:numPr>
          <w:ilvl w:val="0"/>
          <w:numId w:val="2"/>
        </w:numPr>
        <w:spacing w:after="36" w:before="36"/>
      </w:pPr>
      <w:r>
        <w:rPr>
          <w:rFonts w:ascii="Arial" w:cs="Arial" w:eastAsia="Arial" w:hAnsi="Arial"/>
          <w:sz w:val="22"/>
          <w:szCs w:val="22"/>
        </w:rPr>
        <w:t xml:space="preserve">QUERY (1): Interrogative signal — baseline signal cost</w:t>
      </w:r>
    </w:p>
    <w:p>
      <w:pPr>
        <w:pStyle w:val="ListParagraph"/>
        <w:numPr>
          <w:ilvl w:val="0"/>
          <w:numId w:val="2"/>
        </w:numPr>
        <w:spacing w:after="36" w:before="36"/>
      </w:pPr>
      <w:r>
        <w:rPr>
          <w:rFonts w:ascii="Arial" w:cs="Arial" w:eastAsia="Arial" w:hAnsi="Arial"/>
          <w:sz w:val="22"/>
          <w:szCs w:val="22"/>
        </w:rPr>
        <w:t xml:space="preserve">RESPOND (2): Response signal — baseline signal cost</w:t>
      </w:r>
    </w:p>
    <w:p>
      <w:pPr>
        <w:spacing w:after="80" w:before="280"/>
      </w:pPr>
      <w:r>
        <w:rPr>
          <w:rFonts w:ascii="Arial" w:cs="Arial" w:eastAsia="Arial" w:hAnsi="Arial"/>
          <w:b/>
          <w:bCs/>
          <w:color w:val="2E75B6"/>
          <w:sz w:val="26"/>
          <w:szCs w:val="26"/>
        </w:rPr>
        <w:t xml:space="preserve">2.4 Reward Function (as-implemented)</w:t>
      </w:r>
    </w:p>
    <w:p>
      <w:pPr>
        <w:spacing w:after="60" w:before="60"/>
      </w:pPr>
      <w:r>
        <w:rPr>
          <w:rFonts w:ascii="Arial" w:cs="Arial" w:eastAsia="Arial" w:hAnsi="Arial"/>
          <w:b/>
          <w:bCs/>
          <w:sz w:val="22"/>
          <w:szCs w:val="22"/>
        </w:rPr>
        <w:t xml:space="preserve">Unconstrained: </w:t>
      </w:r>
      <w:r>
        <w:rPr>
          <w:rFonts w:ascii="Arial" w:cs="Arial" w:eastAsia="Arial" w:hAnsi="Arial"/>
          <w:sz w:val="22"/>
          <w:szCs w:val="22"/>
        </w:rPr>
        <w:t xml:space="preserve">reward = env_reward − signal_cost + survival_bonus × energy_fraction</w:t>
      </w:r>
    </w:p>
    <w:p>
      <w:pPr>
        <w:spacing w:after="60" w:before="60"/>
      </w:pPr>
      <w:r>
        <w:rPr>
          <w:rFonts w:ascii="Arial" w:cs="Arial" w:eastAsia="Arial" w:hAnsi="Arial"/>
          <w:b/>
          <w:bCs/>
          <w:sz w:val="22"/>
          <w:szCs w:val="22"/>
        </w:rPr>
        <w:t xml:space="preserve">Constrained: </w:t>
      </w:r>
      <w:r>
        <w:rPr>
          <w:rFonts w:ascii="Arial" w:cs="Arial" w:eastAsia="Arial" w:hAnsi="Arial"/>
          <w:sz w:val="22"/>
          <w:szCs w:val="22"/>
        </w:rPr>
        <w:t xml:space="preserve">reward = env_reward − signal_cost − ethical_cost + survival_bonus × energy_fraction</w:t>
      </w:r>
    </w:p>
    <w:p>
      <w:pPr>
        <w:spacing w:after="60" w:before="60"/>
      </w:pPr>
      <w:r>
        <w:rPr>
          <w:rFonts w:ascii="Arial" w:cs="Arial" w:eastAsia="Arial" w:hAnsi="Arial"/>
          <w:b/>
          <w:bCs/>
          <w:sz w:val="22"/>
          <w:szCs w:val="22"/>
        </w:rPr>
        <w:t xml:space="preserve">Ethical cost: </w:t>
      </w:r>
      <w:r>
        <w:rPr>
          <w:rFonts w:ascii="Arial" w:cs="Arial" w:eastAsia="Arial" w:hAnsi="Arial"/>
          <w:sz w:val="22"/>
          <w:szCs w:val="22"/>
        </w:rPr>
        <w:t xml:space="preserve">2.0 × signal_cost, applied when consecutive_non_query_steps ≥ 3 (is_exploiting = True)</w:t>
      </w:r>
    </w:p>
    <w:p>
      <w:pPr>
        <w:spacing w:after="80" w:before="280"/>
      </w:pPr>
      <w:r>
        <w:rPr>
          <w:rFonts w:ascii="Arial" w:cs="Arial" w:eastAsia="Arial" w:hAnsi="Arial"/>
          <w:b/>
          <w:bCs/>
          <w:color w:val="2E75B6"/>
          <w:sz w:val="26"/>
          <w:szCs w:val="26"/>
        </w:rPr>
        <w:t xml:space="preserve">2.5 Gaming Flag Detection (algorithmic)</w:t>
      </w:r>
    </w:p>
    <w:p>
      <w:pPr>
        <w:spacing w:after="60" w:before="60"/>
      </w:pPr>
      <w:r>
        <w:rPr>
          <w:rFonts w:ascii="Arial" w:cs="Arial" w:eastAsia="Arial" w:hAnsi="Arial"/>
          <w:sz w:val="22"/>
          <w:szCs w:val="22"/>
        </w:rPr>
        <w:t xml:space="preserve">Gaming flag is computed programmatically in analyze_confirmatory.py. A constrained seed is flagged [GAMING] when both of the following hold in the second half of the run:</w:t>
      </w:r>
    </w:p>
    <w:p>
      <w:pPr>
        <w:pStyle w:val="ListParagraph"/>
        <w:numPr>
          <w:ilvl w:val="0"/>
          <w:numId w:val="2"/>
        </w:numPr>
        <w:spacing w:after="36" w:before="36"/>
      </w:pPr>
      <w:r>
        <w:rPr>
          <w:rFonts w:ascii="Arial" w:cs="Arial" w:eastAsia="Arial" w:hAnsi="Arial"/>
          <w:sz w:val="22"/>
          <w:szCs w:val="22"/>
        </w:rPr>
        <w:t xml:space="preserve">ethical_cost slope &lt; 0 (declining ethical cost in second half)</w:t>
      </w:r>
    </w:p>
    <w:p>
      <w:pPr>
        <w:pStyle w:val="ListParagraph"/>
        <w:numPr>
          <w:ilvl w:val="0"/>
          <w:numId w:val="2"/>
        </w:numPr>
        <w:spacing w:after="36" w:before="36"/>
      </w:pPr>
      <w:r>
        <w:rPr>
          <w:rFonts w:ascii="Arial" w:cs="Arial" w:eastAsia="Arial" w:hAnsi="Arial"/>
          <w:sz w:val="22"/>
          <w:szCs w:val="22"/>
        </w:rPr>
        <w:t xml:space="preserve">type_entropy slope &lt; 0 (declining type entropy in second half)</w:t>
      </w:r>
    </w:p>
    <w:p>
      <w:pPr>
        <w:spacing w:after="60" w:before="60"/>
      </w:pPr>
      <w:r>
        <w:rPr>
          <w:rFonts w:ascii="Arial" w:cs="Arial" w:eastAsia="Arial" w:hAnsi="Arial"/>
          <w:sz w:val="22"/>
          <w:szCs w:val="22"/>
        </w:rPr>
        <w:t xml:space="preserve">Slopes are computed via ordinary least squares over the second half of the 500-epoch series. The criterion detects seeds where agents learned to minimize ethical cost without maintaining genuine interrogative diversity — a behavioral signature consistent with query-flooding to satisfy the constraint while reducing actual signal complexity.</w:t>
      </w:r>
    </w:p>
    <w:p>
      <w:pPr>
        <w:pBdr>
          <w:bottom w:val="single" w:color="2E75B6" w:sz="6"/>
        </w:pBdr>
        <w:spacing w:after="120" w:before="400"/>
      </w:pPr>
      <w:r>
        <w:rPr>
          <w:rFonts w:ascii="Arial" w:cs="Arial" w:eastAsia="Arial" w:hAnsi="Arial"/>
          <w:b/>
          <w:bCs/>
          <w:color w:val="1F4E79"/>
          <w:sz w:val="32"/>
          <w:szCs w:val="32"/>
        </w:rPr>
        <w:t xml:space="preserve">3. Protocol 2 Parameters (as-locked)</w:t>
      </w:r>
    </w:p>
    <w:p>
      <w:pPr>
        <w:pStyle w:val="ListParagraph"/>
        <w:numPr>
          <w:ilvl w:val="0"/>
          <w:numId w:val="2"/>
        </w:numPr>
        <w:spacing w:after="36" w:before="36"/>
      </w:pPr>
      <w:r>
        <w:rPr>
          <w:rFonts w:ascii="Arial" w:cs="Arial" w:eastAsia="Arial" w:hAnsi="Arial"/>
          <w:sz w:val="22"/>
          <w:szCs w:val="22"/>
        </w:rPr>
        <w:t xml:space="preserve">exploit_threshold = 3</w:t>
      </w:r>
    </w:p>
    <w:p>
      <w:pPr>
        <w:pStyle w:val="ListParagraph"/>
        <w:numPr>
          <w:ilvl w:val="0"/>
          <w:numId w:val="2"/>
        </w:numPr>
        <w:spacing w:after="36" w:before="36"/>
      </w:pPr>
      <w:r>
        <w:rPr>
          <w:rFonts w:ascii="Arial" w:cs="Arial" w:eastAsia="Arial" w:hAnsi="Arial"/>
          <w:sz w:val="22"/>
          <w:szCs w:val="22"/>
        </w:rPr>
        <w:t xml:space="preserve">ethical_tax_rate = 2.0</w:t>
      </w:r>
    </w:p>
    <w:p>
      <w:pPr>
        <w:pStyle w:val="ListParagraph"/>
        <w:numPr>
          <w:ilvl w:val="0"/>
          <w:numId w:val="2"/>
        </w:numPr>
        <w:spacing w:after="36" w:before="36"/>
      </w:pPr>
      <w:r>
        <w:rPr>
          <w:rFonts w:ascii="Arial" w:cs="Arial" w:eastAsia="Arial" w:hAnsi="Arial"/>
          <w:sz w:val="22"/>
          <w:szCs w:val="22"/>
        </w:rPr>
        <w:t xml:space="preserve">collapse_threshold = 0.05</w:t>
      </w:r>
    </w:p>
    <w:p>
      <w:pPr>
        <w:pStyle w:val="ListParagraph"/>
        <w:numPr>
          <w:ilvl w:val="0"/>
          <w:numId w:val="2"/>
        </w:numPr>
        <w:spacing w:after="36" w:before="36"/>
      </w:pPr>
      <w:r>
        <w:rPr>
          <w:rFonts w:ascii="Arial" w:cs="Arial" w:eastAsia="Arial" w:hAnsi="Arial"/>
          <w:sz w:val="22"/>
          <w:szCs w:val="22"/>
        </w:rPr>
        <w:t xml:space="preserve">collapse_window = 10</w:t>
      </w:r>
    </w:p>
    <w:p>
      <w:pPr>
        <w:pStyle w:val="ListParagraph"/>
        <w:numPr>
          <w:ilvl w:val="0"/>
          <w:numId w:val="2"/>
        </w:numPr>
        <w:spacing w:after="36" w:before="36"/>
      </w:pPr>
      <w:r>
        <w:rPr>
          <w:rFonts w:ascii="Arial" w:cs="Arial" w:eastAsia="Arial" w:hAnsi="Arial"/>
          <w:sz w:val="22"/>
          <w:szCs w:val="22"/>
        </w:rPr>
        <w:t xml:space="preserve">sustained_structure_window = 20</w:t>
      </w:r>
    </w:p>
    <w:p>
      <w:pPr>
        <w:pStyle w:val="ListParagraph"/>
        <w:numPr>
          <w:ilvl w:val="0"/>
          <w:numId w:val="2"/>
        </w:numPr>
        <w:spacing w:after="36" w:before="36"/>
      </w:pPr>
      <w:r>
        <w:rPr>
          <w:rFonts w:ascii="Arial" w:cs="Arial" w:eastAsia="Arial" w:hAnsi="Arial"/>
          <w:sz w:val="22"/>
          <w:szCs w:val="22"/>
        </w:rPr>
        <w:t xml:space="preserve">Conditions: all_constrained vs all_unconstrained</w:t>
      </w:r>
    </w:p>
    <w:p>
      <w:pPr>
        <w:pStyle w:val="ListParagraph"/>
        <w:numPr>
          <w:ilvl w:val="0"/>
          <w:numId w:val="2"/>
        </w:numPr>
        <w:spacing w:after="36" w:before="36"/>
      </w:pPr>
      <w:r>
        <w:rPr>
          <w:rFonts w:ascii="Arial" w:cs="Arial" w:eastAsia="Arial" w:hAnsi="Arial"/>
          <w:sz w:val="22"/>
          <w:szCs w:val="22"/>
        </w:rPr>
        <w:t xml:space="preserve">Seeds: 0–9, 10 per condition, 500 epochs each, 10 episodes per epoch</w:t>
      </w:r>
    </w:p>
    <w:p>
      <w:pPr>
        <w:pBdr>
          <w:bottom w:val="single" w:color="2E75B6" w:sz="6"/>
        </w:pBdr>
        <w:spacing w:after="120" w:before="400"/>
      </w:pPr>
      <w:r>
        <w:rPr>
          <w:rFonts w:ascii="Arial" w:cs="Arial" w:eastAsia="Arial" w:hAnsi="Arial"/>
          <w:b/>
          <w:bCs/>
          <w:color w:val="1F4E79"/>
          <w:sz w:val="32"/>
          <w:szCs w:val="32"/>
        </w:rPr>
        <w:t xml:space="preserve">4. Deviation Log</w:t>
      </w:r>
    </w:p>
    <w:p>
      <w:pPr>
        <w:spacing w:after="60" w:before="60"/>
      </w:pPr>
      <w:r>
        <w:rPr>
          <w:rFonts w:ascii="Arial" w:cs="Arial" w:eastAsia="Arial" w:hAnsi="Arial"/>
          <w:sz w:val="22"/>
          <w:szCs w:val="22"/>
        </w:rPr>
        <w:t xml:space="preserve">Four deviations from the preregistration are formally documented below.</w:t>
      </w:r>
    </w:p>
    <w:p>
      <w:pPr>
        <w:spacing w:after="80" w:before="280"/>
      </w:pPr>
      <w:r>
        <w:rPr>
          <w:rFonts w:ascii="Arial" w:cs="Arial" w:eastAsia="Arial" w:hAnsi="Arial"/>
          <w:b/>
          <w:bCs/>
          <w:color w:val="2E75B6"/>
          <w:sz w:val="26"/>
          <w:szCs w:val="26"/>
        </w:rPr>
        <w:t xml:space="preserve">Deviation 1 — collapse_window parameter</w:t>
      </w:r>
    </w:p>
    <w:p>
      <w:pPr>
        <w:spacing w:after="60" w:before="60"/>
      </w:pPr>
      <w:r>
        <w:rPr>
          <w:rFonts w:ascii="Arial" w:cs="Arial" w:eastAsia="Arial" w:hAnsi="Arial"/>
          <w:b/>
          <w:bCs/>
          <w:sz w:val="22"/>
          <w:szCs w:val="22"/>
        </w:rPr>
        <w:t xml:space="preserve">Specified: </w:t>
      </w:r>
      <w:r>
        <w:rPr>
          <w:rFonts w:ascii="Arial" w:cs="Arial" w:eastAsia="Arial" w:hAnsi="Arial"/>
          <w:sz w:val="22"/>
          <w:szCs w:val="22"/>
        </w:rPr>
        <w:t xml:space="preserve">collapse_window = 10 (preregistration-locked)</w:t>
      </w:r>
    </w:p>
    <w:p>
      <w:pPr>
        <w:spacing w:after="60" w:before="60"/>
      </w:pPr>
      <w:r>
        <w:rPr>
          <w:rFonts w:ascii="Arial" w:cs="Arial" w:eastAsia="Arial" w:hAnsi="Arial"/>
          <w:b/>
          <w:bCs/>
          <w:sz w:val="22"/>
          <w:szCs w:val="22"/>
        </w:rPr>
        <w:t xml:space="preserve">What happened: </w:t>
      </w:r>
      <w:r>
        <w:rPr>
          <w:rFonts w:ascii="Arial" w:cs="Arial" w:eastAsia="Arial" w:hAnsi="Arial"/>
          <w:sz w:val="22"/>
          <w:szCs w:val="22"/>
        </w:rPr>
        <w:t xml:space="preserve">Value changed to 5 during smoke test, corrected back to 10 before confirmatory runs.</w:t>
      </w:r>
    </w:p>
    <w:p>
      <w:pPr>
        <w:spacing w:after="60" w:before="60"/>
      </w:pPr>
      <w:r>
        <w:rPr>
          <w:rFonts w:ascii="Arial" w:cs="Arial" w:eastAsia="Arial" w:hAnsi="Arial"/>
          <w:b/>
          <w:bCs/>
          <w:sz w:val="22"/>
          <w:szCs w:val="22"/>
        </w:rPr>
        <w:t xml:space="preserve">Impact: </w:t>
      </w:r>
      <w:r>
        <w:rPr>
          <w:rFonts w:ascii="Arial" w:cs="Arial" w:eastAsia="Arial" w:hAnsi="Arial"/>
          <w:sz w:val="22"/>
          <w:szCs w:val="22"/>
        </w:rPr>
        <w:t xml:space="preserve">None. Correction made before any confirmatory data collected.</w:t>
      </w:r>
    </w:p>
    <w:p>
      <w:pPr>
        <w:spacing w:after="80" w:before="280"/>
      </w:pPr>
      <w:r>
        <w:rPr>
          <w:rFonts w:ascii="Arial" w:cs="Arial" w:eastAsia="Arial" w:hAnsi="Arial"/>
          <w:b/>
          <w:bCs/>
          <w:color w:val="2E75B6"/>
          <w:sz w:val="26"/>
          <w:szCs w:val="26"/>
        </w:rPr>
        <w:t xml:space="preserve">Deviation 2 — H1 operational definition</w:t>
      </w:r>
    </w:p>
    <w:p>
      <w:pPr>
        <w:spacing w:after="60" w:before="60"/>
      </w:pPr>
      <w:r>
        <w:rPr>
          <w:rFonts w:ascii="Arial" w:cs="Arial" w:eastAsia="Arial" w:hAnsi="Arial"/>
          <w:b/>
          <w:bCs/>
          <w:sz w:val="22"/>
          <w:szCs w:val="22"/>
        </w:rPr>
        <w:t xml:space="preserve">Specified: </w:t>
      </w:r>
      <w:r>
        <w:rPr>
          <w:rFonts w:ascii="Arial" w:cs="Arial" w:eastAsia="Arial" w:hAnsi="Arial"/>
          <w:sz w:val="22"/>
          <w:szCs w:val="22"/>
        </w:rPr>
        <w:t xml:space="preserve">exploitation_loop_detection(target_selections) using Shannon entropy of spatial target IDs</w:t>
      </w:r>
    </w:p>
    <w:p>
      <w:pPr>
        <w:spacing w:after="60" w:before="60"/>
      </w:pPr>
      <w:r>
        <w:rPr>
          <w:rFonts w:ascii="Arial" w:cs="Arial" w:eastAsia="Arial" w:hAnsi="Arial"/>
          <w:b/>
          <w:bCs/>
          <w:sz w:val="22"/>
          <w:szCs w:val="22"/>
        </w:rPr>
        <w:t xml:space="preserve">What happened: </w:t>
      </w:r>
      <w:r>
        <w:rPr>
          <w:rFonts w:ascii="Arial" w:cs="Arial" w:eastAsia="Arial" w:hAnsi="Arial"/>
          <w:sz w:val="22"/>
          <w:szCs w:val="22"/>
        </w:rPr>
        <w:t xml:space="preserve">Implementation passed signal types (3 values) to entropy function designed for spatial target IDs (up to 400 values). The 3-way entropy ceiling made the 0.3 threshold unreachable. Revised to interrogative_collapse_rate proxy (fraction of epochs where query_rate &lt; 0.05).</w:t>
      </w:r>
    </w:p>
    <w:p>
      <w:pPr>
        <w:spacing w:after="60" w:before="60"/>
      </w:pPr>
      <w:r>
        <w:rPr>
          <w:rFonts w:ascii="Arial" w:cs="Arial" w:eastAsia="Arial" w:hAnsi="Arial"/>
          <w:b/>
          <w:bCs/>
          <w:sz w:val="22"/>
          <w:szCs w:val="22"/>
        </w:rPr>
        <w:t xml:space="preserve">Impact: </w:t>
      </w:r>
      <w:r>
        <w:rPr>
          <w:rFonts w:ascii="Arial" w:cs="Arial" w:eastAsia="Arial" w:hAnsi="Arial"/>
          <w:sz w:val="22"/>
          <w:szCs w:val="22"/>
        </w:rPr>
        <w:t xml:space="preserve">H1 as preregistered cannot be evaluated. Proxy substituted. Both definitions documented.</w:t>
      </w:r>
    </w:p>
    <w:p>
      <w:pPr>
        <w:spacing w:after="80" w:before="280"/>
      </w:pPr>
      <w:r>
        <w:rPr>
          <w:rFonts w:ascii="Arial" w:cs="Arial" w:eastAsia="Arial" w:hAnsi="Arial"/>
          <w:b/>
          <w:bCs/>
          <w:color w:val="2E75B6"/>
          <w:sz w:val="26"/>
          <w:szCs w:val="26"/>
        </w:rPr>
        <w:t xml:space="preserve">Deviation 3 — query_rate key bug</w:t>
      </w:r>
    </w:p>
    <w:p>
      <w:pPr>
        <w:spacing w:after="60" w:before="60"/>
      </w:pPr>
      <w:r>
        <w:rPr>
          <w:rFonts w:ascii="Arial" w:cs="Arial" w:eastAsia="Arial" w:hAnsi="Arial"/>
          <w:b/>
          <w:bCs/>
          <w:sz w:val="22"/>
          <w:szCs w:val="22"/>
        </w:rPr>
        <w:t xml:space="preserve">Specified: </w:t>
      </w:r>
      <w:r>
        <w:rPr>
          <w:rFonts w:ascii="Arial" w:cs="Arial" w:eastAsia="Arial" w:hAnsi="Arial"/>
          <w:sz w:val="22"/>
          <w:szCs w:val="22"/>
        </w:rPr>
        <w:t xml:space="preserve">query_rate extracted from epoch series for collapse detection</w:t>
      </w:r>
    </w:p>
    <w:p>
      <w:pPr>
        <w:spacing w:after="60" w:before="60"/>
      </w:pPr>
      <w:r>
        <w:rPr>
          <w:rFonts w:ascii="Arial" w:cs="Arial" w:eastAsia="Arial" w:hAnsi="Arial"/>
          <w:b/>
          <w:bCs/>
          <w:sz w:val="22"/>
          <w:szCs w:val="22"/>
        </w:rPr>
        <w:t xml:space="preserve">What happened: </w:t>
      </w:r>
      <w:r>
        <w:rPr>
          <w:rFonts w:ascii="Arial" w:cs="Arial" w:eastAsia="Arial" w:hAnsi="Arial"/>
          <w:sz w:val="22"/>
          <w:szCs w:val="22"/>
        </w:rPr>
        <w:t xml:space="preserve">Engine used key 'query_emergence_rate' which does not exist. Correct key is 'type_distribution.QUERY' (internal) serialized as 'query_rate' in epoch_series.json. This caused query_rate = None in epoch records, filling collapse-detection arrays with 0.0, artificially triggering [COLLAPSE] flags in seeds 0 and 1.</w:t>
      </w:r>
    </w:p>
    <w:p>
      <w:pPr>
        <w:spacing w:after="60" w:before="60"/>
      </w:pPr>
      <w:r>
        <w:rPr>
          <w:rFonts w:ascii="Arial" w:cs="Arial" w:eastAsia="Arial" w:hAnsi="Arial"/>
          <w:b/>
          <w:bCs/>
          <w:sz w:val="22"/>
          <w:szCs w:val="22"/>
        </w:rPr>
        <w:t xml:space="preserve">Pre-fix git commit: </w:t>
      </w:r>
      <w:r>
        <w:rPr>
          <w:rFonts w:ascii="Arial" w:cs="Arial" w:eastAsia="Arial" w:hAnsi="Arial"/>
          <w:sz w:val="22"/>
          <w:szCs w:val="22"/>
        </w:rPr>
        <w:t xml:space="preserve">9df2368 (Mar 9, 15:01) — contains 'query_emergence_rate' bug</w:t>
      </w:r>
    </w:p>
    <w:p>
      <w:pPr>
        <w:spacing w:after="60" w:before="60"/>
      </w:pPr>
      <w:r>
        <w:rPr>
          <w:rFonts w:ascii="Arial" w:cs="Arial" w:eastAsia="Arial" w:hAnsi="Arial"/>
          <w:b/>
          <w:bCs/>
          <w:sz w:val="22"/>
          <w:szCs w:val="22"/>
        </w:rPr>
        <w:t xml:space="preserve">Post-fix git commit: </w:t>
      </w:r>
      <w:r>
        <w:rPr>
          <w:rFonts w:ascii="Arial" w:cs="Arial" w:eastAsia="Arial" w:hAnsi="Arial"/>
          <w:sz w:val="22"/>
          <w:szCs w:val="22"/>
        </w:rPr>
        <w:t xml:space="preserve">6dc083e (Mar 9, 21:26) — corrected to 'type_distribution.QUERY'</w:t>
      </w:r>
    </w:p>
    <w:p>
      <w:pPr>
        <w:spacing w:after="60" w:before="60"/>
      </w:pPr>
      <w:r>
        <w:rPr>
          <w:rFonts w:ascii="Arial" w:cs="Arial" w:eastAsia="Arial" w:hAnsi="Arial"/>
          <w:b/>
          <w:bCs/>
          <w:sz w:val="22"/>
          <w:szCs w:val="22"/>
        </w:rPr>
        <w:t xml:space="preserve">Note on pre-fix state: </w:t>
      </w:r>
      <w:r>
        <w:rPr>
          <w:rFonts w:ascii="Arial" w:cs="Arial" w:eastAsia="Arial" w:hAnsi="Arial"/>
          <w:sz w:val="22"/>
          <w:szCs w:val="22"/>
        </w:rPr>
        <w:t xml:space="preserve">No discrete commit captured the pre-fix working tree. The fix was applied before the next commit. Pre-fix code is not separately addressable in git history beyond 9df2368.</w:t>
      </w:r>
    </w:p>
    <w:p>
      <w:pPr>
        <w:spacing w:after="60" w:before="60"/>
      </w:pPr>
      <w:r>
        <w:rPr>
          <w:rFonts w:ascii="Arial" w:cs="Arial" w:eastAsia="Arial" w:hAnsi="Arial"/>
          <w:b/>
          <w:bCs/>
          <w:sz w:val="22"/>
          <w:szCs w:val="22"/>
        </w:rPr>
        <w:t xml:space="preserve">Seeds 0 and 1 rerun: </w:t>
      </w:r>
      <w:r>
        <w:rPr>
          <w:rFonts w:ascii="Arial" w:cs="Arial" w:eastAsia="Arial" w:hAnsi="Arial"/>
          <w:sz w:val="22"/>
          <w:szCs w:val="22"/>
        </w:rPr>
        <w:t xml:space="preserve">Originally rerun after fix but file timestamps (19:00 and 20:39, Mar 9) predated the fix commit (21:26, Mar 9), creating a provenance ambiguity. Seeds 0 and 1 were therefore rerun a second time on Mar 11, 2026, under the committed fixed code. All four files (seed_0 and seed_1, both conditions) now carry timestamps from Mar 11, confirming valid provenance. All data in this report is from the Mar 11 reruns.</w:t>
      </w:r>
    </w:p>
    <w:p>
      <w:pPr>
        <w:spacing w:after="80" w:before="280"/>
      </w:pPr>
      <w:r>
        <w:rPr>
          <w:rFonts w:ascii="Arial" w:cs="Arial" w:eastAsia="Arial" w:hAnsi="Arial"/>
          <w:b/>
          <w:bCs/>
          <w:color w:val="2E75B6"/>
          <w:sz w:val="26"/>
          <w:szCs w:val="26"/>
        </w:rPr>
        <w:t xml:space="preserve">Deviation 4 — elr = 0.0 across all seeds</w:t>
      </w:r>
    </w:p>
    <w:p>
      <w:pPr>
        <w:spacing w:after="60" w:before="60"/>
      </w:pPr>
      <w:r>
        <w:rPr>
          <w:rFonts w:ascii="Arial" w:cs="Arial" w:eastAsia="Arial" w:hAnsi="Arial"/>
          <w:b/>
          <w:bCs/>
          <w:sz w:val="22"/>
          <w:szCs w:val="22"/>
        </w:rPr>
        <w:t xml:space="preserve">Observed: </w:t>
      </w:r>
      <w:r>
        <w:rPr>
          <w:rFonts w:ascii="Arial" w:cs="Arial" w:eastAsia="Arial" w:hAnsi="Arial"/>
          <w:sz w:val="22"/>
          <w:szCs w:val="22"/>
        </w:rPr>
        <w:t xml:space="preserve">exploitation_loop_rate = 0.0 in all 20 runs (both conditions)</w:t>
      </w:r>
    </w:p>
    <w:p>
      <w:pPr>
        <w:spacing w:after="60" w:before="60"/>
      </w:pPr>
      <w:r>
        <w:rPr>
          <w:rFonts w:ascii="Arial" w:cs="Arial" w:eastAsia="Arial" w:hAnsi="Arial"/>
          <w:b/>
          <w:bCs/>
          <w:sz w:val="22"/>
          <w:szCs w:val="22"/>
        </w:rPr>
        <w:t xml:space="preserve">Root cause (from diagnostic): </w:t>
      </w:r>
      <w:r>
        <w:rPr>
          <w:rFonts w:ascii="Arial" w:cs="Arial" w:eastAsia="Arial" w:hAnsi="Arial"/>
          <w:sz w:val="22"/>
          <w:szCs w:val="22"/>
        </w:rPr>
        <w:t xml:space="preserve">The environment does not contain a depletable resource pool. The single target position does not change state when exploited. The exploitation loop metric measures frequency of sub-threshold query rates, which never triggers because agents maintain QUERY signals above the 0.05 threshold throughout training. This is not a bug in the detection function — it is a fundamental mismatch between the theoretical model (resource depletion creating scarcity pressure) and the implemented harness (single fixed target, no resource pool).</w:t>
      </w:r>
    </w:p>
    <w:p>
      <w:pPr>
        <w:spacing w:after="60" w:before="60"/>
      </w:pPr>
      <w:r>
        <w:rPr>
          <w:rFonts w:ascii="Arial" w:cs="Arial" w:eastAsia="Arial" w:hAnsi="Arial"/>
          <w:b/>
          <w:bCs/>
          <w:sz w:val="22"/>
          <w:szCs w:val="22"/>
        </w:rPr>
        <w:t xml:space="preserve">Impact: </w:t>
      </w:r>
      <w:r>
        <w:rPr>
          <w:rFonts w:ascii="Arial" w:cs="Arial" w:eastAsia="Arial" w:hAnsi="Arial"/>
          <w:sz w:val="22"/>
          <w:szCs w:val="22"/>
        </w:rPr>
        <w:t xml:space="preserve">H1 cannot be evaluated as preregistered. This is the most significant operationalization gap in the study.</w:t>
      </w:r>
    </w:p>
    <w:p>
      <w:pPr>
        <w:spacing w:after="80" w:before="280"/>
      </w:pPr>
      <w:r>
        <w:rPr>
          <w:rFonts w:ascii="Arial" w:cs="Arial" w:eastAsia="Arial" w:hAnsi="Arial"/>
          <w:b/>
          <w:bCs/>
          <w:color w:val="2E75B6"/>
          <w:sz w:val="26"/>
          <w:szCs w:val="26"/>
        </w:rPr>
        <w:t xml:space="preserve">Minor code maintenance (not a deviation)</w:t>
      </w:r>
    </w:p>
    <w:p>
      <w:pPr>
        <w:spacing w:after="60" w:before="60"/>
      </w:pPr>
      <w:r>
        <w:rPr>
          <w:rFonts w:ascii="Arial" w:cs="Arial" w:eastAsia="Arial" w:hAnsi="Arial"/>
          <w:sz w:val="22"/>
          <w:szCs w:val="22"/>
        </w:rPr>
        <w:t xml:space="preserve">A malformed f-string in the summary output section of analyze_confirmatory.py (line 149, stdev calculation) caused a crash on Python 3.12+. Fixed in commit fb69241 (Mar 11, 2026). No data, metrics, or analysis logic changed. Documented here for completeness.</w:t>
      </w:r>
    </w:p>
    <w:p>
      <w:pPr>
        <w:pBdr>
          <w:bottom w:val="single" w:color="2E75B6" w:sz="6"/>
        </w:pBdr>
        <w:spacing w:after="120" w:before="400"/>
      </w:pPr>
      <w:r>
        <w:rPr>
          <w:rFonts w:ascii="Arial" w:cs="Arial" w:eastAsia="Arial" w:hAnsi="Arial"/>
          <w:b/>
          <w:bCs/>
          <w:color w:val="1F4E79"/>
          <w:sz w:val="32"/>
          <w:szCs w:val="32"/>
        </w:rPr>
        <w:t xml:space="preserve">5. Per-Seed Raw Metrics</w:t>
      </w:r>
    </w:p>
    <w:p>
      <w:pPr>
        <w:spacing w:after="60" w:before="60"/>
      </w:pPr>
      <w:r>
        <w:rPr>
          <w:rFonts w:ascii="Arial" w:cs="Arial" w:eastAsia="Arial" w:hAnsi="Arial"/>
          <w:sz w:val="22"/>
          <w:szCs w:val="22"/>
        </w:rPr>
        <w:t xml:space="preserve">All values confirmed from completed runs. Seeds 0 and 1 values are from the Mar 11 reruns (timestamps verified). H entropy, QRC, and query_rate are final-epoch snapshots (epoch 499). SSS is computed over the final 20 epochs per preregistration.</w:t>
      </w:r>
    </w:p>
    <w:p>
      <w:pPr>
        <w:spacing w:after="20" w:before="20"/>
      </w:pPr>
      <w:r>
        <w:rPr>
          <w:rFonts w:ascii="Arial" w:cs="Arial" w:eastAsia="Arial" w:hAnsi="Arial"/>
          <w:sz w:val="22"/>
          <w:szCs w:val="22"/>
        </w:rPr>
        <w:t xml:space="preserve"/>
      </w:r>
    </w:p>
    <w:p>
      <w:pPr>
        <w:spacing w:after="60" w:before="60"/>
      </w:pPr>
      <w:r>
        <w:rPr>
          <w:rFonts w:ascii="Arial" w:cs="Arial" w:eastAsia="Arial" w:hAnsi="Arial"/>
          <w:b/>
          <w:bCs/>
          <w:sz w:val="22"/>
          <w:szCs w:val="22"/>
        </w:rPr>
        <w:t xml:space="preserve">Confirmed epoch_series.json keys: </w:t>
      </w:r>
      <w:r>
        <w:rPr>
          <w:rFonts w:ascii="Arial" w:cs="Arial" w:eastAsia="Arial" w:hAnsi="Arial"/>
          <w:sz w:val="22"/>
          <w:szCs w:val="22"/>
        </w:rPr>
        <w:t xml:space="preserve">type_entropy (H entropy) | qrc (QRC) | query_rate (query rate) | All extracted from final epoch record.</w:t>
      </w:r>
    </w:p>
    <w:p>
      <w:pPr>
        <w:spacing w:after="20" w:before="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400"/>
        <w:gridCol w:w="1300"/>
        <w:gridCol w:w="1100"/>
        <w:gridCol w:w="1300"/>
        <w:gridCol w:w="1100"/>
        <w:gridCol w:w="700"/>
        <w:gridCol w:w="1960"/>
      </w:tblGrid>
      <w:tr>
        <w:tc>
          <w:tcPr>
            <w:tcW w:type="dxa" w:w="500"/>
            <w:tcBorders>
              <w:top w:val="single" w:color="2E75B6" w:sz="1"/>
              <w:left w:val="single" w:color="2E75B6" w:sz="1"/>
              <w:bottom w:val="single" w:color="2E75B6" w:sz="1"/>
              <w:right w:val="single" w:color="2E75B6" w:sz="1"/>
            </w:tcBorders>
            <w:shd w:fill="2E75B6" w:val="clear"/>
            <w:tcMar>
              <w:top w:type="dxa" w:w="60"/>
              <w:left w:type="dxa" w:w="120"/>
              <w:bottom w:type="dxa" w:w="60"/>
              <w:right w:type="dxa" w:w="120"/>
            </w:tcMar>
            <w:vAlign w:val="top"/>
          </w:tcPr>
          <w:p>
            <w:pPr>
              <w:spacing w:after="20" w:before="20"/>
              <w:jc w:val="left"/>
            </w:pPr>
            <w:r>
              <w:rPr>
                <w:rFonts w:ascii="Arial" w:cs="Arial" w:eastAsia="Arial" w:hAnsi="Arial"/>
                <w:b/>
                <w:bCs/>
                <w:i w:val="false"/>
                <w:iCs w:val="false"/>
                <w:color w:val="FFFFFF"/>
                <w:sz w:val="20"/>
                <w:szCs w:val="20"/>
              </w:rPr>
              <w:t xml:space="preserve">Seed</w:t>
            </w:r>
          </w:p>
        </w:tc>
        <w:tc>
          <w:tcPr>
            <w:tcW w:type="dxa" w:w="1400"/>
            <w:tcBorders>
              <w:top w:val="single" w:color="2E75B6" w:sz="1"/>
              <w:left w:val="single" w:color="2E75B6" w:sz="1"/>
              <w:bottom w:val="single" w:color="2E75B6" w:sz="1"/>
              <w:right w:val="single" w:color="2E75B6" w:sz="1"/>
            </w:tcBorders>
            <w:shd w:fill="2E75B6" w:val="clear"/>
            <w:tcMar>
              <w:top w:type="dxa" w:w="60"/>
              <w:left w:type="dxa" w:w="120"/>
              <w:bottom w:type="dxa" w:w="60"/>
              <w:right w:type="dxa" w:w="120"/>
            </w:tcMar>
            <w:vAlign w:val="top"/>
          </w:tcPr>
          <w:p>
            <w:pPr>
              <w:spacing w:after="20" w:before="20"/>
              <w:jc w:val="left"/>
            </w:pPr>
            <w:r>
              <w:rPr>
                <w:rFonts w:ascii="Arial" w:cs="Arial" w:eastAsia="Arial" w:hAnsi="Arial"/>
                <w:b/>
                <w:bCs/>
                <w:i w:val="false"/>
                <w:iCs w:val="false"/>
                <w:color w:val="FFFFFF"/>
                <w:sz w:val="20"/>
                <w:szCs w:val="20"/>
              </w:rPr>
              <w:t xml:space="preserve">Condition</w:t>
            </w:r>
          </w:p>
        </w:tc>
        <w:tc>
          <w:tcPr>
            <w:tcW w:type="dxa" w:w="1300"/>
            <w:tcBorders>
              <w:top w:val="single" w:color="2E75B6" w:sz="1"/>
              <w:left w:val="single" w:color="2E75B6" w:sz="1"/>
              <w:bottom w:val="single" w:color="2E75B6" w:sz="1"/>
              <w:right w:val="single" w:color="2E75B6" w:sz="1"/>
            </w:tcBorders>
            <w:shd w:fill="2E75B6" w:val="clear"/>
            <w:tcMar>
              <w:top w:type="dxa" w:w="60"/>
              <w:left w:type="dxa" w:w="120"/>
              <w:bottom w:type="dxa" w:w="60"/>
              <w:right w:type="dxa" w:w="120"/>
            </w:tcMar>
            <w:vAlign w:val="top"/>
          </w:tcPr>
          <w:p>
            <w:pPr>
              <w:spacing w:after="20" w:before="20"/>
              <w:jc w:val="left"/>
            </w:pPr>
            <w:r>
              <w:rPr>
                <w:rFonts w:ascii="Arial" w:cs="Arial" w:eastAsia="Arial" w:hAnsi="Arial"/>
                <w:b/>
                <w:bCs/>
                <w:i w:val="false"/>
                <w:iCs w:val="false"/>
                <w:color w:val="FFFFFF"/>
                <w:sz w:val="20"/>
                <w:szCs w:val="20"/>
              </w:rPr>
              <w:t xml:space="preserve">H entropy</w:t>
            </w:r>
          </w:p>
        </w:tc>
        <w:tc>
          <w:tcPr>
            <w:tcW w:type="dxa" w:w="1100"/>
            <w:tcBorders>
              <w:top w:val="single" w:color="2E75B6" w:sz="1"/>
              <w:left w:val="single" w:color="2E75B6" w:sz="1"/>
              <w:bottom w:val="single" w:color="2E75B6" w:sz="1"/>
              <w:right w:val="single" w:color="2E75B6" w:sz="1"/>
            </w:tcBorders>
            <w:shd w:fill="2E75B6" w:val="clear"/>
            <w:tcMar>
              <w:top w:type="dxa" w:w="60"/>
              <w:left w:type="dxa" w:w="120"/>
              <w:bottom w:type="dxa" w:w="60"/>
              <w:right w:type="dxa" w:w="120"/>
            </w:tcMar>
            <w:vAlign w:val="top"/>
          </w:tcPr>
          <w:p>
            <w:pPr>
              <w:spacing w:after="20" w:before="20"/>
              <w:jc w:val="left"/>
            </w:pPr>
            <w:r>
              <w:rPr>
                <w:rFonts w:ascii="Arial" w:cs="Arial" w:eastAsia="Arial" w:hAnsi="Arial"/>
                <w:b/>
                <w:bCs/>
                <w:i w:val="false"/>
                <w:iCs w:val="false"/>
                <w:color w:val="FFFFFF"/>
                <w:sz w:val="20"/>
                <w:szCs w:val="20"/>
              </w:rPr>
              <w:t xml:space="preserve">QRC</w:t>
            </w:r>
          </w:p>
        </w:tc>
        <w:tc>
          <w:tcPr>
            <w:tcW w:type="dxa" w:w="1300"/>
            <w:tcBorders>
              <w:top w:val="single" w:color="2E75B6" w:sz="1"/>
              <w:left w:val="single" w:color="2E75B6" w:sz="1"/>
              <w:bottom w:val="single" w:color="2E75B6" w:sz="1"/>
              <w:right w:val="single" w:color="2E75B6" w:sz="1"/>
            </w:tcBorders>
            <w:shd w:fill="2E75B6" w:val="clear"/>
            <w:tcMar>
              <w:top w:type="dxa" w:w="60"/>
              <w:left w:type="dxa" w:w="120"/>
              <w:bottom w:type="dxa" w:w="60"/>
              <w:right w:type="dxa" w:w="120"/>
            </w:tcMar>
            <w:vAlign w:val="top"/>
          </w:tcPr>
          <w:p>
            <w:pPr>
              <w:spacing w:after="20" w:before="20"/>
              <w:jc w:val="left"/>
            </w:pPr>
            <w:r>
              <w:rPr>
                <w:rFonts w:ascii="Arial" w:cs="Arial" w:eastAsia="Arial" w:hAnsi="Arial"/>
                <w:b/>
                <w:bCs/>
                <w:i w:val="false"/>
                <w:iCs w:val="false"/>
                <w:color w:val="FFFFFF"/>
                <w:sz w:val="20"/>
                <w:szCs w:val="20"/>
              </w:rPr>
              <w:t xml:space="preserve">Query rate</w:t>
            </w:r>
          </w:p>
        </w:tc>
        <w:tc>
          <w:tcPr>
            <w:tcW w:type="dxa" w:w="1100"/>
            <w:tcBorders>
              <w:top w:val="single" w:color="2E75B6" w:sz="1"/>
              <w:left w:val="single" w:color="2E75B6" w:sz="1"/>
              <w:bottom w:val="single" w:color="2E75B6" w:sz="1"/>
              <w:right w:val="single" w:color="2E75B6" w:sz="1"/>
            </w:tcBorders>
            <w:shd w:fill="2E75B6" w:val="clear"/>
            <w:tcMar>
              <w:top w:type="dxa" w:w="60"/>
              <w:left w:type="dxa" w:w="120"/>
              <w:bottom w:type="dxa" w:w="60"/>
              <w:right w:type="dxa" w:w="120"/>
            </w:tcMar>
            <w:vAlign w:val="top"/>
          </w:tcPr>
          <w:p>
            <w:pPr>
              <w:spacing w:after="20" w:before="20"/>
              <w:jc w:val="left"/>
            </w:pPr>
            <w:r>
              <w:rPr>
                <w:rFonts w:ascii="Arial" w:cs="Arial" w:eastAsia="Arial" w:hAnsi="Arial"/>
                <w:b/>
                <w:bCs/>
                <w:i w:val="false"/>
                <w:iCs w:val="false"/>
                <w:color w:val="FFFFFF"/>
                <w:sz w:val="20"/>
                <w:szCs w:val="20"/>
              </w:rPr>
              <w:t xml:space="preserve">SSS</w:t>
            </w:r>
          </w:p>
        </w:tc>
        <w:tc>
          <w:tcPr>
            <w:tcW w:type="dxa" w:w="700"/>
            <w:tcBorders>
              <w:top w:val="single" w:color="2E75B6" w:sz="1"/>
              <w:left w:val="single" w:color="2E75B6" w:sz="1"/>
              <w:bottom w:val="single" w:color="2E75B6" w:sz="1"/>
              <w:right w:val="single" w:color="2E75B6" w:sz="1"/>
            </w:tcBorders>
            <w:shd w:fill="2E75B6" w:val="clear"/>
            <w:tcMar>
              <w:top w:type="dxa" w:w="60"/>
              <w:left w:type="dxa" w:w="120"/>
              <w:bottom w:type="dxa" w:w="60"/>
              <w:right w:type="dxa" w:w="120"/>
            </w:tcMar>
            <w:vAlign w:val="top"/>
          </w:tcPr>
          <w:p>
            <w:pPr>
              <w:spacing w:after="20" w:before="20"/>
              <w:jc w:val="left"/>
            </w:pPr>
            <w:r>
              <w:rPr>
                <w:rFonts w:ascii="Arial" w:cs="Arial" w:eastAsia="Arial" w:hAnsi="Arial"/>
                <w:b/>
                <w:bCs/>
                <w:i w:val="false"/>
                <w:iCs w:val="false"/>
                <w:color w:val="FFFFFF"/>
                <w:sz w:val="20"/>
                <w:szCs w:val="20"/>
              </w:rPr>
              <w:t xml:space="preserve">ELR</w:t>
            </w:r>
          </w:p>
        </w:tc>
        <w:tc>
          <w:tcPr>
            <w:tcW w:type="dxa" w:w="1960"/>
            <w:tcBorders>
              <w:top w:val="single" w:color="2E75B6" w:sz="1"/>
              <w:left w:val="single" w:color="2E75B6" w:sz="1"/>
              <w:bottom w:val="single" w:color="2E75B6" w:sz="1"/>
              <w:right w:val="single" w:color="2E75B6" w:sz="1"/>
            </w:tcBorders>
            <w:shd w:fill="2E75B6" w:val="clear"/>
            <w:tcMar>
              <w:top w:type="dxa" w:w="60"/>
              <w:left w:type="dxa" w:w="120"/>
              <w:bottom w:type="dxa" w:w="60"/>
              <w:right w:type="dxa" w:w="120"/>
            </w:tcMar>
            <w:vAlign w:val="top"/>
          </w:tcPr>
          <w:p>
            <w:pPr>
              <w:spacing w:after="20" w:before="20"/>
              <w:jc w:val="left"/>
            </w:pPr>
            <w:r>
              <w:rPr>
                <w:rFonts w:ascii="Arial" w:cs="Arial" w:eastAsia="Arial" w:hAnsi="Arial"/>
                <w:b/>
                <w:bCs/>
                <w:i w:val="false"/>
                <w:iCs w:val="false"/>
                <w:color w:val="FFFFFF"/>
                <w:sz w:val="20"/>
                <w:szCs w:val="20"/>
              </w:rPr>
              <w:t xml:space="preserve">Gaming flag</w:t>
            </w:r>
          </w:p>
        </w:tc>
      </w:tr>
      <w:tr>
        <w:tc>
          <w:tcPr>
            <w:tcW w:type="dxa" w:w="500"/>
            <w:tcBorders>
              <w:top w:val="single" w:color="CCCCCC" w:sz="1"/>
              <w:left w:val="single" w:color="CCCCCC" w:sz="1"/>
              <w:bottom w:val="single" w:color="CCCCCC" w:sz="1"/>
              <w:right w:val="single" w:color="CCCCCC" w:sz="1"/>
            </w:tcBorders>
            <w:shd w:fill="D9E2F3" w:val="clear"/>
            <w:tcMar>
              <w:top w:type="dxa" w:w="60"/>
              <w:left w:type="dxa" w:w="120"/>
              <w:bottom w:type="dxa" w:w="60"/>
              <w:right w:type="dxa" w:w="120"/>
            </w:tcMar>
            <w:vAlign w:val="top"/>
          </w:tcPr>
          <w:p>
            <w:pPr>
              <w:spacing w:after="20" w:before="20"/>
              <w:jc w:val="left"/>
            </w:pPr>
            <w:r>
              <w:rPr>
                <w:rFonts w:ascii="Arial" w:cs="Arial" w:eastAsia="Arial" w:hAnsi="Arial"/>
                <w:b w:val="false"/>
                <w:bCs w:val="false"/>
                <w:i w:val="false"/>
                <w:iCs w:val="false"/>
                <w:sz w:val="20"/>
                <w:szCs w:val="20"/>
              </w:rPr>
              <w:t xml:space="preserve">0</w:t>
            </w:r>
          </w:p>
        </w:tc>
        <w:tc>
          <w:tcPr>
            <w:tcW w:type="dxa" w:w="1400"/>
            <w:tcBorders>
              <w:top w:val="single" w:color="CCCCCC" w:sz="1"/>
              <w:left w:val="single" w:color="CCCCCC" w:sz="1"/>
              <w:bottom w:val="single" w:color="CCCCCC" w:sz="1"/>
              <w:right w:val="single" w:color="CCCCCC" w:sz="1"/>
            </w:tcBorders>
            <w:shd w:fill="D9E2F3" w:val="clear"/>
            <w:tcMar>
              <w:top w:type="dxa" w:w="60"/>
              <w:left w:type="dxa" w:w="120"/>
              <w:bottom w:type="dxa" w:w="60"/>
              <w:right w:type="dxa" w:w="120"/>
            </w:tcMar>
            <w:vAlign w:val="top"/>
          </w:tcPr>
          <w:p>
            <w:pPr>
              <w:spacing w:after="20" w:before="20"/>
              <w:jc w:val="left"/>
            </w:pPr>
            <w:r>
              <w:rPr>
                <w:rFonts w:ascii="Arial" w:cs="Arial" w:eastAsia="Arial" w:hAnsi="Arial"/>
                <w:b/>
                <w:bCs/>
                <w:i w:val="false"/>
                <w:iCs w:val="false"/>
                <w:sz w:val="20"/>
                <w:szCs w:val="20"/>
              </w:rPr>
              <w:t xml:space="preserve">Constrained</w:t>
            </w:r>
          </w:p>
        </w:tc>
        <w:tc>
          <w:tcPr>
            <w:tcW w:type="dxa" w:w="1300"/>
            <w:tcBorders>
              <w:top w:val="single" w:color="CCCCCC" w:sz="1"/>
              <w:left w:val="single" w:color="CCCCCC" w:sz="1"/>
              <w:bottom w:val="single" w:color="CCCCCC" w:sz="1"/>
              <w:right w:val="single" w:color="CCCCCC" w:sz="1"/>
            </w:tcBorders>
            <w:shd w:fill="D9E2F3" w:val="clear"/>
            <w:tcMar>
              <w:top w:type="dxa" w:w="60"/>
              <w:left w:type="dxa" w:w="120"/>
              <w:bottom w:type="dxa" w:w="60"/>
              <w:right w:type="dxa" w:w="120"/>
            </w:tcMar>
            <w:vAlign w:val="top"/>
          </w:tcPr>
          <w:p>
            <w:pPr>
              <w:spacing w:after="20" w:before="20"/>
              <w:jc w:val="left"/>
            </w:pPr>
            <w:r>
              <w:rPr>
                <w:rFonts w:ascii="Arial" w:cs="Arial" w:eastAsia="Arial" w:hAnsi="Arial"/>
                <w:b w:val="false"/>
                <w:bCs w:val="false"/>
                <w:i w:val="false"/>
                <w:iCs w:val="false"/>
                <w:sz w:val="20"/>
                <w:szCs w:val="20"/>
              </w:rPr>
              <w:t xml:space="preserve">0.618</w:t>
            </w:r>
          </w:p>
        </w:tc>
        <w:tc>
          <w:tcPr>
            <w:tcW w:type="dxa" w:w="1100"/>
            <w:tcBorders>
              <w:top w:val="single" w:color="CCCCCC" w:sz="1"/>
              <w:left w:val="single" w:color="CCCCCC" w:sz="1"/>
              <w:bottom w:val="single" w:color="CCCCCC" w:sz="1"/>
              <w:right w:val="single" w:color="CCCCCC" w:sz="1"/>
            </w:tcBorders>
            <w:shd w:fill="D9E2F3" w:val="clear"/>
            <w:tcMar>
              <w:top w:type="dxa" w:w="60"/>
              <w:left w:type="dxa" w:w="120"/>
              <w:bottom w:type="dxa" w:w="60"/>
              <w:right w:type="dxa" w:w="120"/>
            </w:tcMar>
            <w:vAlign w:val="top"/>
          </w:tcPr>
          <w:p>
            <w:pPr>
              <w:spacing w:after="20" w:before="20"/>
              <w:jc w:val="left"/>
            </w:pPr>
            <w:r>
              <w:rPr>
                <w:rFonts w:ascii="Arial" w:cs="Arial" w:eastAsia="Arial" w:hAnsi="Arial"/>
                <w:b w:val="false"/>
                <w:bCs w:val="false"/>
                <w:i w:val="false"/>
                <w:iCs w:val="false"/>
                <w:sz w:val="20"/>
                <w:szCs w:val="20"/>
              </w:rPr>
              <w:t xml:space="preserve">0.302</w:t>
            </w:r>
          </w:p>
        </w:tc>
        <w:tc>
          <w:tcPr>
            <w:tcW w:type="dxa" w:w="1300"/>
            <w:tcBorders>
              <w:top w:val="single" w:color="CCCCCC" w:sz="1"/>
              <w:left w:val="single" w:color="CCCCCC" w:sz="1"/>
              <w:bottom w:val="single" w:color="CCCCCC" w:sz="1"/>
              <w:right w:val="single" w:color="CCCCCC" w:sz="1"/>
            </w:tcBorders>
            <w:shd w:fill="D9E2F3" w:val="clear"/>
            <w:tcMar>
              <w:top w:type="dxa" w:w="60"/>
              <w:left w:type="dxa" w:w="120"/>
              <w:bottom w:type="dxa" w:w="60"/>
              <w:right w:type="dxa" w:w="120"/>
            </w:tcMar>
            <w:vAlign w:val="top"/>
          </w:tcPr>
          <w:p>
            <w:pPr>
              <w:spacing w:after="20" w:before="20"/>
              <w:jc w:val="left"/>
            </w:pPr>
            <w:r>
              <w:rPr>
                <w:rFonts w:ascii="Arial" w:cs="Arial" w:eastAsia="Arial" w:hAnsi="Arial"/>
                <w:b w:val="false"/>
                <w:bCs w:val="false"/>
                <w:i w:val="false"/>
                <w:iCs w:val="false"/>
                <w:sz w:val="20"/>
                <w:szCs w:val="20"/>
              </w:rPr>
              <w:t xml:space="preserve">0.809</w:t>
            </w:r>
          </w:p>
        </w:tc>
        <w:tc>
          <w:tcPr>
            <w:tcW w:type="dxa" w:w="1100"/>
            <w:tcBorders>
              <w:top w:val="single" w:color="CCCCCC" w:sz="1"/>
              <w:left w:val="single" w:color="CCCCCC" w:sz="1"/>
              <w:bottom w:val="single" w:color="CCCCCC" w:sz="1"/>
              <w:right w:val="single" w:color="CCCCCC" w:sz="1"/>
            </w:tcBorders>
            <w:shd w:fill="D9E2F3" w:val="clear"/>
            <w:tcMar>
              <w:top w:type="dxa" w:w="60"/>
              <w:left w:type="dxa" w:w="120"/>
              <w:bottom w:type="dxa" w:w="60"/>
              <w:right w:type="dxa" w:w="120"/>
            </w:tcMar>
            <w:vAlign w:val="top"/>
          </w:tcPr>
          <w:p>
            <w:pPr>
              <w:spacing w:after="20" w:before="20"/>
              <w:jc w:val="left"/>
            </w:pPr>
            <w:r>
              <w:rPr>
                <w:rFonts w:ascii="Arial" w:cs="Arial" w:eastAsia="Arial" w:hAnsi="Arial"/>
                <w:b w:val="false"/>
                <w:bCs w:val="false"/>
                <w:i w:val="false"/>
                <w:iCs w:val="false"/>
                <w:sz w:val="20"/>
                <w:szCs w:val="20"/>
              </w:rPr>
              <w:t xml:space="preserve">0.277</w:t>
            </w:r>
          </w:p>
        </w:tc>
        <w:tc>
          <w:tcPr>
            <w:tcW w:type="dxa" w:w="700"/>
            <w:tcBorders>
              <w:top w:val="single" w:color="CCCCCC" w:sz="1"/>
              <w:left w:val="single" w:color="CCCCCC" w:sz="1"/>
              <w:bottom w:val="single" w:color="CCCCCC" w:sz="1"/>
              <w:right w:val="single" w:color="CCCCCC" w:sz="1"/>
            </w:tcBorders>
            <w:shd w:fill="D9E2F3" w:val="clear"/>
            <w:tcMar>
              <w:top w:type="dxa" w:w="60"/>
              <w:left w:type="dxa" w:w="120"/>
              <w:bottom w:type="dxa" w:w="60"/>
              <w:right w:type="dxa" w:w="120"/>
            </w:tcMar>
            <w:vAlign w:val="top"/>
          </w:tcPr>
          <w:p>
            <w:pPr>
              <w:spacing w:after="20" w:before="20"/>
              <w:jc w:val="left"/>
            </w:pPr>
            <w:r>
              <w:rPr>
                <w:rFonts w:ascii="Arial" w:cs="Arial" w:eastAsia="Arial" w:hAnsi="Arial"/>
                <w:b w:val="false"/>
                <w:bCs w:val="false"/>
                <w:i w:val="false"/>
                <w:iCs w:val="false"/>
                <w:sz w:val="20"/>
                <w:szCs w:val="20"/>
              </w:rPr>
              <w:t xml:space="preserve">0.0</w:t>
            </w:r>
          </w:p>
        </w:tc>
        <w:tc>
          <w:tcPr>
            <w:tcW w:type="dxa" w:w="1960"/>
            <w:tcBorders>
              <w:top w:val="single" w:color="CCCCCC" w:sz="1"/>
              <w:left w:val="single" w:color="CCCCCC" w:sz="1"/>
              <w:bottom w:val="single" w:color="CCCCCC" w:sz="1"/>
              <w:right w:val="single" w:color="CCCCCC" w:sz="1"/>
            </w:tcBorders>
            <w:shd w:fill="FCE4D6" w:val="clear"/>
            <w:tcMar>
              <w:top w:type="dxa" w:w="60"/>
              <w:left w:type="dxa" w:w="120"/>
              <w:bottom w:type="dxa" w:w="60"/>
              <w:right w:type="dxa" w:w="120"/>
            </w:tcMar>
            <w:vAlign w:val="top"/>
          </w:tcPr>
          <w:p>
            <w:pPr>
              <w:spacing w:after="20" w:before="20"/>
              <w:jc w:val="left"/>
            </w:pPr>
            <w:r>
              <w:rPr>
                <w:rFonts w:ascii="Arial" w:cs="Arial" w:eastAsia="Arial" w:hAnsi="Arial"/>
                <w:b/>
                <w:bCs/>
                <w:i w:val="false"/>
                <w:iCs w:val="false"/>
                <w:sz w:val="20"/>
                <w:szCs w:val="20"/>
              </w:rPr>
              <w:t xml:space="preserve">[GAMING]</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20" w:before="20"/>
              <w:jc w:val="left"/>
            </w:pPr>
            <w:r>
              <w:rPr>
                <w:rFonts w:ascii="Arial" w:cs="Arial" w:eastAsia="Arial" w:hAnsi="Arial"/>
                <w:b w:val="false"/>
                <w:bCs w:val="false"/>
                <w:i w:val="false"/>
                <w:iCs w:val="false"/>
                <w:sz w:val="20"/>
                <w:szCs w:val="20"/>
              </w:rPr>
              <w:t xml:space="preserve">0</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20" w:before="20"/>
              <w:jc w:val="left"/>
            </w:pPr>
            <w:r>
              <w:rPr>
                <w:rFonts w:ascii="Arial" w:cs="Arial" w:eastAsia="Arial" w:hAnsi="Arial"/>
                <w:b w:val="false"/>
                <w:bCs w:val="false"/>
                <w:i w:val="false"/>
                <w:iCs w:val="false"/>
                <w:sz w:val="20"/>
                <w:szCs w:val="20"/>
              </w:rPr>
              <w:t xml:space="preserve">Unconstrained</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20" w:before="20"/>
              <w:jc w:val="left"/>
            </w:pPr>
            <w:r>
              <w:rPr>
                <w:rFonts w:ascii="Arial" w:cs="Arial" w:eastAsia="Arial" w:hAnsi="Arial"/>
                <w:b w:val="false"/>
                <w:bCs w:val="false"/>
                <w:i w:val="false"/>
                <w:iCs w:val="false"/>
                <w:sz w:val="20"/>
                <w:szCs w:val="20"/>
              </w:rPr>
              <w:t xml:space="preserve">1.082</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20" w:before="20"/>
              <w:jc w:val="left"/>
            </w:pPr>
            <w:r>
              <w:rPr>
                <w:rFonts w:ascii="Arial" w:cs="Arial" w:eastAsia="Arial" w:hAnsi="Arial"/>
                <w:b w:val="false"/>
                <w:bCs w:val="false"/>
                <w:i w:val="false"/>
                <w:iCs w:val="false"/>
                <w:sz w:val="20"/>
                <w:szCs w:val="20"/>
              </w:rPr>
              <w:t xml:space="preserve">0.783</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20" w:before="20"/>
              <w:jc w:val="left"/>
            </w:pPr>
            <w:r>
              <w:rPr>
                <w:rFonts w:ascii="Arial" w:cs="Arial" w:eastAsia="Arial" w:hAnsi="Arial"/>
                <w:b w:val="false"/>
                <w:bCs w:val="false"/>
                <w:i w:val="false"/>
                <w:iCs w:val="false"/>
                <w:sz w:val="20"/>
                <w:szCs w:val="20"/>
              </w:rPr>
              <w:t xml:space="preserve">0.249</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20" w:before="20"/>
              <w:jc w:val="left"/>
            </w:pPr>
            <w:r>
              <w:rPr>
                <w:rFonts w:ascii="Arial" w:cs="Arial" w:eastAsia="Arial" w:hAnsi="Arial"/>
                <w:b w:val="false"/>
                <w:bCs w:val="false"/>
                <w:i w:val="false"/>
                <w:iCs w:val="false"/>
                <w:sz w:val="20"/>
                <w:szCs w:val="20"/>
              </w:rPr>
              <w:t xml:space="preserve">0.823</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20" w:before="20"/>
              <w:jc w:val="left"/>
            </w:pPr>
            <w:r>
              <w:rPr>
                <w:rFonts w:ascii="Arial" w:cs="Arial" w:eastAsia="Arial" w:hAnsi="Arial"/>
                <w:b w:val="false"/>
                <w:bCs w:val="false"/>
                <w:i w:val="false"/>
                <w:iCs w:val="false"/>
                <w:sz w:val="20"/>
                <w:szCs w:val="20"/>
              </w:rPr>
              <w:t xml:space="preserve">0.0</w:t>
            </w:r>
          </w:p>
        </w:tc>
        <w:tc>
          <w:tcPr>
            <w:tcW w:type="dxa" w:w="1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20" w:before="20"/>
              <w:jc w:val="left"/>
            </w:pPr>
            <w:r>
              <w:rPr>
                <w:rFonts w:ascii="Arial" w:cs="Arial" w:eastAsia="Arial" w:hAnsi="Arial"/>
                <w:b w:val="false"/>
                <w:bCs w:val="false"/>
                <w:i w:val="false"/>
                <w:iCs w:val="false"/>
                <w:sz w:val="20"/>
                <w:szCs w:val="20"/>
              </w:rPr>
              <w:t xml:space="preserve">—</w:t>
            </w:r>
          </w:p>
        </w:tc>
      </w:tr>
      <w:tr>
        <w:tc>
          <w:tcPr>
            <w:tcW w:type="dxa" w:w="500"/>
            <w:tcBorders>
              <w:top w:val="single" w:color="CCCCCC" w:sz="1"/>
              <w:left w:val="single" w:color="CCCCCC" w:sz="1"/>
              <w:bottom w:val="single" w:color="CCCCCC" w:sz="1"/>
              <w:right w:val="single" w:color="CCCCCC" w:sz="1"/>
            </w:tcBorders>
            <w:shd w:fill="D9E2F3" w:val="clear"/>
            <w:tcMar>
              <w:top w:type="dxa" w:w="60"/>
              <w:left w:type="dxa" w:w="120"/>
              <w:bottom w:type="dxa" w:w="60"/>
              <w:right w:type="dxa" w:w="120"/>
            </w:tcMar>
            <w:vAlign w:val="top"/>
          </w:tcPr>
          <w:p>
            <w:pPr>
              <w:spacing w:after="20" w:before="20"/>
              <w:jc w:val="left"/>
            </w:pPr>
            <w:r>
              <w:rPr>
                <w:rFonts w:ascii="Arial" w:cs="Arial" w:eastAsia="Arial" w:hAnsi="Arial"/>
                <w:b w:val="false"/>
                <w:bCs w:val="false"/>
                <w:i w:val="false"/>
                <w:iCs w:val="false"/>
                <w:sz w:val="20"/>
                <w:szCs w:val="20"/>
              </w:rPr>
              <w:t xml:space="preserve">1</w:t>
            </w:r>
          </w:p>
        </w:tc>
        <w:tc>
          <w:tcPr>
            <w:tcW w:type="dxa" w:w="1400"/>
            <w:tcBorders>
              <w:top w:val="single" w:color="CCCCCC" w:sz="1"/>
              <w:left w:val="single" w:color="CCCCCC" w:sz="1"/>
              <w:bottom w:val="single" w:color="CCCCCC" w:sz="1"/>
              <w:right w:val="single" w:color="CCCCCC" w:sz="1"/>
            </w:tcBorders>
            <w:shd w:fill="D9E2F3" w:val="clear"/>
            <w:tcMar>
              <w:top w:type="dxa" w:w="60"/>
              <w:left w:type="dxa" w:w="120"/>
              <w:bottom w:type="dxa" w:w="60"/>
              <w:right w:type="dxa" w:w="120"/>
            </w:tcMar>
            <w:vAlign w:val="top"/>
          </w:tcPr>
          <w:p>
            <w:pPr>
              <w:spacing w:after="20" w:before="20"/>
              <w:jc w:val="left"/>
            </w:pPr>
            <w:r>
              <w:rPr>
                <w:rFonts w:ascii="Arial" w:cs="Arial" w:eastAsia="Arial" w:hAnsi="Arial"/>
                <w:b/>
                <w:bCs/>
                <w:i w:val="false"/>
                <w:iCs w:val="false"/>
                <w:sz w:val="20"/>
                <w:szCs w:val="20"/>
              </w:rPr>
              <w:t xml:space="preserve">Constrained</w:t>
            </w:r>
          </w:p>
        </w:tc>
        <w:tc>
          <w:tcPr>
            <w:tcW w:type="dxa" w:w="1300"/>
            <w:tcBorders>
              <w:top w:val="single" w:color="CCCCCC" w:sz="1"/>
              <w:left w:val="single" w:color="CCCCCC" w:sz="1"/>
              <w:bottom w:val="single" w:color="CCCCCC" w:sz="1"/>
              <w:right w:val="single" w:color="CCCCCC" w:sz="1"/>
            </w:tcBorders>
            <w:shd w:fill="D9E2F3" w:val="clear"/>
            <w:tcMar>
              <w:top w:type="dxa" w:w="60"/>
              <w:left w:type="dxa" w:w="120"/>
              <w:bottom w:type="dxa" w:w="60"/>
              <w:right w:type="dxa" w:w="120"/>
            </w:tcMar>
            <w:vAlign w:val="top"/>
          </w:tcPr>
          <w:p>
            <w:pPr>
              <w:spacing w:after="20" w:before="20"/>
              <w:jc w:val="left"/>
            </w:pPr>
            <w:r>
              <w:rPr>
                <w:rFonts w:ascii="Arial" w:cs="Arial" w:eastAsia="Arial" w:hAnsi="Arial"/>
                <w:b w:val="false"/>
                <w:bCs w:val="false"/>
                <w:i w:val="false"/>
                <w:iCs w:val="false"/>
                <w:sz w:val="20"/>
                <w:szCs w:val="20"/>
              </w:rPr>
              <w:t xml:space="preserve">0.687</w:t>
            </w:r>
          </w:p>
        </w:tc>
        <w:tc>
          <w:tcPr>
            <w:tcW w:type="dxa" w:w="1100"/>
            <w:tcBorders>
              <w:top w:val="single" w:color="CCCCCC" w:sz="1"/>
              <w:left w:val="single" w:color="CCCCCC" w:sz="1"/>
              <w:bottom w:val="single" w:color="CCCCCC" w:sz="1"/>
              <w:right w:val="single" w:color="CCCCCC" w:sz="1"/>
            </w:tcBorders>
            <w:shd w:fill="D9E2F3" w:val="clear"/>
            <w:tcMar>
              <w:top w:type="dxa" w:w="60"/>
              <w:left w:type="dxa" w:w="120"/>
              <w:bottom w:type="dxa" w:w="60"/>
              <w:right w:type="dxa" w:w="120"/>
            </w:tcMar>
            <w:vAlign w:val="top"/>
          </w:tcPr>
          <w:p>
            <w:pPr>
              <w:spacing w:after="20" w:before="20"/>
              <w:jc w:val="left"/>
            </w:pPr>
            <w:r>
              <w:rPr>
                <w:rFonts w:ascii="Arial" w:cs="Arial" w:eastAsia="Arial" w:hAnsi="Arial"/>
                <w:b w:val="false"/>
                <w:bCs w:val="false"/>
                <w:i w:val="false"/>
                <w:iCs w:val="false"/>
                <w:sz w:val="20"/>
                <w:szCs w:val="20"/>
              </w:rPr>
              <w:t xml:space="preserve">0.334</w:t>
            </w:r>
          </w:p>
        </w:tc>
        <w:tc>
          <w:tcPr>
            <w:tcW w:type="dxa" w:w="1300"/>
            <w:tcBorders>
              <w:top w:val="single" w:color="CCCCCC" w:sz="1"/>
              <w:left w:val="single" w:color="CCCCCC" w:sz="1"/>
              <w:bottom w:val="single" w:color="CCCCCC" w:sz="1"/>
              <w:right w:val="single" w:color="CCCCCC" w:sz="1"/>
            </w:tcBorders>
            <w:shd w:fill="D9E2F3" w:val="clear"/>
            <w:tcMar>
              <w:top w:type="dxa" w:w="60"/>
              <w:left w:type="dxa" w:w="120"/>
              <w:bottom w:type="dxa" w:w="60"/>
              <w:right w:type="dxa" w:w="120"/>
            </w:tcMar>
            <w:vAlign w:val="top"/>
          </w:tcPr>
          <w:p>
            <w:pPr>
              <w:spacing w:after="20" w:before="20"/>
              <w:jc w:val="left"/>
            </w:pPr>
            <w:r>
              <w:rPr>
                <w:rFonts w:ascii="Arial" w:cs="Arial" w:eastAsia="Arial" w:hAnsi="Arial"/>
                <w:b w:val="false"/>
                <w:bCs w:val="false"/>
                <w:i w:val="false"/>
                <w:iCs w:val="false"/>
                <w:sz w:val="20"/>
                <w:szCs w:val="20"/>
              </w:rPr>
              <w:t xml:space="preserve">0.776</w:t>
            </w:r>
          </w:p>
        </w:tc>
        <w:tc>
          <w:tcPr>
            <w:tcW w:type="dxa" w:w="1100"/>
            <w:tcBorders>
              <w:top w:val="single" w:color="CCCCCC" w:sz="1"/>
              <w:left w:val="single" w:color="CCCCCC" w:sz="1"/>
              <w:bottom w:val="single" w:color="CCCCCC" w:sz="1"/>
              <w:right w:val="single" w:color="CCCCCC" w:sz="1"/>
            </w:tcBorders>
            <w:shd w:fill="D9E2F3" w:val="clear"/>
            <w:tcMar>
              <w:top w:type="dxa" w:w="60"/>
              <w:left w:type="dxa" w:w="120"/>
              <w:bottom w:type="dxa" w:w="60"/>
              <w:right w:type="dxa" w:w="120"/>
            </w:tcMar>
            <w:vAlign w:val="top"/>
          </w:tcPr>
          <w:p>
            <w:pPr>
              <w:spacing w:after="20" w:before="20"/>
              <w:jc w:val="left"/>
            </w:pPr>
            <w:r>
              <w:rPr>
                <w:rFonts w:ascii="Arial" w:cs="Arial" w:eastAsia="Arial" w:hAnsi="Arial"/>
                <w:b w:val="false"/>
                <w:bCs w:val="false"/>
                <w:i w:val="false"/>
                <w:iCs w:val="false"/>
                <w:sz w:val="20"/>
                <w:szCs w:val="20"/>
              </w:rPr>
              <w:t xml:space="preserve">0.224</w:t>
            </w:r>
          </w:p>
        </w:tc>
        <w:tc>
          <w:tcPr>
            <w:tcW w:type="dxa" w:w="700"/>
            <w:tcBorders>
              <w:top w:val="single" w:color="CCCCCC" w:sz="1"/>
              <w:left w:val="single" w:color="CCCCCC" w:sz="1"/>
              <w:bottom w:val="single" w:color="CCCCCC" w:sz="1"/>
              <w:right w:val="single" w:color="CCCCCC" w:sz="1"/>
            </w:tcBorders>
            <w:shd w:fill="D9E2F3" w:val="clear"/>
            <w:tcMar>
              <w:top w:type="dxa" w:w="60"/>
              <w:left w:type="dxa" w:w="120"/>
              <w:bottom w:type="dxa" w:w="60"/>
              <w:right w:type="dxa" w:w="120"/>
            </w:tcMar>
            <w:vAlign w:val="top"/>
          </w:tcPr>
          <w:p>
            <w:pPr>
              <w:spacing w:after="20" w:before="20"/>
              <w:jc w:val="left"/>
            </w:pPr>
            <w:r>
              <w:rPr>
                <w:rFonts w:ascii="Arial" w:cs="Arial" w:eastAsia="Arial" w:hAnsi="Arial"/>
                <w:b w:val="false"/>
                <w:bCs w:val="false"/>
                <w:i w:val="false"/>
                <w:iCs w:val="false"/>
                <w:sz w:val="20"/>
                <w:szCs w:val="20"/>
              </w:rPr>
              <w:t xml:space="preserve">0.0</w:t>
            </w:r>
          </w:p>
        </w:tc>
        <w:tc>
          <w:tcPr>
            <w:tcW w:type="dxa" w:w="1960"/>
            <w:tcBorders>
              <w:top w:val="single" w:color="CCCCCC" w:sz="1"/>
              <w:left w:val="single" w:color="CCCCCC" w:sz="1"/>
              <w:bottom w:val="single" w:color="CCCCCC" w:sz="1"/>
              <w:right w:val="single" w:color="CCCCCC" w:sz="1"/>
            </w:tcBorders>
            <w:shd w:fill="D9E2F3" w:val="clear"/>
            <w:tcMar>
              <w:top w:type="dxa" w:w="60"/>
              <w:left w:type="dxa" w:w="120"/>
              <w:bottom w:type="dxa" w:w="60"/>
              <w:right w:type="dxa" w:w="120"/>
            </w:tcMar>
            <w:vAlign w:val="top"/>
          </w:tcPr>
          <w:p>
            <w:pPr>
              <w:spacing w:after="20" w:before="20"/>
              <w:jc w:val="left"/>
            </w:pPr>
            <w:r>
              <w:rPr>
                <w:rFonts w:ascii="Arial" w:cs="Arial" w:eastAsia="Arial" w:hAnsi="Arial"/>
                <w:b w:val="false"/>
                <w:bCs w:val="false"/>
                <w:i w:val="false"/>
                <w:iCs w:val="false"/>
                <w:sz w:val="20"/>
                <w:szCs w:val="20"/>
              </w:rPr>
              <w:t xml:space="preserve">—</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20" w:before="20"/>
              <w:jc w:val="left"/>
            </w:pPr>
            <w:r>
              <w:rPr>
                <w:rFonts w:ascii="Arial" w:cs="Arial" w:eastAsia="Arial" w:hAnsi="Arial"/>
                <w:b w:val="false"/>
                <w:bCs w:val="false"/>
                <w:i w:val="false"/>
                <w:iCs w:val="false"/>
                <w:sz w:val="20"/>
                <w:szCs w:val="20"/>
              </w:rPr>
              <w:t xml:space="preserve">1</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20" w:before="20"/>
              <w:jc w:val="left"/>
            </w:pPr>
            <w:r>
              <w:rPr>
                <w:rFonts w:ascii="Arial" w:cs="Arial" w:eastAsia="Arial" w:hAnsi="Arial"/>
                <w:b w:val="false"/>
                <w:bCs w:val="false"/>
                <w:i w:val="false"/>
                <w:iCs w:val="false"/>
                <w:sz w:val="20"/>
                <w:szCs w:val="20"/>
              </w:rPr>
              <w:t xml:space="preserve">Unconstrained</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20" w:before="20"/>
              <w:jc w:val="left"/>
            </w:pPr>
            <w:r>
              <w:rPr>
                <w:rFonts w:ascii="Arial" w:cs="Arial" w:eastAsia="Arial" w:hAnsi="Arial"/>
                <w:b w:val="false"/>
                <w:bCs w:val="false"/>
                <w:i w:val="false"/>
                <w:iCs w:val="false"/>
                <w:sz w:val="20"/>
                <w:szCs w:val="20"/>
              </w:rPr>
              <w:t xml:space="preserve">0.918</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20" w:before="20"/>
              <w:jc w:val="left"/>
            </w:pPr>
            <w:r>
              <w:rPr>
                <w:rFonts w:ascii="Arial" w:cs="Arial" w:eastAsia="Arial" w:hAnsi="Arial"/>
                <w:b w:val="false"/>
                <w:bCs w:val="false"/>
                <w:i w:val="false"/>
                <w:iCs w:val="false"/>
                <w:sz w:val="20"/>
                <w:szCs w:val="20"/>
              </w:rPr>
              <w:t xml:space="preserve">0.634</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20" w:before="20"/>
              <w:jc w:val="left"/>
            </w:pPr>
            <w:r>
              <w:rPr>
                <w:rFonts w:ascii="Arial" w:cs="Arial" w:eastAsia="Arial" w:hAnsi="Arial"/>
                <w:b w:val="false"/>
                <w:bCs w:val="false"/>
                <w:i w:val="false"/>
                <w:iCs w:val="false"/>
                <w:sz w:val="20"/>
                <w:szCs w:val="20"/>
              </w:rPr>
              <w:t xml:space="preserve">0.134</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20" w:before="20"/>
              <w:jc w:val="left"/>
            </w:pPr>
            <w:r>
              <w:rPr>
                <w:rFonts w:ascii="Arial" w:cs="Arial" w:eastAsia="Arial" w:hAnsi="Arial"/>
                <w:b w:val="false"/>
                <w:bCs w:val="false"/>
                <w:i w:val="false"/>
                <w:iCs w:val="false"/>
                <w:sz w:val="20"/>
                <w:szCs w:val="20"/>
              </w:rPr>
              <w:t xml:space="preserve">0.615</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20" w:before="20"/>
              <w:jc w:val="left"/>
            </w:pPr>
            <w:r>
              <w:rPr>
                <w:rFonts w:ascii="Arial" w:cs="Arial" w:eastAsia="Arial" w:hAnsi="Arial"/>
                <w:b w:val="false"/>
                <w:bCs w:val="false"/>
                <w:i w:val="false"/>
                <w:iCs w:val="false"/>
                <w:sz w:val="20"/>
                <w:szCs w:val="20"/>
              </w:rPr>
              <w:t xml:space="preserve">0.0</w:t>
            </w:r>
          </w:p>
        </w:tc>
        <w:tc>
          <w:tcPr>
            <w:tcW w:type="dxa" w:w="1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20" w:before="20"/>
              <w:jc w:val="left"/>
            </w:pPr>
            <w:r>
              <w:rPr>
                <w:rFonts w:ascii="Arial" w:cs="Arial" w:eastAsia="Arial" w:hAnsi="Arial"/>
                <w:b w:val="false"/>
                <w:bCs w:val="false"/>
                <w:i w:val="false"/>
                <w:iCs w:val="false"/>
                <w:sz w:val="20"/>
                <w:szCs w:val="20"/>
              </w:rPr>
              <w:t xml:space="preserve">—</w:t>
            </w:r>
          </w:p>
        </w:tc>
      </w:tr>
      <w:tr>
        <w:tc>
          <w:tcPr>
            <w:tcW w:type="dxa" w:w="500"/>
            <w:tcBorders>
              <w:top w:val="single" w:color="CCCCCC" w:sz="1"/>
              <w:left w:val="single" w:color="CCCCCC" w:sz="1"/>
              <w:bottom w:val="single" w:color="CCCCCC" w:sz="1"/>
              <w:right w:val="single" w:color="CCCCCC" w:sz="1"/>
            </w:tcBorders>
            <w:shd w:fill="D9E2F3" w:val="clear"/>
            <w:tcMar>
              <w:top w:type="dxa" w:w="60"/>
              <w:left w:type="dxa" w:w="120"/>
              <w:bottom w:type="dxa" w:w="60"/>
              <w:right w:type="dxa" w:w="120"/>
            </w:tcMar>
            <w:vAlign w:val="top"/>
          </w:tcPr>
          <w:p>
            <w:pPr>
              <w:spacing w:after="20" w:before="20"/>
              <w:jc w:val="left"/>
            </w:pPr>
            <w:r>
              <w:rPr>
                <w:rFonts w:ascii="Arial" w:cs="Arial" w:eastAsia="Arial" w:hAnsi="Arial"/>
                <w:b w:val="false"/>
                <w:bCs w:val="false"/>
                <w:i w:val="false"/>
                <w:iCs w:val="false"/>
                <w:sz w:val="20"/>
                <w:szCs w:val="20"/>
              </w:rPr>
              <w:t xml:space="preserve">2</w:t>
            </w:r>
          </w:p>
        </w:tc>
        <w:tc>
          <w:tcPr>
            <w:tcW w:type="dxa" w:w="1400"/>
            <w:tcBorders>
              <w:top w:val="single" w:color="CCCCCC" w:sz="1"/>
              <w:left w:val="single" w:color="CCCCCC" w:sz="1"/>
              <w:bottom w:val="single" w:color="CCCCCC" w:sz="1"/>
              <w:right w:val="single" w:color="CCCCCC" w:sz="1"/>
            </w:tcBorders>
            <w:shd w:fill="D9E2F3" w:val="clear"/>
            <w:tcMar>
              <w:top w:type="dxa" w:w="60"/>
              <w:left w:type="dxa" w:w="120"/>
              <w:bottom w:type="dxa" w:w="60"/>
              <w:right w:type="dxa" w:w="120"/>
            </w:tcMar>
            <w:vAlign w:val="top"/>
          </w:tcPr>
          <w:p>
            <w:pPr>
              <w:spacing w:after="20" w:before="20"/>
              <w:jc w:val="left"/>
            </w:pPr>
            <w:r>
              <w:rPr>
                <w:rFonts w:ascii="Arial" w:cs="Arial" w:eastAsia="Arial" w:hAnsi="Arial"/>
                <w:b/>
                <w:bCs/>
                <w:i w:val="false"/>
                <w:iCs w:val="false"/>
                <w:sz w:val="20"/>
                <w:szCs w:val="20"/>
              </w:rPr>
              <w:t xml:space="preserve">Constrained</w:t>
            </w:r>
          </w:p>
        </w:tc>
        <w:tc>
          <w:tcPr>
            <w:tcW w:type="dxa" w:w="1300"/>
            <w:tcBorders>
              <w:top w:val="single" w:color="CCCCCC" w:sz="1"/>
              <w:left w:val="single" w:color="CCCCCC" w:sz="1"/>
              <w:bottom w:val="single" w:color="CCCCCC" w:sz="1"/>
              <w:right w:val="single" w:color="CCCCCC" w:sz="1"/>
            </w:tcBorders>
            <w:shd w:fill="D9E2F3" w:val="clear"/>
            <w:tcMar>
              <w:top w:type="dxa" w:w="60"/>
              <w:left w:type="dxa" w:w="120"/>
              <w:bottom w:type="dxa" w:w="60"/>
              <w:right w:type="dxa" w:w="120"/>
            </w:tcMar>
            <w:vAlign w:val="top"/>
          </w:tcPr>
          <w:p>
            <w:pPr>
              <w:spacing w:after="20" w:before="20"/>
              <w:jc w:val="left"/>
            </w:pPr>
            <w:r>
              <w:rPr>
                <w:rFonts w:ascii="Arial" w:cs="Arial" w:eastAsia="Arial" w:hAnsi="Arial"/>
                <w:b w:val="false"/>
                <w:bCs w:val="false"/>
                <w:i w:val="false"/>
                <w:iCs w:val="false"/>
                <w:sz w:val="20"/>
                <w:szCs w:val="20"/>
              </w:rPr>
              <w:t xml:space="preserve">0.401</w:t>
            </w:r>
          </w:p>
        </w:tc>
        <w:tc>
          <w:tcPr>
            <w:tcW w:type="dxa" w:w="1100"/>
            <w:tcBorders>
              <w:top w:val="single" w:color="CCCCCC" w:sz="1"/>
              <w:left w:val="single" w:color="CCCCCC" w:sz="1"/>
              <w:bottom w:val="single" w:color="CCCCCC" w:sz="1"/>
              <w:right w:val="single" w:color="CCCCCC" w:sz="1"/>
            </w:tcBorders>
            <w:shd w:fill="D9E2F3" w:val="clear"/>
            <w:tcMar>
              <w:top w:type="dxa" w:w="60"/>
              <w:left w:type="dxa" w:w="120"/>
              <w:bottom w:type="dxa" w:w="60"/>
              <w:right w:type="dxa" w:w="120"/>
            </w:tcMar>
            <w:vAlign w:val="top"/>
          </w:tcPr>
          <w:p>
            <w:pPr>
              <w:spacing w:after="20" w:before="20"/>
              <w:jc w:val="left"/>
            </w:pPr>
            <w:r>
              <w:rPr>
                <w:rFonts w:ascii="Arial" w:cs="Arial" w:eastAsia="Arial" w:hAnsi="Arial"/>
                <w:b w:val="false"/>
                <w:bCs w:val="false"/>
                <w:i w:val="false"/>
                <w:iCs w:val="false"/>
                <w:sz w:val="20"/>
                <w:szCs w:val="20"/>
              </w:rPr>
              <w:t xml:space="preserve">0.222</w:t>
            </w:r>
          </w:p>
        </w:tc>
        <w:tc>
          <w:tcPr>
            <w:tcW w:type="dxa" w:w="1300"/>
            <w:tcBorders>
              <w:top w:val="single" w:color="CCCCCC" w:sz="1"/>
              <w:left w:val="single" w:color="CCCCCC" w:sz="1"/>
              <w:bottom w:val="single" w:color="CCCCCC" w:sz="1"/>
              <w:right w:val="single" w:color="CCCCCC" w:sz="1"/>
            </w:tcBorders>
            <w:shd w:fill="D9E2F3" w:val="clear"/>
            <w:tcMar>
              <w:top w:type="dxa" w:w="60"/>
              <w:left w:type="dxa" w:w="120"/>
              <w:bottom w:type="dxa" w:w="60"/>
              <w:right w:type="dxa" w:w="120"/>
            </w:tcMar>
            <w:vAlign w:val="top"/>
          </w:tcPr>
          <w:p>
            <w:pPr>
              <w:spacing w:after="20" w:before="20"/>
              <w:jc w:val="left"/>
            </w:pPr>
            <w:r>
              <w:rPr>
                <w:rFonts w:ascii="Arial" w:cs="Arial" w:eastAsia="Arial" w:hAnsi="Arial"/>
                <w:b w:val="false"/>
                <w:bCs w:val="false"/>
                <w:i w:val="false"/>
                <w:iCs w:val="false"/>
                <w:sz w:val="20"/>
                <w:szCs w:val="20"/>
              </w:rPr>
              <w:t xml:space="preserve">0.894</w:t>
            </w:r>
          </w:p>
        </w:tc>
        <w:tc>
          <w:tcPr>
            <w:tcW w:type="dxa" w:w="1100"/>
            <w:tcBorders>
              <w:top w:val="single" w:color="CCCCCC" w:sz="1"/>
              <w:left w:val="single" w:color="CCCCCC" w:sz="1"/>
              <w:bottom w:val="single" w:color="CCCCCC" w:sz="1"/>
              <w:right w:val="single" w:color="CCCCCC" w:sz="1"/>
            </w:tcBorders>
            <w:shd w:fill="D9E2F3" w:val="clear"/>
            <w:tcMar>
              <w:top w:type="dxa" w:w="60"/>
              <w:left w:type="dxa" w:w="120"/>
              <w:bottom w:type="dxa" w:w="60"/>
              <w:right w:type="dxa" w:w="120"/>
            </w:tcMar>
            <w:vAlign w:val="top"/>
          </w:tcPr>
          <w:p>
            <w:pPr>
              <w:spacing w:after="20" w:before="20"/>
              <w:jc w:val="left"/>
            </w:pPr>
            <w:r>
              <w:rPr>
                <w:rFonts w:ascii="Arial" w:cs="Arial" w:eastAsia="Arial" w:hAnsi="Arial"/>
                <w:b w:val="false"/>
                <w:bCs w:val="false"/>
                <w:i w:val="false"/>
                <w:iCs w:val="false"/>
                <w:sz w:val="20"/>
                <w:szCs w:val="20"/>
              </w:rPr>
              <w:t xml:space="preserve">0.177</w:t>
            </w:r>
          </w:p>
        </w:tc>
        <w:tc>
          <w:tcPr>
            <w:tcW w:type="dxa" w:w="700"/>
            <w:tcBorders>
              <w:top w:val="single" w:color="CCCCCC" w:sz="1"/>
              <w:left w:val="single" w:color="CCCCCC" w:sz="1"/>
              <w:bottom w:val="single" w:color="CCCCCC" w:sz="1"/>
              <w:right w:val="single" w:color="CCCCCC" w:sz="1"/>
            </w:tcBorders>
            <w:shd w:fill="D9E2F3" w:val="clear"/>
            <w:tcMar>
              <w:top w:type="dxa" w:w="60"/>
              <w:left w:type="dxa" w:w="120"/>
              <w:bottom w:type="dxa" w:w="60"/>
              <w:right w:type="dxa" w:w="120"/>
            </w:tcMar>
            <w:vAlign w:val="top"/>
          </w:tcPr>
          <w:p>
            <w:pPr>
              <w:spacing w:after="20" w:before="20"/>
              <w:jc w:val="left"/>
            </w:pPr>
            <w:r>
              <w:rPr>
                <w:rFonts w:ascii="Arial" w:cs="Arial" w:eastAsia="Arial" w:hAnsi="Arial"/>
                <w:b w:val="false"/>
                <w:bCs w:val="false"/>
                <w:i w:val="false"/>
                <w:iCs w:val="false"/>
                <w:sz w:val="20"/>
                <w:szCs w:val="20"/>
              </w:rPr>
              <w:t xml:space="preserve">0.0</w:t>
            </w:r>
          </w:p>
        </w:tc>
        <w:tc>
          <w:tcPr>
            <w:tcW w:type="dxa" w:w="1960"/>
            <w:tcBorders>
              <w:top w:val="single" w:color="CCCCCC" w:sz="1"/>
              <w:left w:val="single" w:color="CCCCCC" w:sz="1"/>
              <w:bottom w:val="single" w:color="CCCCCC" w:sz="1"/>
              <w:right w:val="single" w:color="CCCCCC" w:sz="1"/>
            </w:tcBorders>
            <w:shd w:fill="D9E2F3" w:val="clear"/>
            <w:tcMar>
              <w:top w:type="dxa" w:w="60"/>
              <w:left w:type="dxa" w:w="120"/>
              <w:bottom w:type="dxa" w:w="60"/>
              <w:right w:type="dxa" w:w="120"/>
            </w:tcMar>
            <w:vAlign w:val="top"/>
          </w:tcPr>
          <w:p>
            <w:pPr>
              <w:spacing w:after="20" w:before="20"/>
              <w:jc w:val="left"/>
            </w:pPr>
            <w:r>
              <w:rPr>
                <w:rFonts w:ascii="Arial" w:cs="Arial" w:eastAsia="Arial" w:hAnsi="Arial"/>
                <w:b w:val="false"/>
                <w:bCs w:val="false"/>
                <w:i w:val="false"/>
                <w:iCs w:val="false"/>
                <w:sz w:val="20"/>
                <w:szCs w:val="20"/>
              </w:rPr>
              <w:t xml:space="preserve">—</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20" w:before="20"/>
              <w:jc w:val="left"/>
            </w:pPr>
            <w:r>
              <w:rPr>
                <w:rFonts w:ascii="Arial" w:cs="Arial" w:eastAsia="Arial" w:hAnsi="Arial"/>
                <w:b w:val="false"/>
                <w:bCs w:val="false"/>
                <w:i w:val="false"/>
                <w:iCs w:val="false"/>
                <w:sz w:val="20"/>
                <w:szCs w:val="20"/>
              </w:rPr>
              <w:t xml:space="preserve">2</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20" w:before="20"/>
              <w:jc w:val="left"/>
            </w:pPr>
            <w:r>
              <w:rPr>
                <w:rFonts w:ascii="Arial" w:cs="Arial" w:eastAsia="Arial" w:hAnsi="Arial"/>
                <w:b w:val="false"/>
                <w:bCs w:val="false"/>
                <w:i w:val="false"/>
                <w:iCs w:val="false"/>
                <w:sz w:val="20"/>
                <w:szCs w:val="20"/>
              </w:rPr>
              <w:t xml:space="preserve">Unconstrained</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20" w:before="20"/>
              <w:jc w:val="left"/>
            </w:pPr>
            <w:r>
              <w:rPr>
                <w:rFonts w:ascii="Arial" w:cs="Arial" w:eastAsia="Arial" w:hAnsi="Arial"/>
                <w:b w:val="false"/>
                <w:bCs w:val="false"/>
                <w:i w:val="false"/>
                <w:iCs w:val="false"/>
                <w:sz w:val="20"/>
                <w:szCs w:val="20"/>
              </w:rPr>
              <w:t xml:space="preserve">1.050</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20" w:before="20"/>
              <w:jc w:val="left"/>
            </w:pPr>
            <w:r>
              <w:rPr>
                <w:rFonts w:ascii="Arial" w:cs="Arial" w:eastAsia="Arial" w:hAnsi="Arial"/>
                <w:b w:val="false"/>
                <w:bCs w:val="false"/>
                <w:i w:val="false"/>
                <w:iCs w:val="false"/>
                <w:sz w:val="20"/>
                <w:szCs w:val="20"/>
              </w:rPr>
              <w:t xml:space="preserve">0.995</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20" w:before="20"/>
              <w:jc w:val="left"/>
            </w:pPr>
            <w:r>
              <w:rPr>
                <w:rFonts w:ascii="Arial" w:cs="Arial" w:eastAsia="Arial" w:hAnsi="Arial"/>
                <w:b w:val="false"/>
                <w:bCs w:val="false"/>
                <w:i w:val="false"/>
                <w:iCs w:val="false"/>
                <w:sz w:val="20"/>
                <w:szCs w:val="20"/>
              </w:rPr>
              <w:t xml:space="preserve">0.364</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20" w:before="20"/>
              <w:jc w:val="left"/>
            </w:pPr>
            <w:r>
              <w:rPr>
                <w:rFonts w:ascii="Arial" w:cs="Arial" w:eastAsia="Arial" w:hAnsi="Arial"/>
                <w:b w:val="false"/>
                <w:bCs w:val="false"/>
                <w:i w:val="false"/>
                <w:iCs w:val="false"/>
                <w:sz w:val="20"/>
                <w:szCs w:val="20"/>
              </w:rPr>
              <w:t xml:space="preserve">0.992</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20" w:before="20"/>
              <w:jc w:val="left"/>
            </w:pPr>
            <w:r>
              <w:rPr>
                <w:rFonts w:ascii="Arial" w:cs="Arial" w:eastAsia="Arial" w:hAnsi="Arial"/>
                <w:b w:val="false"/>
                <w:bCs w:val="false"/>
                <w:i w:val="false"/>
                <w:iCs w:val="false"/>
                <w:sz w:val="20"/>
                <w:szCs w:val="20"/>
              </w:rPr>
              <w:t xml:space="preserve">0.0</w:t>
            </w:r>
          </w:p>
        </w:tc>
        <w:tc>
          <w:tcPr>
            <w:tcW w:type="dxa" w:w="1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20" w:before="20"/>
              <w:jc w:val="left"/>
            </w:pPr>
            <w:r>
              <w:rPr>
                <w:rFonts w:ascii="Arial" w:cs="Arial" w:eastAsia="Arial" w:hAnsi="Arial"/>
                <w:b w:val="false"/>
                <w:bCs w:val="false"/>
                <w:i w:val="false"/>
                <w:iCs w:val="false"/>
                <w:sz w:val="20"/>
                <w:szCs w:val="20"/>
              </w:rPr>
              <w:t xml:space="preserve">—</w:t>
            </w:r>
          </w:p>
        </w:tc>
      </w:tr>
      <w:tr>
        <w:tc>
          <w:tcPr>
            <w:tcW w:type="dxa" w:w="500"/>
            <w:tcBorders>
              <w:top w:val="single" w:color="CCCCCC" w:sz="1"/>
              <w:left w:val="single" w:color="CCCCCC" w:sz="1"/>
              <w:bottom w:val="single" w:color="CCCCCC" w:sz="1"/>
              <w:right w:val="single" w:color="CCCCCC" w:sz="1"/>
            </w:tcBorders>
            <w:shd w:fill="D9E2F3" w:val="clear"/>
            <w:tcMar>
              <w:top w:type="dxa" w:w="60"/>
              <w:left w:type="dxa" w:w="120"/>
              <w:bottom w:type="dxa" w:w="60"/>
              <w:right w:type="dxa" w:w="120"/>
            </w:tcMar>
            <w:vAlign w:val="top"/>
          </w:tcPr>
          <w:p>
            <w:pPr>
              <w:spacing w:after="20" w:before="20"/>
              <w:jc w:val="left"/>
            </w:pPr>
            <w:r>
              <w:rPr>
                <w:rFonts w:ascii="Arial" w:cs="Arial" w:eastAsia="Arial" w:hAnsi="Arial"/>
                <w:b w:val="false"/>
                <w:bCs w:val="false"/>
                <w:i w:val="false"/>
                <w:iCs w:val="false"/>
                <w:sz w:val="20"/>
                <w:szCs w:val="20"/>
              </w:rPr>
              <w:t xml:space="preserve">3</w:t>
            </w:r>
          </w:p>
        </w:tc>
        <w:tc>
          <w:tcPr>
            <w:tcW w:type="dxa" w:w="1400"/>
            <w:tcBorders>
              <w:top w:val="single" w:color="CCCCCC" w:sz="1"/>
              <w:left w:val="single" w:color="CCCCCC" w:sz="1"/>
              <w:bottom w:val="single" w:color="CCCCCC" w:sz="1"/>
              <w:right w:val="single" w:color="CCCCCC" w:sz="1"/>
            </w:tcBorders>
            <w:shd w:fill="D9E2F3" w:val="clear"/>
            <w:tcMar>
              <w:top w:type="dxa" w:w="60"/>
              <w:left w:type="dxa" w:w="120"/>
              <w:bottom w:type="dxa" w:w="60"/>
              <w:right w:type="dxa" w:w="120"/>
            </w:tcMar>
            <w:vAlign w:val="top"/>
          </w:tcPr>
          <w:p>
            <w:pPr>
              <w:spacing w:after="20" w:before="20"/>
              <w:jc w:val="left"/>
            </w:pPr>
            <w:r>
              <w:rPr>
                <w:rFonts w:ascii="Arial" w:cs="Arial" w:eastAsia="Arial" w:hAnsi="Arial"/>
                <w:b/>
                <w:bCs/>
                <w:i w:val="false"/>
                <w:iCs w:val="false"/>
                <w:sz w:val="20"/>
                <w:szCs w:val="20"/>
              </w:rPr>
              <w:t xml:space="preserve">Constrained</w:t>
            </w:r>
          </w:p>
        </w:tc>
        <w:tc>
          <w:tcPr>
            <w:tcW w:type="dxa" w:w="1300"/>
            <w:tcBorders>
              <w:top w:val="single" w:color="CCCCCC" w:sz="1"/>
              <w:left w:val="single" w:color="CCCCCC" w:sz="1"/>
              <w:bottom w:val="single" w:color="CCCCCC" w:sz="1"/>
              <w:right w:val="single" w:color="CCCCCC" w:sz="1"/>
            </w:tcBorders>
            <w:shd w:fill="D9E2F3" w:val="clear"/>
            <w:tcMar>
              <w:top w:type="dxa" w:w="60"/>
              <w:left w:type="dxa" w:w="120"/>
              <w:bottom w:type="dxa" w:w="60"/>
              <w:right w:type="dxa" w:w="120"/>
            </w:tcMar>
            <w:vAlign w:val="top"/>
          </w:tcPr>
          <w:p>
            <w:pPr>
              <w:spacing w:after="20" w:before="20"/>
              <w:jc w:val="left"/>
            </w:pPr>
            <w:r>
              <w:rPr>
                <w:rFonts w:ascii="Arial" w:cs="Arial" w:eastAsia="Arial" w:hAnsi="Arial"/>
                <w:b w:val="false"/>
                <w:bCs w:val="false"/>
                <w:i w:val="false"/>
                <w:iCs w:val="false"/>
                <w:sz w:val="20"/>
                <w:szCs w:val="20"/>
              </w:rPr>
              <w:t xml:space="preserve">0.983</w:t>
            </w:r>
          </w:p>
        </w:tc>
        <w:tc>
          <w:tcPr>
            <w:tcW w:type="dxa" w:w="1100"/>
            <w:tcBorders>
              <w:top w:val="single" w:color="CCCCCC" w:sz="1"/>
              <w:left w:val="single" w:color="CCCCCC" w:sz="1"/>
              <w:bottom w:val="single" w:color="CCCCCC" w:sz="1"/>
              <w:right w:val="single" w:color="CCCCCC" w:sz="1"/>
            </w:tcBorders>
            <w:shd w:fill="D9E2F3" w:val="clear"/>
            <w:tcMar>
              <w:top w:type="dxa" w:w="60"/>
              <w:left w:type="dxa" w:w="120"/>
              <w:bottom w:type="dxa" w:w="60"/>
              <w:right w:type="dxa" w:w="120"/>
            </w:tcMar>
            <w:vAlign w:val="top"/>
          </w:tcPr>
          <w:p>
            <w:pPr>
              <w:spacing w:after="20" w:before="20"/>
              <w:jc w:val="left"/>
            </w:pPr>
            <w:r>
              <w:rPr>
                <w:rFonts w:ascii="Arial" w:cs="Arial" w:eastAsia="Arial" w:hAnsi="Arial"/>
                <w:b w:val="false"/>
                <w:bCs w:val="false"/>
                <w:i w:val="false"/>
                <w:iCs w:val="false"/>
                <w:sz w:val="20"/>
                <w:szCs w:val="20"/>
              </w:rPr>
              <w:t xml:space="preserve">0.744</w:t>
            </w:r>
          </w:p>
        </w:tc>
        <w:tc>
          <w:tcPr>
            <w:tcW w:type="dxa" w:w="1300"/>
            <w:tcBorders>
              <w:top w:val="single" w:color="CCCCCC" w:sz="1"/>
              <w:left w:val="single" w:color="CCCCCC" w:sz="1"/>
              <w:bottom w:val="single" w:color="CCCCCC" w:sz="1"/>
              <w:right w:val="single" w:color="CCCCCC" w:sz="1"/>
            </w:tcBorders>
            <w:shd w:fill="D9E2F3" w:val="clear"/>
            <w:tcMar>
              <w:top w:type="dxa" w:w="60"/>
              <w:left w:type="dxa" w:w="120"/>
              <w:bottom w:type="dxa" w:w="60"/>
              <w:right w:type="dxa" w:w="120"/>
            </w:tcMar>
            <w:vAlign w:val="top"/>
          </w:tcPr>
          <w:p>
            <w:pPr>
              <w:spacing w:after="20" w:before="20"/>
              <w:jc w:val="left"/>
            </w:pPr>
            <w:r>
              <w:rPr>
                <w:rFonts w:ascii="Arial" w:cs="Arial" w:eastAsia="Arial" w:hAnsi="Arial"/>
                <w:b w:val="false"/>
                <w:bCs w:val="false"/>
                <w:i w:val="false"/>
                <w:iCs w:val="false"/>
                <w:sz w:val="20"/>
                <w:szCs w:val="20"/>
              </w:rPr>
              <w:t xml:space="preserve">0.516</w:t>
            </w:r>
          </w:p>
        </w:tc>
        <w:tc>
          <w:tcPr>
            <w:tcW w:type="dxa" w:w="1100"/>
            <w:tcBorders>
              <w:top w:val="single" w:color="CCCCCC" w:sz="1"/>
              <w:left w:val="single" w:color="CCCCCC" w:sz="1"/>
              <w:bottom w:val="single" w:color="CCCCCC" w:sz="1"/>
              <w:right w:val="single" w:color="CCCCCC" w:sz="1"/>
            </w:tcBorders>
            <w:shd w:fill="D9E2F3" w:val="clear"/>
            <w:tcMar>
              <w:top w:type="dxa" w:w="60"/>
              <w:left w:type="dxa" w:w="120"/>
              <w:bottom w:type="dxa" w:w="60"/>
              <w:right w:type="dxa" w:w="120"/>
            </w:tcMar>
            <w:vAlign w:val="top"/>
          </w:tcPr>
          <w:p>
            <w:pPr>
              <w:spacing w:after="20" w:before="20"/>
              <w:jc w:val="left"/>
            </w:pPr>
            <w:r>
              <w:rPr>
                <w:rFonts w:ascii="Arial" w:cs="Arial" w:eastAsia="Arial" w:hAnsi="Arial"/>
                <w:b w:val="false"/>
                <w:bCs w:val="false"/>
                <w:i w:val="false"/>
                <w:iCs w:val="false"/>
                <w:sz w:val="20"/>
                <w:szCs w:val="20"/>
              </w:rPr>
              <w:t xml:space="preserve">0.705</w:t>
            </w:r>
          </w:p>
        </w:tc>
        <w:tc>
          <w:tcPr>
            <w:tcW w:type="dxa" w:w="700"/>
            <w:tcBorders>
              <w:top w:val="single" w:color="CCCCCC" w:sz="1"/>
              <w:left w:val="single" w:color="CCCCCC" w:sz="1"/>
              <w:bottom w:val="single" w:color="CCCCCC" w:sz="1"/>
              <w:right w:val="single" w:color="CCCCCC" w:sz="1"/>
            </w:tcBorders>
            <w:shd w:fill="D9E2F3" w:val="clear"/>
            <w:tcMar>
              <w:top w:type="dxa" w:w="60"/>
              <w:left w:type="dxa" w:w="120"/>
              <w:bottom w:type="dxa" w:w="60"/>
              <w:right w:type="dxa" w:w="120"/>
            </w:tcMar>
            <w:vAlign w:val="top"/>
          </w:tcPr>
          <w:p>
            <w:pPr>
              <w:spacing w:after="20" w:before="20"/>
              <w:jc w:val="left"/>
            </w:pPr>
            <w:r>
              <w:rPr>
                <w:rFonts w:ascii="Arial" w:cs="Arial" w:eastAsia="Arial" w:hAnsi="Arial"/>
                <w:b w:val="false"/>
                <w:bCs w:val="false"/>
                <w:i w:val="false"/>
                <w:iCs w:val="false"/>
                <w:sz w:val="20"/>
                <w:szCs w:val="20"/>
              </w:rPr>
              <w:t xml:space="preserve">0.0</w:t>
            </w:r>
          </w:p>
        </w:tc>
        <w:tc>
          <w:tcPr>
            <w:tcW w:type="dxa" w:w="1960"/>
            <w:tcBorders>
              <w:top w:val="single" w:color="CCCCCC" w:sz="1"/>
              <w:left w:val="single" w:color="CCCCCC" w:sz="1"/>
              <w:bottom w:val="single" w:color="CCCCCC" w:sz="1"/>
              <w:right w:val="single" w:color="CCCCCC" w:sz="1"/>
            </w:tcBorders>
            <w:shd w:fill="D9E2F3" w:val="clear"/>
            <w:tcMar>
              <w:top w:type="dxa" w:w="60"/>
              <w:left w:type="dxa" w:w="120"/>
              <w:bottom w:type="dxa" w:w="60"/>
              <w:right w:type="dxa" w:w="120"/>
            </w:tcMar>
            <w:vAlign w:val="top"/>
          </w:tcPr>
          <w:p>
            <w:pPr>
              <w:spacing w:after="20" w:before="20"/>
              <w:jc w:val="left"/>
            </w:pPr>
            <w:r>
              <w:rPr>
                <w:rFonts w:ascii="Arial" w:cs="Arial" w:eastAsia="Arial" w:hAnsi="Arial"/>
                <w:b w:val="false"/>
                <w:bCs w:val="false"/>
                <w:i w:val="false"/>
                <w:iCs w:val="false"/>
                <w:sz w:val="20"/>
                <w:szCs w:val="20"/>
              </w:rPr>
              <w:t xml:space="preserve">—</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20" w:before="20"/>
              <w:jc w:val="left"/>
            </w:pPr>
            <w:r>
              <w:rPr>
                <w:rFonts w:ascii="Arial" w:cs="Arial" w:eastAsia="Arial" w:hAnsi="Arial"/>
                <w:b w:val="false"/>
                <w:bCs w:val="false"/>
                <w:i w:val="false"/>
                <w:iCs w:val="false"/>
                <w:sz w:val="20"/>
                <w:szCs w:val="20"/>
              </w:rPr>
              <w:t xml:space="preserve">3</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20" w:before="20"/>
              <w:jc w:val="left"/>
            </w:pPr>
            <w:r>
              <w:rPr>
                <w:rFonts w:ascii="Arial" w:cs="Arial" w:eastAsia="Arial" w:hAnsi="Arial"/>
                <w:b w:val="false"/>
                <w:bCs w:val="false"/>
                <w:i w:val="false"/>
                <w:iCs w:val="false"/>
                <w:sz w:val="20"/>
                <w:szCs w:val="20"/>
              </w:rPr>
              <w:t xml:space="preserve">Unconstrained</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20" w:before="20"/>
              <w:jc w:val="left"/>
            </w:pPr>
            <w:r>
              <w:rPr>
                <w:rFonts w:ascii="Arial" w:cs="Arial" w:eastAsia="Arial" w:hAnsi="Arial"/>
                <w:b w:val="false"/>
                <w:bCs w:val="false"/>
                <w:i w:val="false"/>
                <w:iCs w:val="false"/>
                <w:sz w:val="20"/>
                <w:szCs w:val="20"/>
              </w:rPr>
              <w:t xml:space="preserve">1.092</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20" w:before="20"/>
              <w:jc w:val="left"/>
            </w:pPr>
            <w:r>
              <w:rPr>
                <w:rFonts w:ascii="Arial" w:cs="Arial" w:eastAsia="Arial" w:hAnsi="Arial"/>
                <w:b w:val="false"/>
                <w:bCs w:val="false"/>
                <w:i w:val="false"/>
                <w:iCs w:val="false"/>
                <w:sz w:val="20"/>
                <w:szCs w:val="20"/>
              </w:rPr>
              <w:t xml:space="preserve">0.641</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20" w:before="20"/>
              <w:jc w:val="left"/>
            </w:pPr>
            <w:r>
              <w:rPr>
                <w:rFonts w:ascii="Arial" w:cs="Arial" w:eastAsia="Arial" w:hAnsi="Arial"/>
                <w:b w:val="false"/>
                <w:bCs w:val="false"/>
                <w:i w:val="false"/>
                <w:iCs w:val="false"/>
                <w:sz w:val="20"/>
                <w:szCs w:val="20"/>
              </w:rPr>
              <w:t xml:space="preserve">0.382</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20" w:before="20"/>
              <w:jc w:val="left"/>
            </w:pPr>
            <w:r>
              <w:rPr>
                <w:rFonts w:ascii="Arial" w:cs="Arial" w:eastAsia="Arial" w:hAnsi="Arial"/>
                <w:b w:val="false"/>
                <w:bCs w:val="false"/>
                <w:i w:val="false"/>
                <w:iCs w:val="false"/>
                <w:sz w:val="20"/>
                <w:szCs w:val="20"/>
              </w:rPr>
              <w:t xml:space="preserve">0.735</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20" w:before="20"/>
              <w:jc w:val="left"/>
            </w:pPr>
            <w:r>
              <w:rPr>
                <w:rFonts w:ascii="Arial" w:cs="Arial" w:eastAsia="Arial" w:hAnsi="Arial"/>
                <w:b w:val="false"/>
                <w:bCs w:val="false"/>
                <w:i w:val="false"/>
                <w:iCs w:val="false"/>
                <w:sz w:val="20"/>
                <w:szCs w:val="20"/>
              </w:rPr>
              <w:t xml:space="preserve">0.0</w:t>
            </w:r>
          </w:p>
        </w:tc>
        <w:tc>
          <w:tcPr>
            <w:tcW w:type="dxa" w:w="1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20" w:before="20"/>
              <w:jc w:val="left"/>
            </w:pPr>
            <w:r>
              <w:rPr>
                <w:rFonts w:ascii="Arial" w:cs="Arial" w:eastAsia="Arial" w:hAnsi="Arial"/>
                <w:b w:val="false"/>
                <w:bCs w:val="false"/>
                <w:i w:val="false"/>
                <w:iCs w:val="false"/>
                <w:sz w:val="20"/>
                <w:szCs w:val="20"/>
              </w:rPr>
              <w:t xml:space="preserve">—</w:t>
            </w:r>
          </w:p>
        </w:tc>
      </w:tr>
      <w:tr>
        <w:tc>
          <w:tcPr>
            <w:tcW w:type="dxa" w:w="500"/>
            <w:tcBorders>
              <w:top w:val="single" w:color="CCCCCC" w:sz="1"/>
              <w:left w:val="single" w:color="CCCCCC" w:sz="1"/>
              <w:bottom w:val="single" w:color="CCCCCC" w:sz="1"/>
              <w:right w:val="single" w:color="CCCCCC" w:sz="1"/>
            </w:tcBorders>
            <w:shd w:fill="D9E2F3" w:val="clear"/>
            <w:tcMar>
              <w:top w:type="dxa" w:w="60"/>
              <w:left w:type="dxa" w:w="120"/>
              <w:bottom w:type="dxa" w:w="60"/>
              <w:right w:type="dxa" w:w="120"/>
            </w:tcMar>
            <w:vAlign w:val="top"/>
          </w:tcPr>
          <w:p>
            <w:pPr>
              <w:spacing w:after="20" w:before="20"/>
              <w:jc w:val="left"/>
            </w:pPr>
            <w:r>
              <w:rPr>
                <w:rFonts w:ascii="Arial" w:cs="Arial" w:eastAsia="Arial" w:hAnsi="Arial"/>
                <w:b w:val="false"/>
                <w:bCs w:val="false"/>
                <w:i w:val="false"/>
                <w:iCs w:val="false"/>
                <w:sz w:val="20"/>
                <w:szCs w:val="20"/>
              </w:rPr>
              <w:t xml:space="preserve">4</w:t>
            </w:r>
          </w:p>
        </w:tc>
        <w:tc>
          <w:tcPr>
            <w:tcW w:type="dxa" w:w="1400"/>
            <w:tcBorders>
              <w:top w:val="single" w:color="CCCCCC" w:sz="1"/>
              <w:left w:val="single" w:color="CCCCCC" w:sz="1"/>
              <w:bottom w:val="single" w:color="CCCCCC" w:sz="1"/>
              <w:right w:val="single" w:color="CCCCCC" w:sz="1"/>
            </w:tcBorders>
            <w:shd w:fill="D9E2F3" w:val="clear"/>
            <w:tcMar>
              <w:top w:type="dxa" w:w="60"/>
              <w:left w:type="dxa" w:w="120"/>
              <w:bottom w:type="dxa" w:w="60"/>
              <w:right w:type="dxa" w:w="120"/>
            </w:tcMar>
            <w:vAlign w:val="top"/>
          </w:tcPr>
          <w:p>
            <w:pPr>
              <w:spacing w:after="20" w:before="20"/>
              <w:jc w:val="left"/>
            </w:pPr>
            <w:r>
              <w:rPr>
                <w:rFonts w:ascii="Arial" w:cs="Arial" w:eastAsia="Arial" w:hAnsi="Arial"/>
                <w:b/>
                <w:bCs/>
                <w:i w:val="false"/>
                <w:iCs w:val="false"/>
                <w:sz w:val="20"/>
                <w:szCs w:val="20"/>
              </w:rPr>
              <w:t xml:space="preserve">Constrained</w:t>
            </w:r>
          </w:p>
        </w:tc>
        <w:tc>
          <w:tcPr>
            <w:tcW w:type="dxa" w:w="1300"/>
            <w:tcBorders>
              <w:top w:val="single" w:color="CCCCCC" w:sz="1"/>
              <w:left w:val="single" w:color="CCCCCC" w:sz="1"/>
              <w:bottom w:val="single" w:color="CCCCCC" w:sz="1"/>
              <w:right w:val="single" w:color="CCCCCC" w:sz="1"/>
            </w:tcBorders>
            <w:shd w:fill="D9E2F3" w:val="clear"/>
            <w:tcMar>
              <w:top w:type="dxa" w:w="60"/>
              <w:left w:type="dxa" w:w="120"/>
              <w:bottom w:type="dxa" w:w="60"/>
              <w:right w:type="dxa" w:w="120"/>
            </w:tcMar>
            <w:vAlign w:val="top"/>
          </w:tcPr>
          <w:p>
            <w:pPr>
              <w:spacing w:after="20" w:before="20"/>
              <w:jc w:val="left"/>
            </w:pPr>
            <w:r>
              <w:rPr>
                <w:rFonts w:ascii="Arial" w:cs="Arial" w:eastAsia="Arial" w:hAnsi="Arial"/>
                <w:b w:val="false"/>
                <w:bCs w:val="false"/>
                <w:i w:val="false"/>
                <w:iCs w:val="false"/>
                <w:sz w:val="20"/>
                <w:szCs w:val="20"/>
              </w:rPr>
              <w:t xml:space="preserve">1.075</w:t>
            </w:r>
          </w:p>
        </w:tc>
        <w:tc>
          <w:tcPr>
            <w:tcW w:type="dxa" w:w="1100"/>
            <w:tcBorders>
              <w:top w:val="single" w:color="CCCCCC" w:sz="1"/>
              <w:left w:val="single" w:color="CCCCCC" w:sz="1"/>
              <w:bottom w:val="single" w:color="CCCCCC" w:sz="1"/>
              <w:right w:val="single" w:color="CCCCCC" w:sz="1"/>
            </w:tcBorders>
            <w:shd w:fill="D9E2F3" w:val="clear"/>
            <w:tcMar>
              <w:top w:type="dxa" w:w="60"/>
              <w:left w:type="dxa" w:w="120"/>
              <w:bottom w:type="dxa" w:w="60"/>
              <w:right w:type="dxa" w:w="120"/>
            </w:tcMar>
            <w:vAlign w:val="top"/>
          </w:tcPr>
          <w:p>
            <w:pPr>
              <w:spacing w:after="20" w:before="20"/>
              <w:jc w:val="left"/>
            </w:pPr>
            <w:r>
              <w:rPr>
                <w:rFonts w:ascii="Arial" w:cs="Arial" w:eastAsia="Arial" w:hAnsi="Arial"/>
                <w:b w:val="false"/>
                <w:bCs w:val="false"/>
                <w:i w:val="false"/>
                <w:iCs w:val="false"/>
                <w:sz w:val="20"/>
                <w:szCs w:val="20"/>
              </w:rPr>
              <w:t xml:space="preserve">0.650</w:t>
            </w:r>
          </w:p>
        </w:tc>
        <w:tc>
          <w:tcPr>
            <w:tcW w:type="dxa" w:w="1300"/>
            <w:tcBorders>
              <w:top w:val="single" w:color="CCCCCC" w:sz="1"/>
              <w:left w:val="single" w:color="CCCCCC" w:sz="1"/>
              <w:bottom w:val="single" w:color="CCCCCC" w:sz="1"/>
              <w:right w:val="single" w:color="CCCCCC" w:sz="1"/>
            </w:tcBorders>
            <w:shd w:fill="D9E2F3" w:val="clear"/>
            <w:tcMar>
              <w:top w:type="dxa" w:w="60"/>
              <w:left w:type="dxa" w:w="120"/>
              <w:bottom w:type="dxa" w:w="60"/>
              <w:right w:type="dxa" w:w="120"/>
            </w:tcMar>
            <w:vAlign w:val="top"/>
          </w:tcPr>
          <w:p>
            <w:pPr>
              <w:spacing w:after="20" w:before="20"/>
              <w:jc w:val="left"/>
            </w:pPr>
            <w:r>
              <w:rPr>
                <w:rFonts w:ascii="Arial" w:cs="Arial" w:eastAsia="Arial" w:hAnsi="Arial"/>
                <w:b w:val="false"/>
                <w:bCs w:val="false"/>
                <w:i w:val="false"/>
                <w:iCs w:val="false"/>
                <w:sz w:val="20"/>
                <w:szCs w:val="20"/>
              </w:rPr>
              <w:t xml:space="preserve">0.437</w:t>
            </w:r>
          </w:p>
        </w:tc>
        <w:tc>
          <w:tcPr>
            <w:tcW w:type="dxa" w:w="1100"/>
            <w:tcBorders>
              <w:top w:val="single" w:color="CCCCCC" w:sz="1"/>
              <w:left w:val="single" w:color="CCCCCC" w:sz="1"/>
              <w:bottom w:val="single" w:color="CCCCCC" w:sz="1"/>
              <w:right w:val="single" w:color="CCCCCC" w:sz="1"/>
            </w:tcBorders>
            <w:shd w:fill="D9E2F3" w:val="clear"/>
            <w:tcMar>
              <w:top w:type="dxa" w:w="60"/>
              <w:left w:type="dxa" w:w="120"/>
              <w:bottom w:type="dxa" w:w="60"/>
              <w:right w:type="dxa" w:w="120"/>
            </w:tcMar>
            <w:vAlign w:val="top"/>
          </w:tcPr>
          <w:p>
            <w:pPr>
              <w:spacing w:after="20" w:before="20"/>
              <w:jc w:val="left"/>
            </w:pPr>
            <w:r>
              <w:rPr>
                <w:rFonts w:ascii="Arial" w:cs="Arial" w:eastAsia="Arial" w:hAnsi="Arial"/>
                <w:b w:val="false"/>
                <w:bCs w:val="false"/>
                <w:i w:val="false"/>
                <w:iCs w:val="false"/>
                <w:sz w:val="20"/>
                <w:szCs w:val="20"/>
              </w:rPr>
              <w:t xml:space="preserve">0.551</w:t>
            </w:r>
          </w:p>
        </w:tc>
        <w:tc>
          <w:tcPr>
            <w:tcW w:type="dxa" w:w="700"/>
            <w:tcBorders>
              <w:top w:val="single" w:color="CCCCCC" w:sz="1"/>
              <w:left w:val="single" w:color="CCCCCC" w:sz="1"/>
              <w:bottom w:val="single" w:color="CCCCCC" w:sz="1"/>
              <w:right w:val="single" w:color="CCCCCC" w:sz="1"/>
            </w:tcBorders>
            <w:shd w:fill="D9E2F3" w:val="clear"/>
            <w:tcMar>
              <w:top w:type="dxa" w:w="60"/>
              <w:left w:type="dxa" w:w="120"/>
              <w:bottom w:type="dxa" w:w="60"/>
              <w:right w:type="dxa" w:w="120"/>
            </w:tcMar>
            <w:vAlign w:val="top"/>
          </w:tcPr>
          <w:p>
            <w:pPr>
              <w:spacing w:after="20" w:before="20"/>
              <w:jc w:val="left"/>
            </w:pPr>
            <w:r>
              <w:rPr>
                <w:rFonts w:ascii="Arial" w:cs="Arial" w:eastAsia="Arial" w:hAnsi="Arial"/>
                <w:b w:val="false"/>
                <w:bCs w:val="false"/>
                <w:i w:val="false"/>
                <w:iCs w:val="false"/>
                <w:sz w:val="20"/>
                <w:szCs w:val="20"/>
              </w:rPr>
              <w:t xml:space="preserve">0.0</w:t>
            </w:r>
          </w:p>
        </w:tc>
        <w:tc>
          <w:tcPr>
            <w:tcW w:type="dxa" w:w="1960"/>
            <w:tcBorders>
              <w:top w:val="single" w:color="CCCCCC" w:sz="1"/>
              <w:left w:val="single" w:color="CCCCCC" w:sz="1"/>
              <w:bottom w:val="single" w:color="CCCCCC" w:sz="1"/>
              <w:right w:val="single" w:color="CCCCCC" w:sz="1"/>
            </w:tcBorders>
            <w:shd w:fill="D9E2F3" w:val="clear"/>
            <w:tcMar>
              <w:top w:type="dxa" w:w="60"/>
              <w:left w:type="dxa" w:w="120"/>
              <w:bottom w:type="dxa" w:w="60"/>
              <w:right w:type="dxa" w:w="120"/>
            </w:tcMar>
            <w:vAlign w:val="top"/>
          </w:tcPr>
          <w:p>
            <w:pPr>
              <w:spacing w:after="20" w:before="20"/>
              <w:jc w:val="left"/>
            </w:pPr>
            <w:r>
              <w:rPr>
                <w:rFonts w:ascii="Arial" w:cs="Arial" w:eastAsia="Arial" w:hAnsi="Arial"/>
                <w:b w:val="false"/>
                <w:bCs w:val="false"/>
                <w:i w:val="false"/>
                <w:iCs w:val="false"/>
                <w:sz w:val="20"/>
                <w:szCs w:val="20"/>
              </w:rPr>
              <w:t xml:space="preserve">—</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20" w:before="20"/>
              <w:jc w:val="left"/>
            </w:pPr>
            <w:r>
              <w:rPr>
                <w:rFonts w:ascii="Arial" w:cs="Arial" w:eastAsia="Arial" w:hAnsi="Arial"/>
                <w:b w:val="false"/>
                <w:bCs w:val="false"/>
                <w:i w:val="false"/>
                <w:iCs w:val="false"/>
                <w:sz w:val="20"/>
                <w:szCs w:val="20"/>
              </w:rPr>
              <w:t xml:space="preserve">4</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20" w:before="20"/>
              <w:jc w:val="left"/>
            </w:pPr>
            <w:r>
              <w:rPr>
                <w:rFonts w:ascii="Arial" w:cs="Arial" w:eastAsia="Arial" w:hAnsi="Arial"/>
                <w:b w:val="false"/>
                <w:bCs w:val="false"/>
                <w:i w:val="false"/>
                <w:iCs w:val="false"/>
                <w:sz w:val="20"/>
                <w:szCs w:val="20"/>
              </w:rPr>
              <w:t xml:space="preserve">Unconstrained</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20" w:before="20"/>
              <w:jc w:val="left"/>
            </w:pPr>
            <w:r>
              <w:rPr>
                <w:rFonts w:ascii="Arial" w:cs="Arial" w:eastAsia="Arial" w:hAnsi="Arial"/>
                <w:b w:val="false"/>
                <w:bCs w:val="false"/>
                <w:i w:val="false"/>
                <w:iCs w:val="false"/>
                <w:sz w:val="20"/>
                <w:szCs w:val="20"/>
              </w:rPr>
              <w:t xml:space="preserve">0.978</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20" w:before="20"/>
              <w:jc w:val="left"/>
            </w:pPr>
            <w:r>
              <w:rPr>
                <w:rFonts w:ascii="Arial" w:cs="Arial" w:eastAsia="Arial" w:hAnsi="Arial"/>
                <w:b w:val="false"/>
                <w:bCs w:val="false"/>
                <w:i w:val="false"/>
                <w:iCs w:val="false"/>
                <w:sz w:val="20"/>
                <w:szCs w:val="20"/>
              </w:rPr>
              <w:t xml:space="preserve">0.427</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20" w:before="20"/>
              <w:jc w:val="left"/>
            </w:pPr>
            <w:r>
              <w:rPr>
                <w:rFonts w:ascii="Arial" w:cs="Arial" w:eastAsia="Arial" w:hAnsi="Arial"/>
                <w:b w:val="false"/>
                <w:bCs w:val="false"/>
                <w:i w:val="false"/>
                <w:iCs w:val="false"/>
                <w:sz w:val="20"/>
                <w:szCs w:val="20"/>
              </w:rPr>
              <w:t xml:space="preserve">0.293</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20" w:before="20"/>
              <w:jc w:val="left"/>
            </w:pPr>
            <w:r>
              <w:rPr>
                <w:rFonts w:ascii="Arial" w:cs="Arial" w:eastAsia="Arial" w:hAnsi="Arial"/>
                <w:b w:val="false"/>
                <w:bCs w:val="false"/>
                <w:i w:val="false"/>
                <w:iCs w:val="false"/>
                <w:sz w:val="20"/>
                <w:szCs w:val="20"/>
              </w:rPr>
              <w:t xml:space="preserve">0.475</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20" w:before="20"/>
              <w:jc w:val="left"/>
            </w:pPr>
            <w:r>
              <w:rPr>
                <w:rFonts w:ascii="Arial" w:cs="Arial" w:eastAsia="Arial" w:hAnsi="Arial"/>
                <w:b w:val="false"/>
                <w:bCs w:val="false"/>
                <w:i w:val="false"/>
                <w:iCs w:val="false"/>
                <w:sz w:val="20"/>
                <w:szCs w:val="20"/>
              </w:rPr>
              <w:t xml:space="preserve">0.0</w:t>
            </w:r>
          </w:p>
        </w:tc>
        <w:tc>
          <w:tcPr>
            <w:tcW w:type="dxa" w:w="1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20" w:before="20"/>
              <w:jc w:val="left"/>
            </w:pPr>
            <w:r>
              <w:rPr>
                <w:rFonts w:ascii="Arial" w:cs="Arial" w:eastAsia="Arial" w:hAnsi="Arial"/>
                <w:b w:val="false"/>
                <w:bCs w:val="false"/>
                <w:i w:val="false"/>
                <w:iCs w:val="false"/>
                <w:sz w:val="20"/>
                <w:szCs w:val="20"/>
              </w:rPr>
              <w:t xml:space="preserve">—</w:t>
            </w:r>
          </w:p>
        </w:tc>
      </w:tr>
      <w:tr>
        <w:tc>
          <w:tcPr>
            <w:tcW w:type="dxa" w:w="500"/>
            <w:tcBorders>
              <w:top w:val="single" w:color="CCCCCC" w:sz="1"/>
              <w:left w:val="single" w:color="CCCCCC" w:sz="1"/>
              <w:bottom w:val="single" w:color="CCCCCC" w:sz="1"/>
              <w:right w:val="single" w:color="CCCCCC" w:sz="1"/>
            </w:tcBorders>
            <w:shd w:fill="D9E2F3" w:val="clear"/>
            <w:tcMar>
              <w:top w:type="dxa" w:w="60"/>
              <w:left w:type="dxa" w:w="120"/>
              <w:bottom w:type="dxa" w:w="60"/>
              <w:right w:type="dxa" w:w="120"/>
            </w:tcMar>
            <w:vAlign w:val="top"/>
          </w:tcPr>
          <w:p>
            <w:pPr>
              <w:spacing w:after="20" w:before="20"/>
              <w:jc w:val="left"/>
            </w:pPr>
            <w:r>
              <w:rPr>
                <w:rFonts w:ascii="Arial" w:cs="Arial" w:eastAsia="Arial" w:hAnsi="Arial"/>
                <w:b w:val="false"/>
                <w:bCs w:val="false"/>
                <w:i w:val="false"/>
                <w:iCs w:val="false"/>
                <w:sz w:val="20"/>
                <w:szCs w:val="20"/>
              </w:rPr>
              <w:t xml:space="preserve">5</w:t>
            </w:r>
          </w:p>
        </w:tc>
        <w:tc>
          <w:tcPr>
            <w:tcW w:type="dxa" w:w="1400"/>
            <w:tcBorders>
              <w:top w:val="single" w:color="CCCCCC" w:sz="1"/>
              <w:left w:val="single" w:color="CCCCCC" w:sz="1"/>
              <w:bottom w:val="single" w:color="CCCCCC" w:sz="1"/>
              <w:right w:val="single" w:color="CCCCCC" w:sz="1"/>
            </w:tcBorders>
            <w:shd w:fill="D9E2F3" w:val="clear"/>
            <w:tcMar>
              <w:top w:type="dxa" w:w="60"/>
              <w:left w:type="dxa" w:w="120"/>
              <w:bottom w:type="dxa" w:w="60"/>
              <w:right w:type="dxa" w:w="120"/>
            </w:tcMar>
            <w:vAlign w:val="top"/>
          </w:tcPr>
          <w:p>
            <w:pPr>
              <w:spacing w:after="20" w:before="20"/>
              <w:jc w:val="left"/>
            </w:pPr>
            <w:r>
              <w:rPr>
                <w:rFonts w:ascii="Arial" w:cs="Arial" w:eastAsia="Arial" w:hAnsi="Arial"/>
                <w:b/>
                <w:bCs/>
                <w:i w:val="false"/>
                <w:iCs w:val="false"/>
                <w:sz w:val="20"/>
                <w:szCs w:val="20"/>
              </w:rPr>
              <w:t xml:space="preserve">Constrained</w:t>
            </w:r>
          </w:p>
        </w:tc>
        <w:tc>
          <w:tcPr>
            <w:tcW w:type="dxa" w:w="1300"/>
            <w:tcBorders>
              <w:top w:val="single" w:color="CCCCCC" w:sz="1"/>
              <w:left w:val="single" w:color="CCCCCC" w:sz="1"/>
              <w:bottom w:val="single" w:color="CCCCCC" w:sz="1"/>
              <w:right w:val="single" w:color="CCCCCC" w:sz="1"/>
            </w:tcBorders>
            <w:shd w:fill="D9E2F3" w:val="clear"/>
            <w:tcMar>
              <w:top w:type="dxa" w:w="60"/>
              <w:left w:type="dxa" w:w="120"/>
              <w:bottom w:type="dxa" w:w="60"/>
              <w:right w:type="dxa" w:w="120"/>
            </w:tcMar>
            <w:vAlign w:val="top"/>
          </w:tcPr>
          <w:p>
            <w:pPr>
              <w:spacing w:after="20" w:before="20"/>
              <w:jc w:val="left"/>
            </w:pPr>
            <w:r>
              <w:rPr>
                <w:rFonts w:ascii="Arial" w:cs="Arial" w:eastAsia="Arial" w:hAnsi="Arial"/>
                <w:b w:val="false"/>
                <w:bCs w:val="false"/>
                <w:i w:val="false"/>
                <w:iCs w:val="false"/>
                <w:sz w:val="20"/>
                <w:szCs w:val="20"/>
              </w:rPr>
              <w:t xml:space="preserve">0.701</w:t>
            </w:r>
          </w:p>
        </w:tc>
        <w:tc>
          <w:tcPr>
            <w:tcW w:type="dxa" w:w="1100"/>
            <w:tcBorders>
              <w:top w:val="single" w:color="CCCCCC" w:sz="1"/>
              <w:left w:val="single" w:color="CCCCCC" w:sz="1"/>
              <w:bottom w:val="single" w:color="CCCCCC" w:sz="1"/>
              <w:right w:val="single" w:color="CCCCCC" w:sz="1"/>
            </w:tcBorders>
            <w:shd w:fill="D9E2F3" w:val="clear"/>
            <w:tcMar>
              <w:top w:type="dxa" w:w="60"/>
              <w:left w:type="dxa" w:w="120"/>
              <w:bottom w:type="dxa" w:w="60"/>
              <w:right w:type="dxa" w:w="120"/>
            </w:tcMar>
            <w:vAlign w:val="top"/>
          </w:tcPr>
          <w:p>
            <w:pPr>
              <w:spacing w:after="20" w:before="20"/>
              <w:jc w:val="left"/>
            </w:pPr>
            <w:r>
              <w:rPr>
                <w:rFonts w:ascii="Arial" w:cs="Arial" w:eastAsia="Arial" w:hAnsi="Arial"/>
                <w:b w:val="false"/>
                <w:bCs w:val="false"/>
                <w:i w:val="false"/>
                <w:iCs w:val="false"/>
                <w:sz w:val="20"/>
                <w:szCs w:val="20"/>
              </w:rPr>
              <w:t xml:space="preserve">0.048</w:t>
            </w:r>
          </w:p>
        </w:tc>
        <w:tc>
          <w:tcPr>
            <w:tcW w:type="dxa" w:w="1300"/>
            <w:tcBorders>
              <w:top w:val="single" w:color="CCCCCC" w:sz="1"/>
              <w:left w:val="single" w:color="CCCCCC" w:sz="1"/>
              <w:bottom w:val="single" w:color="CCCCCC" w:sz="1"/>
              <w:right w:val="single" w:color="CCCCCC" w:sz="1"/>
            </w:tcBorders>
            <w:shd w:fill="D9E2F3" w:val="clear"/>
            <w:tcMar>
              <w:top w:type="dxa" w:w="60"/>
              <w:left w:type="dxa" w:w="120"/>
              <w:bottom w:type="dxa" w:w="60"/>
              <w:right w:type="dxa" w:w="120"/>
            </w:tcMar>
            <w:vAlign w:val="top"/>
          </w:tcPr>
          <w:p>
            <w:pPr>
              <w:spacing w:after="20" w:before="20"/>
              <w:jc w:val="left"/>
            </w:pPr>
            <w:r>
              <w:rPr>
                <w:rFonts w:ascii="Arial" w:cs="Arial" w:eastAsia="Arial" w:hAnsi="Arial"/>
                <w:b w:val="false"/>
                <w:bCs w:val="false"/>
                <w:i w:val="false"/>
                <w:iCs w:val="false"/>
                <w:sz w:val="20"/>
                <w:szCs w:val="20"/>
              </w:rPr>
              <w:t xml:space="preserve">0.668</w:t>
            </w:r>
          </w:p>
        </w:tc>
        <w:tc>
          <w:tcPr>
            <w:tcW w:type="dxa" w:w="1100"/>
            <w:tcBorders>
              <w:top w:val="single" w:color="CCCCCC" w:sz="1"/>
              <w:left w:val="single" w:color="CCCCCC" w:sz="1"/>
              <w:bottom w:val="single" w:color="CCCCCC" w:sz="1"/>
              <w:right w:val="single" w:color="CCCCCC" w:sz="1"/>
            </w:tcBorders>
            <w:shd w:fill="D9E2F3" w:val="clear"/>
            <w:tcMar>
              <w:top w:type="dxa" w:w="60"/>
              <w:left w:type="dxa" w:w="120"/>
              <w:bottom w:type="dxa" w:w="60"/>
              <w:right w:type="dxa" w:w="120"/>
            </w:tcMar>
            <w:vAlign w:val="top"/>
          </w:tcPr>
          <w:p>
            <w:pPr>
              <w:spacing w:after="20" w:before="20"/>
              <w:jc w:val="left"/>
            </w:pPr>
            <w:r>
              <w:rPr>
                <w:rFonts w:ascii="Arial" w:cs="Arial" w:eastAsia="Arial" w:hAnsi="Arial"/>
                <w:b w:val="false"/>
                <w:bCs w:val="false"/>
                <w:i w:val="false"/>
                <w:iCs w:val="false"/>
                <w:sz w:val="20"/>
                <w:szCs w:val="20"/>
              </w:rPr>
              <w:t xml:space="preserve">0.038</w:t>
            </w:r>
          </w:p>
        </w:tc>
        <w:tc>
          <w:tcPr>
            <w:tcW w:type="dxa" w:w="700"/>
            <w:tcBorders>
              <w:top w:val="single" w:color="CCCCCC" w:sz="1"/>
              <w:left w:val="single" w:color="CCCCCC" w:sz="1"/>
              <w:bottom w:val="single" w:color="CCCCCC" w:sz="1"/>
              <w:right w:val="single" w:color="CCCCCC" w:sz="1"/>
            </w:tcBorders>
            <w:shd w:fill="D9E2F3" w:val="clear"/>
            <w:tcMar>
              <w:top w:type="dxa" w:w="60"/>
              <w:left w:type="dxa" w:w="120"/>
              <w:bottom w:type="dxa" w:w="60"/>
              <w:right w:type="dxa" w:w="120"/>
            </w:tcMar>
            <w:vAlign w:val="top"/>
          </w:tcPr>
          <w:p>
            <w:pPr>
              <w:spacing w:after="20" w:before="20"/>
              <w:jc w:val="left"/>
            </w:pPr>
            <w:r>
              <w:rPr>
                <w:rFonts w:ascii="Arial" w:cs="Arial" w:eastAsia="Arial" w:hAnsi="Arial"/>
                <w:b w:val="false"/>
                <w:bCs w:val="false"/>
                <w:i w:val="false"/>
                <w:iCs w:val="false"/>
                <w:sz w:val="20"/>
                <w:szCs w:val="20"/>
              </w:rPr>
              <w:t xml:space="preserve">0.0</w:t>
            </w:r>
          </w:p>
        </w:tc>
        <w:tc>
          <w:tcPr>
            <w:tcW w:type="dxa" w:w="1960"/>
            <w:tcBorders>
              <w:top w:val="single" w:color="CCCCCC" w:sz="1"/>
              <w:left w:val="single" w:color="CCCCCC" w:sz="1"/>
              <w:bottom w:val="single" w:color="CCCCCC" w:sz="1"/>
              <w:right w:val="single" w:color="CCCCCC" w:sz="1"/>
            </w:tcBorders>
            <w:shd w:fill="D9E2F3" w:val="clear"/>
            <w:tcMar>
              <w:top w:type="dxa" w:w="60"/>
              <w:left w:type="dxa" w:w="120"/>
              <w:bottom w:type="dxa" w:w="60"/>
              <w:right w:type="dxa" w:w="120"/>
            </w:tcMar>
            <w:vAlign w:val="top"/>
          </w:tcPr>
          <w:p>
            <w:pPr>
              <w:spacing w:after="20" w:before="20"/>
              <w:jc w:val="left"/>
            </w:pPr>
            <w:r>
              <w:rPr>
                <w:rFonts w:ascii="Arial" w:cs="Arial" w:eastAsia="Arial" w:hAnsi="Arial"/>
                <w:b w:val="false"/>
                <w:bCs w:val="false"/>
                <w:i w:val="false"/>
                <w:iCs w:val="false"/>
                <w:sz w:val="20"/>
                <w:szCs w:val="20"/>
              </w:rPr>
              <w:t xml:space="preserve">—</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20" w:before="20"/>
              <w:jc w:val="left"/>
            </w:pPr>
            <w:r>
              <w:rPr>
                <w:rFonts w:ascii="Arial" w:cs="Arial" w:eastAsia="Arial" w:hAnsi="Arial"/>
                <w:b w:val="false"/>
                <w:bCs w:val="false"/>
                <w:i w:val="false"/>
                <w:iCs w:val="false"/>
                <w:sz w:val="20"/>
                <w:szCs w:val="20"/>
              </w:rPr>
              <w:t xml:space="preserve">5</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20" w:before="20"/>
              <w:jc w:val="left"/>
            </w:pPr>
            <w:r>
              <w:rPr>
                <w:rFonts w:ascii="Arial" w:cs="Arial" w:eastAsia="Arial" w:hAnsi="Arial"/>
                <w:b w:val="false"/>
                <w:bCs w:val="false"/>
                <w:i w:val="false"/>
                <w:iCs w:val="false"/>
                <w:sz w:val="20"/>
                <w:szCs w:val="20"/>
              </w:rPr>
              <w:t xml:space="preserve">Unconstrained</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20" w:before="20"/>
              <w:jc w:val="left"/>
            </w:pPr>
            <w:r>
              <w:rPr>
                <w:rFonts w:ascii="Arial" w:cs="Arial" w:eastAsia="Arial" w:hAnsi="Arial"/>
                <w:b w:val="false"/>
                <w:bCs w:val="false"/>
                <w:i w:val="false"/>
                <w:iCs w:val="false"/>
                <w:sz w:val="20"/>
                <w:szCs w:val="20"/>
              </w:rPr>
              <w:t xml:space="preserve">1.053</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20" w:before="20"/>
              <w:jc w:val="left"/>
            </w:pPr>
            <w:r>
              <w:rPr>
                <w:rFonts w:ascii="Arial" w:cs="Arial" w:eastAsia="Arial" w:hAnsi="Arial"/>
                <w:b w:val="false"/>
                <w:bCs w:val="false"/>
                <w:i w:val="false"/>
                <w:iCs w:val="false"/>
                <w:sz w:val="20"/>
                <w:szCs w:val="20"/>
              </w:rPr>
              <w:t xml:space="preserve">0.782</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20" w:before="20"/>
              <w:jc w:val="left"/>
            </w:pPr>
            <w:r>
              <w:rPr>
                <w:rFonts w:ascii="Arial" w:cs="Arial" w:eastAsia="Arial" w:hAnsi="Arial"/>
                <w:b w:val="false"/>
                <w:bCs w:val="false"/>
                <w:i w:val="false"/>
                <w:iCs w:val="false"/>
                <w:sz w:val="20"/>
                <w:szCs w:val="20"/>
              </w:rPr>
              <w:t xml:space="preserve">0.200</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20" w:before="20"/>
              <w:jc w:val="left"/>
            </w:pPr>
            <w:r>
              <w:rPr>
                <w:rFonts w:ascii="Arial" w:cs="Arial" w:eastAsia="Arial" w:hAnsi="Arial"/>
                <w:b w:val="false"/>
                <w:bCs w:val="false"/>
                <w:i w:val="false"/>
                <w:iCs w:val="false"/>
                <w:sz w:val="20"/>
                <w:szCs w:val="20"/>
              </w:rPr>
              <w:t xml:space="preserve">0.800</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20" w:before="20"/>
              <w:jc w:val="left"/>
            </w:pPr>
            <w:r>
              <w:rPr>
                <w:rFonts w:ascii="Arial" w:cs="Arial" w:eastAsia="Arial" w:hAnsi="Arial"/>
                <w:b w:val="false"/>
                <w:bCs w:val="false"/>
                <w:i w:val="false"/>
                <w:iCs w:val="false"/>
                <w:sz w:val="20"/>
                <w:szCs w:val="20"/>
              </w:rPr>
              <w:t xml:space="preserve">0.0</w:t>
            </w:r>
          </w:p>
        </w:tc>
        <w:tc>
          <w:tcPr>
            <w:tcW w:type="dxa" w:w="1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20" w:before="20"/>
              <w:jc w:val="left"/>
            </w:pPr>
            <w:r>
              <w:rPr>
                <w:rFonts w:ascii="Arial" w:cs="Arial" w:eastAsia="Arial" w:hAnsi="Arial"/>
                <w:b w:val="false"/>
                <w:bCs w:val="false"/>
                <w:i w:val="false"/>
                <w:iCs w:val="false"/>
                <w:sz w:val="20"/>
                <w:szCs w:val="20"/>
              </w:rPr>
              <w:t xml:space="preserve">—</w:t>
            </w:r>
          </w:p>
        </w:tc>
      </w:tr>
      <w:tr>
        <w:tc>
          <w:tcPr>
            <w:tcW w:type="dxa" w:w="500"/>
            <w:tcBorders>
              <w:top w:val="single" w:color="CCCCCC" w:sz="1"/>
              <w:left w:val="single" w:color="CCCCCC" w:sz="1"/>
              <w:bottom w:val="single" w:color="CCCCCC" w:sz="1"/>
              <w:right w:val="single" w:color="CCCCCC" w:sz="1"/>
            </w:tcBorders>
            <w:shd w:fill="D9E2F3" w:val="clear"/>
            <w:tcMar>
              <w:top w:type="dxa" w:w="60"/>
              <w:left w:type="dxa" w:w="120"/>
              <w:bottom w:type="dxa" w:w="60"/>
              <w:right w:type="dxa" w:w="120"/>
            </w:tcMar>
            <w:vAlign w:val="top"/>
          </w:tcPr>
          <w:p>
            <w:pPr>
              <w:spacing w:after="20" w:before="20"/>
              <w:jc w:val="left"/>
            </w:pPr>
            <w:r>
              <w:rPr>
                <w:rFonts w:ascii="Arial" w:cs="Arial" w:eastAsia="Arial" w:hAnsi="Arial"/>
                <w:b w:val="false"/>
                <w:bCs w:val="false"/>
                <w:i w:val="false"/>
                <w:iCs w:val="false"/>
                <w:sz w:val="20"/>
                <w:szCs w:val="20"/>
              </w:rPr>
              <w:t xml:space="preserve">6</w:t>
            </w:r>
          </w:p>
        </w:tc>
        <w:tc>
          <w:tcPr>
            <w:tcW w:type="dxa" w:w="1400"/>
            <w:tcBorders>
              <w:top w:val="single" w:color="CCCCCC" w:sz="1"/>
              <w:left w:val="single" w:color="CCCCCC" w:sz="1"/>
              <w:bottom w:val="single" w:color="CCCCCC" w:sz="1"/>
              <w:right w:val="single" w:color="CCCCCC" w:sz="1"/>
            </w:tcBorders>
            <w:shd w:fill="D9E2F3" w:val="clear"/>
            <w:tcMar>
              <w:top w:type="dxa" w:w="60"/>
              <w:left w:type="dxa" w:w="120"/>
              <w:bottom w:type="dxa" w:w="60"/>
              <w:right w:type="dxa" w:w="120"/>
            </w:tcMar>
            <w:vAlign w:val="top"/>
          </w:tcPr>
          <w:p>
            <w:pPr>
              <w:spacing w:after="20" w:before="20"/>
              <w:jc w:val="left"/>
            </w:pPr>
            <w:r>
              <w:rPr>
                <w:rFonts w:ascii="Arial" w:cs="Arial" w:eastAsia="Arial" w:hAnsi="Arial"/>
                <w:b/>
                <w:bCs/>
                <w:i w:val="false"/>
                <w:iCs w:val="false"/>
                <w:sz w:val="20"/>
                <w:szCs w:val="20"/>
              </w:rPr>
              <w:t xml:space="preserve">Constrained</w:t>
            </w:r>
          </w:p>
        </w:tc>
        <w:tc>
          <w:tcPr>
            <w:tcW w:type="dxa" w:w="1300"/>
            <w:tcBorders>
              <w:top w:val="single" w:color="CCCCCC" w:sz="1"/>
              <w:left w:val="single" w:color="CCCCCC" w:sz="1"/>
              <w:bottom w:val="single" w:color="CCCCCC" w:sz="1"/>
              <w:right w:val="single" w:color="CCCCCC" w:sz="1"/>
            </w:tcBorders>
            <w:shd w:fill="D9E2F3" w:val="clear"/>
            <w:tcMar>
              <w:top w:type="dxa" w:w="60"/>
              <w:left w:type="dxa" w:w="120"/>
              <w:bottom w:type="dxa" w:w="60"/>
              <w:right w:type="dxa" w:w="120"/>
            </w:tcMar>
            <w:vAlign w:val="top"/>
          </w:tcPr>
          <w:p>
            <w:pPr>
              <w:spacing w:after="20" w:before="20"/>
              <w:jc w:val="left"/>
            </w:pPr>
            <w:r>
              <w:rPr>
                <w:rFonts w:ascii="Arial" w:cs="Arial" w:eastAsia="Arial" w:hAnsi="Arial"/>
                <w:b w:val="false"/>
                <w:bCs w:val="false"/>
                <w:i w:val="false"/>
                <w:iCs w:val="false"/>
                <w:sz w:val="20"/>
                <w:szCs w:val="20"/>
              </w:rPr>
              <w:t xml:space="preserve">0.604</w:t>
            </w:r>
          </w:p>
        </w:tc>
        <w:tc>
          <w:tcPr>
            <w:tcW w:type="dxa" w:w="1100"/>
            <w:tcBorders>
              <w:top w:val="single" w:color="CCCCCC" w:sz="1"/>
              <w:left w:val="single" w:color="CCCCCC" w:sz="1"/>
              <w:bottom w:val="single" w:color="CCCCCC" w:sz="1"/>
              <w:right w:val="single" w:color="CCCCCC" w:sz="1"/>
            </w:tcBorders>
            <w:shd w:fill="D9E2F3" w:val="clear"/>
            <w:tcMar>
              <w:top w:type="dxa" w:w="60"/>
              <w:left w:type="dxa" w:w="120"/>
              <w:bottom w:type="dxa" w:w="60"/>
              <w:right w:type="dxa" w:w="120"/>
            </w:tcMar>
            <w:vAlign w:val="top"/>
          </w:tcPr>
          <w:p>
            <w:pPr>
              <w:spacing w:after="20" w:before="20"/>
              <w:jc w:val="left"/>
            </w:pPr>
            <w:r>
              <w:rPr>
                <w:rFonts w:ascii="Arial" w:cs="Arial" w:eastAsia="Arial" w:hAnsi="Arial"/>
                <w:b w:val="false"/>
                <w:bCs w:val="false"/>
                <w:i w:val="false"/>
                <w:iCs w:val="false"/>
                <w:sz w:val="20"/>
                <w:szCs w:val="20"/>
              </w:rPr>
              <w:t xml:space="preserve">0.279</w:t>
            </w:r>
          </w:p>
        </w:tc>
        <w:tc>
          <w:tcPr>
            <w:tcW w:type="dxa" w:w="1300"/>
            <w:tcBorders>
              <w:top w:val="single" w:color="CCCCCC" w:sz="1"/>
              <w:left w:val="single" w:color="CCCCCC" w:sz="1"/>
              <w:bottom w:val="single" w:color="CCCCCC" w:sz="1"/>
              <w:right w:val="single" w:color="CCCCCC" w:sz="1"/>
            </w:tcBorders>
            <w:shd w:fill="D9E2F3" w:val="clear"/>
            <w:tcMar>
              <w:top w:type="dxa" w:w="60"/>
              <w:left w:type="dxa" w:w="120"/>
              <w:bottom w:type="dxa" w:w="60"/>
              <w:right w:type="dxa" w:w="120"/>
            </w:tcMar>
            <w:vAlign w:val="top"/>
          </w:tcPr>
          <w:p>
            <w:pPr>
              <w:spacing w:after="20" w:before="20"/>
              <w:jc w:val="left"/>
            </w:pPr>
            <w:r>
              <w:rPr>
                <w:rFonts w:ascii="Arial" w:cs="Arial" w:eastAsia="Arial" w:hAnsi="Arial"/>
                <w:b w:val="false"/>
                <w:bCs w:val="false"/>
                <w:i w:val="false"/>
                <w:iCs w:val="false"/>
                <w:sz w:val="20"/>
                <w:szCs w:val="20"/>
              </w:rPr>
              <w:t xml:space="preserve">0.816</w:t>
            </w:r>
          </w:p>
        </w:tc>
        <w:tc>
          <w:tcPr>
            <w:tcW w:type="dxa" w:w="1100"/>
            <w:tcBorders>
              <w:top w:val="single" w:color="CCCCCC" w:sz="1"/>
              <w:left w:val="single" w:color="CCCCCC" w:sz="1"/>
              <w:bottom w:val="single" w:color="CCCCCC" w:sz="1"/>
              <w:right w:val="single" w:color="CCCCCC" w:sz="1"/>
            </w:tcBorders>
            <w:shd w:fill="D9E2F3" w:val="clear"/>
            <w:tcMar>
              <w:top w:type="dxa" w:w="60"/>
              <w:left w:type="dxa" w:w="120"/>
              <w:bottom w:type="dxa" w:w="60"/>
              <w:right w:type="dxa" w:w="120"/>
            </w:tcMar>
            <w:vAlign w:val="top"/>
          </w:tcPr>
          <w:p>
            <w:pPr>
              <w:spacing w:after="20" w:before="20"/>
              <w:jc w:val="left"/>
            </w:pPr>
            <w:r>
              <w:rPr>
                <w:rFonts w:ascii="Arial" w:cs="Arial" w:eastAsia="Arial" w:hAnsi="Arial"/>
                <w:b w:val="false"/>
                <w:bCs w:val="false"/>
                <w:i w:val="false"/>
                <w:iCs w:val="false"/>
                <w:sz w:val="20"/>
                <w:szCs w:val="20"/>
              </w:rPr>
              <w:t xml:space="preserve">0.173</w:t>
            </w:r>
          </w:p>
        </w:tc>
        <w:tc>
          <w:tcPr>
            <w:tcW w:type="dxa" w:w="700"/>
            <w:tcBorders>
              <w:top w:val="single" w:color="CCCCCC" w:sz="1"/>
              <w:left w:val="single" w:color="CCCCCC" w:sz="1"/>
              <w:bottom w:val="single" w:color="CCCCCC" w:sz="1"/>
              <w:right w:val="single" w:color="CCCCCC" w:sz="1"/>
            </w:tcBorders>
            <w:shd w:fill="D9E2F3" w:val="clear"/>
            <w:tcMar>
              <w:top w:type="dxa" w:w="60"/>
              <w:left w:type="dxa" w:w="120"/>
              <w:bottom w:type="dxa" w:w="60"/>
              <w:right w:type="dxa" w:w="120"/>
            </w:tcMar>
            <w:vAlign w:val="top"/>
          </w:tcPr>
          <w:p>
            <w:pPr>
              <w:spacing w:after="20" w:before="20"/>
              <w:jc w:val="left"/>
            </w:pPr>
            <w:r>
              <w:rPr>
                <w:rFonts w:ascii="Arial" w:cs="Arial" w:eastAsia="Arial" w:hAnsi="Arial"/>
                <w:b w:val="false"/>
                <w:bCs w:val="false"/>
                <w:i w:val="false"/>
                <w:iCs w:val="false"/>
                <w:sz w:val="20"/>
                <w:szCs w:val="20"/>
              </w:rPr>
              <w:t xml:space="preserve">0.0</w:t>
            </w:r>
          </w:p>
        </w:tc>
        <w:tc>
          <w:tcPr>
            <w:tcW w:type="dxa" w:w="1960"/>
            <w:tcBorders>
              <w:top w:val="single" w:color="CCCCCC" w:sz="1"/>
              <w:left w:val="single" w:color="CCCCCC" w:sz="1"/>
              <w:bottom w:val="single" w:color="CCCCCC" w:sz="1"/>
              <w:right w:val="single" w:color="CCCCCC" w:sz="1"/>
            </w:tcBorders>
            <w:shd w:fill="FCE4D6" w:val="clear"/>
            <w:tcMar>
              <w:top w:type="dxa" w:w="60"/>
              <w:left w:type="dxa" w:w="120"/>
              <w:bottom w:type="dxa" w:w="60"/>
              <w:right w:type="dxa" w:w="120"/>
            </w:tcMar>
            <w:vAlign w:val="top"/>
          </w:tcPr>
          <w:p>
            <w:pPr>
              <w:spacing w:after="20" w:before="20"/>
              <w:jc w:val="left"/>
            </w:pPr>
            <w:r>
              <w:rPr>
                <w:rFonts w:ascii="Arial" w:cs="Arial" w:eastAsia="Arial" w:hAnsi="Arial"/>
                <w:b/>
                <w:bCs/>
                <w:i w:val="false"/>
                <w:iCs w:val="false"/>
                <w:sz w:val="20"/>
                <w:szCs w:val="20"/>
              </w:rPr>
              <w:t xml:space="preserve">[GAMING]</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20" w:before="20"/>
              <w:jc w:val="left"/>
            </w:pPr>
            <w:r>
              <w:rPr>
                <w:rFonts w:ascii="Arial" w:cs="Arial" w:eastAsia="Arial" w:hAnsi="Arial"/>
                <w:b w:val="false"/>
                <w:bCs w:val="false"/>
                <w:i w:val="false"/>
                <w:iCs w:val="false"/>
                <w:sz w:val="20"/>
                <w:szCs w:val="20"/>
              </w:rPr>
              <w:t xml:space="preserve">6</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20" w:before="20"/>
              <w:jc w:val="left"/>
            </w:pPr>
            <w:r>
              <w:rPr>
                <w:rFonts w:ascii="Arial" w:cs="Arial" w:eastAsia="Arial" w:hAnsi="Arial"/>
                <w:b w:val="false"/>
                <w:bCs w:val="false"/>
                <w:i w:val="false"/>
                <w:iCs w:val="false"/>
                <w:sz w:val="20"/>
                <w:szCs w:val="20"/>
              </w:rPr>
              <w:t xml:space="preserve">Unconstrained</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20" w:before="20"/>
              <w:jc w:val="left"/>
            </w:pPr>
            <w:r>
              <w:rPr>
                <w:rFonts w:ascii="Arial" w:cs="Arial" w:eastAsia="Arial" w:hAnsi="Arial"/>
                <w:b w:val="false"/>
                <w:bCs w:val="false"/>
                <w:i w:val="false"/>
                <w:iCs w:val="false"/>
                <w:sz w:val="20"/>
                <w:szCs w:val="20"/>
              </w:rPr>
              <w:t xml:space="preserve">1.078</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20" w:before="20"/>
              <w:jc w:val="left"/>
            </w:pPr>
            <w:r>
              <w:rPr>
                <w:rFonts w:ascii="Arial" w:cs="Arial" w:eastAsia="Arial" w:hAnsi="Arial"/>
                <w:b w:val="false"/>
                <w:bCs w:val="false"/>
                <w:i w:val="false"/>
                <w:iCs w:val="false"/>
                <w:sz w:val="20"/>
                <w:szCs w:val="20"/>
              </w:rPr>
              <w:t xml:space="preserve">0.570</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20" w:before="20"/>
              <w:jc w:val="left"/>
            </w:pPr>
            <w:r>
              <w:rPr>
                <w:rFonts w:ascii="Arial" w:cs="Arial" w:eastAsia="Arial" w:hAnsi="Arial"/>
                <w:b w:val="false"/>
                <w:bCs w:val="false"/>
                <w:i w:val="false"/>
                <w:iCs w:val="false"/>
                <w:sz w:val="20"/>
                <w:szCs w:val="20"/>
              </w:rPr>
              <w:t xml:space="preserve">0.419</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20" w:before="20"/>
              <w:jc w:val="left"/>
            </w:pPr>
            <w:r>
              <w:rPr>
                <w:rFonts w:ascii="Arial" w:cs="Arial" w:eastAsia="Arial" w:hAnsi="Arial"/>
                <w:b w:val="false"/>
                <w:bCs w:val="false"/>
                <w:i w:val="false"/>
                <w:iCs w:val="false"/>
                <w:sz w:val="20"/>
                <w:szCs w:val="20"/>
              </w:rPr>
              <w:t xml:space="preserve">0.604</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20" w:before="20"/>
              <w:jc w:val="left"/>
            </w:pPr>
            <w:r>
              <w:rPr>
                <w:rFonts w:ascii="Arial" w:cs="Arial" w:eastAsia="Arial" w:hAnsi="Arial"/>
                <w:b w:val="false"/>
                <w:bCs w:val="false"/>
                <w:i w:val="false"/>
                <w:iCs w:val="false"/>
                <w:sz w:val="20"/>
                <w:szCs w:val="20"/>
              </w:rPr>
              <w:t xml:space="preserve">0.0</w:t>
            </w:r>
          </w:p>
        </w:tc>
        <w:tc>
          <w:tcPr>
            <w:tcW w:type="dxa" w:w="1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20" w:before="20"/>
              <w:jc w:val="left"/>
            </w:pPr>
            <w:r>
              <w:rPr>
                <w:rFonts w:ascii="Arial" w:cs="Arial" w:eastAsia="Arial" w:hAnsi="Arial"/>
                <w:b w:val="false"/>
                <w:bCs w:val="false"/>
                <w:i w:val="false"/>
                <w:iCs w:val="false"/>
                <w:sz w:val="20"/>
                <w:szCs w:val="20"/>
              </w:rPr>
              <w:t xml:space="preserve">—</w:t>
            </w:r>
          </w:p>
        </w:tc>
      </w:tr>
      <w:tr>
        <w:tc>
          <w:tcPr>
            <w:tcW w:type="dxa" w:w="500"/>
            <w:tcBorders>
              <w:top w:val="single" w:color="CCCCCC" w:sz="1"/>
              <w:left w:val="single" w:color="CCCCCC" w:sz="1"/>
              <w:bottom w:val="single" w:color="CCCCCC" w:sz="1"/>
              <w:right w:val="single" w:color="CCCCCC" w:sz="1"/>
            </w:tcBorders>
            <w:shd w:fill="D9E2F3" w:val="clear"/>
            <w:tcMar>
              <w:top w:type="dxa" w:w="60"/>
              <w:left w:type="dxa" w:w="120"/>
              <w:bottom w:type="dxa" w:w="60"/>
              <w:right w:type="dxa" w:w="120"/>
            </w:tcMar>
            <w:vAlign w:val="top"/>
          </w:tcPr>
          <w:p>
            <w:pPr>
              <w:spacing w:after="20" w:before="20"/>
              <w:jc w:val="left"/>
            </w:pPr>
            <w:r>
              <w:rPr>
                <w:rFonts w:ascii="Arial" w:cs="Arial" w:eastAsia="Arial" w:hAnsi="Arial"/>
                <w:b w:val="false"/>
                <w:bCs w:val="false"/>
                <w:i w:val="false"/>
                <w:iCs w:val="false"/>
                <w:sz w:val="20"/>
                <w:szCs w:val="20"/>
              </w:rPr>
              <w:t xml:space="preserve">7</w:t>
            </w:r>
          </w:p>
        </w:tc>
        <w:tc>
          <w:tcPr>
            <w:tcW w:type="dxa" w:w="1400"/>
            <w:tcBorders>
              <w:top w:val="single" w:color="CCCCCC" w:sz="1"/>
              <w:left w:val="single" w:color="CCCCCC" w:sz="1"/>
              <w:bottom w:val="single" w:color="CCCCCC" w:sz="1"/>
              <w:right w:val="single" w:color="CCCCCC" w:sz="1"/>
            </w:tcBorders>
            <w:shd w:fill="D9E2F3" w:val="clear"/>
            <w:tcMar>
              <w:top w:type="dxa" w:w="60"/>
              <w:left w:type="dxa" w:w="120"/>
              <w:bottom w:type="dxa" w:w="60"/>
              <w:right w:type="dxa" w:w="120"/>
            </w:tcMar>
            <w:vAlign w:val="top"/>
          </w:tcPr>
          <w:p>
            <w:pPr>
              <w:spacing w:after="20" w:before="20"/>
              <w:jc w:val="left"/>
            </w:pPr>
            <w:r>
              <w:rPr>
                <w:rFonts w:ascii="Arial" w:cs="Arial" w:eastAsia="Arial" w:hAnsi="Arial"/>
                <w:b/>
                <w:bCs/>
                <w:i w:val="false"/>
                <w:iCs w:val="false"/>
                <w:sz w:val="20"/>
                <w:szCs w:val="20"/>
              </w:rPr>
              <w:t xml:space="preserve">Constrained</w:t>
            </w:r>
          </w:p>
        </w:tc>
        <w:tc>
          <w:tcPr>
            <w:tcW w:type="dxa" w:w="1300"/>
            <w:tcBorders>
              <w:top w:val="single" w:color="CCCCCC" w:sz="1"/>
              <w:left w:val="single" w:color="CCCCCC" w:sz="1"/>
              <w:bottom w:val="single" w:color="CCCCCC" w:sz="1"/>
              <w:right w:val="single" w:color="CCCCCC" w:sz="1"/>
            </w:tcBorders>
            <w:shd w:fill="D9E2F3" w:val="clear"/>
            <w:tcMar>
              <w:top w:type="dxa" w:w="60"/>
              <w:left w:type="dxa" w:w="120"/>
              <w:bottom w:type="dxa" w:w="60"/>
              <w:right w:type="dxa" w:w="120"/>
            </w:tcMar>
            <w:vAlign w:val="top"/>
          </w:tcPr>
          <w:p>
            <w:pPr>
              <w:spacing w:after="20" w:before="20"/>
              <w:jc w:val="left"/>
            </w:pPr>
            <w:r>
              <w:rPr>
                <w:rFonts w:ascii="Arial" w:cs="Arial" w:eastAsia="Arial" w:hAnsi="Arial"/>
                <w:b w:val="false"/>
                <w:bCs w:val="false"/>
                <w:i w:val="false"/>
                <w:iCs w:val="false"/>
                <w:sz w:val="20"/>
                <w:szCs w:val="20"/>
              </w:rPr>
              <w:t xml:space="preserve">0.254</w:t>
            </w:r>
          </w:p>
        </w:tc>
        <w:tc>
          <w:tcPr>
            <w:tcW w:type="dxa" w:w="1100"/>
            <w:tcBorders>
              <w:top w:val="single" w:color="CCCCCC" w:sz="1"/>
              <w:left w:val="single" w:color="CCCCCC" w:sz="1"/>
              <w:bottom w:val="single" w:color="CCCCCC" w:sz="1"/>
              <w:right w:val="single" w:color="CCCCCC" w:sz="1"/>
            </w:tcBorders>
            <w:shd w:fill="D9E2F3" w:val="clear"/>
            <w:tcMar>
              <w:top w:type="dxa" w:w="60"/>
              <w:left w:type="dxa" w:w="120"/>
              <w:bottom w:type="dxa" w:w="60"/>
              <w:right w:type="dxa" w:w="120"/>
            </w:tcMar>
            <w:vAlign w:val="top"/>
          </w:tcPr>
          <w:p>
            <w:pPr>
              <w:spacing w:after="20" w:before="20"/>
              <w:jc w:val="left"/>
            </w:pPr>
            <w:r>
              <w:rPr>
                <w:rFonts w:ascii="Arial" w:cs="Arial" w:eastAsia="Arial" w:hAnsi="Arial"/>
                <w:b w:val="false"/>
                <w:bCs w:val="false"/>
                <w:i w:val="false"/>
                <w:iCs w:val="false"/>
                <w:sz w:val="20"/>
                <w:szCs w:val="20"/>
              </w:rPr>
              <w:t xml:space="preserve">0.053</w:t>
            </w:r>
          </w:p>
        </w:tc>
        <w:tc>
          <w:tcPr>
            <w:tcW w:type="dxa" w:w="1300"/>
            <w:tcBorders>
              <w:top w:val="single" w:color="CCCCCC" w:sz="1"/>
              <w:left w:val="single" w:color="CCCCCC" w:sz="1"/>
              <w:bottom w:val="single" w:color="CCCCCC" w:sz="1"/>
              <w:right w:val="single" w:color="CCCCCC" w:sz="1"/>
            </w:tcBorders>
            <w:shd w:fill="D9E2F3" w:val="clear"/>
            <w:tcMar>
              <w:top w:type="dxa" w:w="60"/>
              <w:left w:type="dxa" w:w="120"/>
              <w:bottom w:type="dxa" w:w="60"/>
              <w:right w:type="dxa" w:w="120"/>
            </w:tcMar>
            <w:vAlign w:val="top"/>
          </w:tcPr>
          <w:p>
            <w:pPr>
              <w:spacing w:after="20" w:before="20"/>
              <w:jc w:val="left"/>
            </w:pPr>
            <w:r>
              <w:rPr>
                <w:rFonts w:ascii="Arial" w:cs="Arial" w:eastAsia="Arial" w:hAnsi="Arial"/>
                <w:b w:val="false"/>
                <w:bCs w:val="false"/>
                <w:i w:val="false"/>
                <w:iCs w:val="false"/>
                <w:sz w:val="20"/>
                <w:szCs w:val="20"/>
              </w:rPr>
              <w:t xml:space="preserve">0.943</w:t>
            </w:r>
          </w:p>
        </w:tc>
        <w:tc>
          <w:tcPr>
            <w:tcW w:type="dxa" w:w="1100"/>
            <w:tcBorders>
              <w:top w:val="single" w:color="CCCCCC" w:sz="1"/>
              <w:left w:val="single" w:color="CCCCCC" w:sz="1"/>
              <w:bottom w:val="single" w:color="CCCCCC" w:sz="1"/>
              <w:right w:val="single" w:color="CCCCCC" w:sz="1"/>
            </w:tcBorders>
            <w:shd w:fill="D9E2F3" w:val="clear"/>
            <w:tcMar>
              <w:top w:type="dxa" w:w="60"/>
              <w:left w:type="dxa" w:w="120"/>
              <w:bottom w:type="dxa" w:w="60"/>
              <w:right w:type="dxa" w:w="120"/>
            </w:tcMar>
            <w:vAlign w:val="top"/>
          </w:tcPr>
          <w:p>
            <w:pPr>
              <w:spacing w:after="20" w:before="20"/>
              <w:jc w:val="left"/>
            </w:pPr>
            <w:r>
              <w:rPr>
                <w:rFonts w:ascii="Arial" w:cs="Arial" w:eastAsia="Arial" w:hAnsi="Arial"/>
                <w:b w:val="false"/>
                <w:bCs w:val="false"/>
                <w:i w:val="false"/>
                <w:iCs w:val="false"/>
                <w:sz w:val="20"/>
                <w:szCs w:val="20"/>
              </w:rPr>
              <w:t xml:space="preserve">0.016</w:t>
            </w:r>
          </w:p>
        </w:tc>
        <w:tc>
          <w:tcPr>
            <w:tcW w:type="dxa" w:w="700"/>
            <w:tcBorders>
              <w:top w:val="single" w:color="CCCCCC" w:sz="1"/>
              <w:left w:val="single" w:color="CCCCCC" w:sz="1"/>
              <w:bottom w:val="single" w:color="CCCCCC" w:sz="1"/>
              <w:right w:val="single" w:color="CCCCCC" w:sz="1"/>
            </w:tcBorders>
            <w:shd w:fill="D9E2F3" w:val="clear"/>
            <w:tcMar>
              <w:top w:type="dxa" w:w="60"/>
              <w:left w:type="dxa" w:w="120"/>
              <w:bottom w:type="dxa" w:w="60"/>
              <w:right w:type="dxa" w:w="120"/>
            </w:tcMar>
            <w:vAlign w:val="top"/>
          </w:tcPr>
          <w:p>
            <w:pPr>
              <w:spacing w:after="20" w:before="20"/>
              <w:jc w:val="left"/>
            </w:pPr>
            <w:r>
              <w:rPr>
                <w:rFonts w:ascii="Arial" w:cs="Arial" w:eastAsia="Arial" w:hAnsi="Arial"/>
                <w:b w:val="false"/>
                <w:bCs w:val="false"/>
                <w:i w:val="false"/>
                <w:iCs w:val="false"/>
                <w:sz w:val="20"/>
                <w:szCs w:val="20"/>
              </w:rPr>
              <w:t xml:space="preserve">0.0</w:t>
            </w:r>
          </w:p>
        </w:tc>
        <w:tc>
          <w:tcPr>
            <w:tcW w:type="dxa" w:w="1960"/>
            <w:tcBorders>
              <w:top w:val="single" w:color="CCCCCC" w:sz="1"/>
              <w:left w:val="single" w:color="CCCCCC" w:sz="1"/>
              <w:bottom w:val="single" w:color="CCCCCC" w:sz="1"/>
              <w:right w:val="single" w:color="CCCCCC" w:sz="1"/>
            </w:tcBorders>
            <w:shd w:fill="FCE4D6" w:val="clear"/>
            <w:tcMar>
              <w:top w:type="dxa" w:w="60"/>
              <w:left w:type="dxa" w:w="120"/>
              <w:bottom w:type="dxa" w:w="60"/>
              <w:right w:type="dxa" w:w="120"/>
            </w:tcMar>
            <w:vAlign w:val="top"/>
          </w:tcPr>
          <w:p>
            <w:pPr>
              <w:spacing w:after="20" w:before="20"/>
              <w:jc w:val="left"/>
            </w:pPr>
            <w:r>
              <w:rPr>
                <w:rFonts w:ascii="Arial" w:cs="Arial" w:eastAsia="Arial" w:hAnsi="Arial"/>
                <w:b/>
                <w:bCs/>
                <w:i w:val="false"/>
                <w:iCs w:val="false"/>
                <w:sz w:val="20"/>
                <w:szCs w:val="20"/>
              </w:rPr>
              <w:t xml:space="preserve">[GAMING]</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20" w:before="20"/>
              <w:jc w:val="left"/>
            </w:pPr>
            <w:r>
              <w:rPr>
                <w:rFonts w:ascii="Arial" w:cs="Arial" w:eastAsia="Arial" w:hAnsi="Arial"/>
                <w:b w:val="false"/>
                <w:bCs w:val="false"/>
                <w:i w:val="false"/>
                <w:iCs w:val="false"/>
                <w:sz w:val="20"/>
                <w:szCs w:val="20"/>
              </w:rPr>
              <w:t xml:space="preserve">7</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20" w:before="20"/>
              <w:jc w:val="left"/>
            </w:pPr>
            <w:r>
              <w:rPr>
                <w:rFonts w:ascii="Arial" w:cs="Arial" w:eastAsia="Arial" w:hAnsi="Arial"/>
                <w:b w:val="false"/>
                <w:bCs w:val="false"/>
                <w:i w:val="false"/>
                <w:iCs w:val="false"/>
                <w:sz w:val="20"/>
                <w:szCs w:val="20"/>
              </w:rPr>
              <w:t xml:space="preserve">Unconstrained</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20" w:before="20"/>
              <w:jc w:val="left"/>
            </w:pPr>
            <w:r>
              <w:rPr>
                <w:rFonts w:ascii="Arial" w:cs="Arial" w:eastAsia="Arial" w:hAnsi="Arial"/>
                <w:b w:val="false"/>
                <w:bCs w:val="false"/>
                <w:i w:val="false"/>
                <w:iCs w:val="false"/>
                <w:sz w:val="20"/>
                <w:szCs w:val="20"/>
              </w:rPr>
              <w:t xml:space="preserve">0.988</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20" w:before="20"/>
              <w:jc w:val="left"/>
            </w:pPr>
            <w:r>
              <w:rPr>
                <w:rFonts w:ascii="Arial" w:cs="Arial" w:eastAsia="Arial" w:hAnsi="Arial"/>
                <w:b w:val="false"/>
                <w:bCs w:val="false"/>
                <w:i w:val="false"/>
                <w:iCs w:val="false"/>
                <w:sz w:val="20"/>
                <w:szCs w:val="20"/>
              </w:rPr>
              <w:t xml:space="preserve">0.603</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20" w:before="20"/>
              <w:jc w:val="left"/>
            </w:pPr>
            <w:r>
              <w:rPr>
                <w:rFonts w:ascii="Arial" w:cs="Arial" w:eastAsia="Arial" w:hAnsi="Arial"/>
                <w:b w:val="false"/>
                <w:bCs w:val="false"/>
                <w:i w:val="false"/>
                <w:iCs w:val="false"/>
                <w:sz w:val="20"/>
                <w:szCs w:val="20"/>
              </w:rPr>
              <w:t xml:space="preserve">0.178</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20" w:before="20"/>
              <w:jc w:val="left"/>
            </w:pPr>
            <w:r>
              <w:rPr>
                <w:rFonts w:ascii="Arial" w:cs="Arial" w:eastAsia="Arial" w:hAnsi="Arial"/>
                <w:b w:val="false"/>
                <w:bCs w:val="false"/>
                <w:i w:val="false"/>
                <w:iCs w:val="false"/>
                <w:sz w:val="20"/>
                <w:szCs w:val="20"/>
              </w:rPr>
              <w:t xml:space="preserve">0.620</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20" w:before="20"/>
              <w:jc w:val="left"/>
            </w:pPr>
            <w:r>
              <w:rPr>
                <w:rFonts w:ascii="Arial" w:cs="Arial" w:eastAsia="Arial" w:hAnsi="Arial"/>
                <w:b w:val="false"/>
                <w:bCs w:val="false"/>
                <w:i w:val="false"/>
                <w:iCs w:val="false"/>
                <w:sz w:val="20"/>
                <w:szCs w:val="20"/>
              </w:rPr>
              <w:t xml:space="preserve">0.0</w:t>
            </w:r>
          </w:p>
        </w:tc>
        <w:tc>
          <w:tcPr>
            <w:tcW w:type="dxa" w:w="1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20" w:before="20"/>
              <w:jc w:val="left"/>
            </w:pPr>
            <w:r>
              <w:rPr>
                <w:rFonts w:ascii="Arial" w:cs="Arial" w:eastAsia="Arial" w:hAnsi="Arial"/>
                <w:b w:val="false"/>
                <w:bCs w:val="false"/>
                <w:i w:val="false"/>
                <w:iCs w:val="false"/>
                <w:sz w:val="20"/>
                <w:szCs w:val="20"/>
              </w:rPr>
              <w:t xml:space="preserve">—</w:t>
            </w:r>
          </w:p>
        </w:tc>
      </w:tr>
      <w:tr>
        <w:tc>
          <w:tcPr>
            <w:tcW w:type="dxa" w:w="500"/>
            <w:tcBorders>
              <w:top w:val="single" w:color="CCCCCC" w:sz="1"/>
              <w:left w:val="single" w:color="CCCCCC" w:sz="1"/>
              <w:bottom w:val="single" w:color="CCCCCC" w:sz="1"/>
              <w:right w:val="single" w:color="CCCCCC" w:sz="1"/>
            </w:tcBorders>
            <w:shd w:fill="D9E2F3" w:val="clear"/>
            <w:tcMar>
              <w:top w:type="dxa" w:w="60"/>
              <w:left w:type="dxa" w:w="120"/>
              <w:bottom w:type="dxa" w:w="60"/>
              <w:right w:type="dxa" w:w="120"/>
            </w:tcMar>
            <w:vAlign w:val="top"/>
          </w:tcPr>
          <w:p>
            <w:pPr>
              <w:spacing w:after="20" w:before="20"/>
              <w:jc w:val="left"/>
            </w:pPr>
            <w:r>
              <w:rPr>
                <w:rFonts w:ascii="Arial" w:cs="Arial" w:eastAsia="Arial" w:hAnsi="Arial"/>
                <w:b w:val="false"/>
                <w:bCs w:val="false"/>
                <w:i w:val="false"/>
                <w:iCs w:val="false"/>
                <w:sz w:val="20"/>
                <w:szCs w:val="20"/>
              </w:rPr>
              <w:t xml:space="preserve">8</w:t>
            </w:r>
          </w:p>
        </w:tc>
        <w:tc>
          <w:tcPr>
            <w:tcW w:type="dxa" w:w="1400"/>
            <w:tcBorders>
              <w:top w:val="single" w:color="CCCCCC" w:sz="1"/>
              <w:left w:val="single" w:color="CCCCCC" w:sz="1"/>
              <w:bottom w:val="single" w:color="CCCCCC" w:sz="1"/>
              <w:right w:val="single" w:color="CCCCCC" w:sz="1"/>
            </w:tcBorders>
            <w:shd w:fill="D9E2F3" w:val="clear"/>
            <w:tcMar>
              <w:top w:type="dxa" w:w="60"/>
              <w:left w:type="dxa" w:w="120"/>
              <w:bottom w:type="dxa" w:w="60"/>
              <w:right w:type="dxa" w:w="120"/>
            </w:tcMar>
            <w:vAlign w:val="top"/>
          </w:tcPr>
          <w:p>
            <w:pPr>
              <w:spacing w:after="20" w:before="20"/>
              <w:jc w:val="left"/>
            </w:pPr>
            <w:r>
              <w:rPr>
                <w:rFonts w:ascii="Arial" w:cs="Arial" w:eastAsia="Arial" w:hAnsi="Arial"/>
                <w:b/>
                <w:bCs/>
                <w:i w:val="false"/>
                <w:iCs w:val="false"/>
                <w:sz w:val="20"/>
                <w:szCs w:val="20"/>
              </w:rPr>
              <w:t xml:space="preserve">Constrained</w:t>
            </w:r>
          </w:p>
        </w:tc>
        <w:tc>
          <w:tcPr>
            <w:tcW w:type="dxa" w:w="1300"/>
            <w:tcBorders>
              <w:top w:val="single" w:color="CCCCCC" w:sz="1"/>
              <w:left w:val="single" w:color="CCCCCC" w:sz="1"/>
              <w:bottom w:val="single" w:color="CCCCCC" w:sz="1"/>
              <w:right w:val="single" w:color="CCCCCC" w:sz="1"/>
            </w:tcBorders>
            <w:shd w:fill="D9E2F3" w:val="clear"/>
            <w:tcMar>
              <w:top w:type="dxa" w:w="60"/>
              <w:left w:type="dxa" w:w="120"/>
              <w:bottom w:type="dxa" w:w="60"/>
              <w:right w:type="dxa" w:w="120"/>
            </w:tcMar>
            <w:vAlign w:val="top"/>
          </w:tcPr>
          <w:p>
            <w:pPr>
              <w:spacing w:after="20" w:before="20"/>
              <w:jc w:val="left"/>
            </w:pPr>
            <w:r>
              <w:rPr>
                <w:rFonts w:ascii="Arial" w:cs="Arial" w:eastAsia="Arial" w:hAnsi="Arial"/>
                <w:b w:val="false"/>
                <w:bCs w:val="false"/>
                <w:i w:val="false"/>
                <w:iCs w:val="false"/>
                <w:sz w:val="20"/>
                <w:szCs w:val="20"/>
              </w:rPr>
              <w:t xml:space="preserve">0.810</w:t>
            </w:r>
          </w:p>
        </w:tc>
        <w:tc>
          <w:tcPr>
            <w:tcW w:type="dxa" w:w="1100"/>
            <w:tcBorders>
              <w:top w:val="single" w:color="CCCCCC" w:sz="1"/>
              <w:left w:val="single" w:color="CCCCCC" w:sz="1"/>
              <w:bottom w:val="single" w:color="CCCCCC" w:sz="1"/>
              <w:right w:val="single" w:color="CCCCCC" w:sz="1"/>
            </w:tcBorders>
            <w:shd w:fill="D9E2F3" w:val="clear"/>
            <w:tcMar>
              <w:top w:type="dxa" w:w="60"/>
              <w:left w:type="dxa" w:w="120"/>
              <w:bottom w:type="dxa" w:w="60"/>
              <w:right w:type="dxa" w:w="120"/>
            </w:tcMar>
            <w:vAlign w:val="top"/>
          </w:tcPr>
          <w:p>
            <w:pPr>
              <w:spacing w:after="20" w:before="20"/>
              <w:jc w:val="left"/>
            </w:pPr>
            <w:r>
              <w:rPr>
                <w:rFonts w:ascii="Arial" w:cs="Arial" w:eastAsia="Arial" w:hAnsi="Arial"/>
                <w:b w:val="false"/>
                <w:bCs w:val="false"/>
                <w:i w:val="false"/>
                <w:iCs w:val="false"/>
                <w:sz w:val="20"/>
                <w:szCs w:val="20"/>
              </w:rPr>
              <w:t xml:space="preserve">0.705</w:t>
            </w:r>
          </w:p>
        </w:tc>
        <w:tc>
          <w:tcPr>
            <w:tcW w:type="dxa" w:w="1300"/>
            <w:tcBorders>
              <w:top w:val="single" w:color="CCCCCC" w:sz="1"/>
              <w:left w:val="single" w:color="CCCCCC" w:sz="1"/>
              <w:bottom w:val="single" w:color="CCCCCC" w:sz="1"/>
              <w:right w:val="single" w:color="CCCCCC" w:sz="1"/>
            </w:tcBorders>
            <w:shd w:fill="D9E2F3" w:val="clear"/>
            <w:tcMar>
              <w:top w:type="dxa" w:w="60"/>
              <w:left w:type="dxa" w:w="120"/>
              <w:bottom w:type="dxa" w:w="60"/>
              <w:right w:type="dxa" w:w="120"/>
            </w:tcMar>
            <w:vAlign w:val="top"/>
          </w:tcPr>
          <w:p>
            <w:pPr>
              <w:spacing w:after="20" w:before="20"/>
              <w:jc w:val="left"/>
            </w:pPr>
            <w:r>
              <w:rPr>
                <w:rFonts w:ascii="Arial" w:cs="Arial" w:eastAsia="Arial" w:hAnsi="Arial"/>
                <w:b w:val="false"/>
                <w:bCs w:val="false"/>
                <w:i w:val="false"/>
                <w:iCs w:val="false"/>
                <w:sz w:val="20"/>
                <w:szCs w:val="20"/>
              </w:rPr>
              <w:t xml:space="preserve">0.668</w:t>
            </w:r>
          </w:p>
        </w:tc>
        <w:tc>
          <w:tcPr>
            <w:tcW w:type="dxa" w:w="1100"/>
            <w:tcBorders>
              <w:top w:val="single" w:color="CCCCCC" w:sz="1"/>
              <w:left w:val="single" w:color="CCCCCC" w:sz="1"/>
              <w:bottom w:val="single" w:color="CCCCCC" w:sz="1"/>
              <w:right w:val="single" w:color="CCCCCC" w:sz="1"/>
            </w:tcBorders>
            <w:shd w:fill="D9E2F3" w:val="clear"/>
            <w:tcMar>
              <w:top w:type="dxa" w:w="60"/>
              <w:left w:type="dxa" w:w="120"/>
              <w:bottom w:type="dxa" w:w="60"/>
              <w:right w:type="dxa" w:w="120"/>
            </w:tcMar>
            <w:vAlign w:val="top"/>
          </w:tcPr>
          <w:p>
            <w:pPr>
              <w:spacing w:after="20" w:before="20"/>
              <w:jc w:val="left"/>
            </w:pPr>
            <w:r>
              <w:rPr>
                <w:rFonts w:ascii="Arial" w:cs="Arial" w:eastAsia="Arial" w:hAnsi="Arial"/>
                <w:b w:val="false"/>
                <w:bCs w:val="false"/>
                <w:i w:val="false"/>
                <w:iCs w:val="false"/>
                <w:sz w:val="20"/>
                <w:szCs w:val="20"/>
              </w:rPr>
              <w:t xml:space="preserve">0.535</w:t>
            </w:r>
          </w:p>
        </w:tc>
        <w:tc>
          <w:tcPr>
            <w:tcW w:type="dxa" w:w="700"/>
            <w:tcBorders>
              <w:top w:val="single" w:color="CCCCCC" w:sz="1"/>
              <w:left w:val="single" w:color="CCCCCC" w:sz="1"/>
              <w:bottom w:val="single" w:color="CCCCCC" w:sz="1"/>
              <w:right w:val="single" w:color="CCCCCC" w:sz="1"/>
            </w:tcBorders>
            <w:shd w:fill="D9E2F3" w:val="clear"/>
            <w:tcMar>
              <w:top w:type="dxa" w:w="60"/>
              <w:left w:type="dxa" w:w="120"/>
              <w:bottom w:type="dxa" w:w="60"/>
              <w:right w:type="dxa" w:w="120"/>
            </w:tcMar>
            <w:vAlign w:val="top"/>
          </w:tcPr>
          <w:p>
            <w:pPr>
              <w:spacing w:after="20" w:before="20"/>
              <w:jc w:val="left"/>
            </w:pPr>
            <w:r>
              <w:rPr>
                <w:rFonts w:ascii="Arial" w:cs="Arial" w:eastAsia="Arial" w:hAnsi="Arial"/>
                <w:b w:val="false"/>
                <w:bCs w:val="false"/>
                <w:i w:val="false"/>
                <w:iCs w:val="false"/>
                <w:sz w:val="20"/>
                <w:szCs w:val="20"/>
              </w:rPr>
              <w:t xml:space="preserve">0.0</w:t>
            </w:r>
          </w:p>
        </w:tc>
        <w:tc>
          <w:tcPr>
            <w:tcW w:type="dxa" w:w="1960"/>
            <w:tcBorders>
              <w:top w:val="single" w:color="CCCCCC" w:sz="1"/>
              <w:left w:val="single" w:color="CCCCCC" w:sz="1"/>
              <w:bottom w:val="single" w:color="CCCCCC" w:sz="1"/>
              <w:right w:val="single" w:color="CCCCCC" w:sz="1"/>
            </w:tcBorders>
            <w:shd w:fill="D9E2F3" w:val="clear"/>
            <w:tcMar>
              <w:top w:type="dxa" w:w="60"/>
              <w:left w:type="dxa" w:w="120"/>
              <w:bottom w:type="dxa" w:w="60"/>
              <w:right w:type="dxa" w:w="120"/>
            </w:tcMar>
            <w:vAlign w:val="top"/>
          </w:tcPr>
          <w:p>
            <w:pPr>
              <w:spacing w:after="20" w:before="20"/>
              <w:jc w:val="left"/>
            </w:pPr>
            <w:r>
              <w:rPr>
                <w:rFonts w:ascii="Arial" w:cs="Arial" w:eastAsia="Arial" w:hAnsi="Arial"/>
                <w:b w:val="false"/>
                <w:bCs w:val="false"/>
                <w:i w:val="false"/>
                <w:iCs w:val="false"/>
                <w:sz w:val="20"/>
                <w:szCs w:val="20"/>
              </w:rPr>
              <w:t xml:space="preserve">—</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20" w:before="20"/>
              <w:jc w:val="left"/>
            </w:pPr>
            <w:r>
              <w:rPr>
                <w:rFonts w:ascii="Arial" w:cs="Arial" w:eastAsia="Arial" w:hAnsi="Arial"/>
                <w:b w:val="false"/>
                <w:bCs w:val="false"/>
                <w:i w:val="false"/>
                <w:iCs w:val="false"/>
                <w:sz w:val="20"/>
                <w:szCs w:val="20"/>
              </w:rPr>
              <w:t xml:space="preserve">8</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20" w:before="20"/>
              <w:jc w:val="left"/>
            </w:pPr>
            <w:r>
              <w:rPr>
                <w:rFonts w:ascii="Arial" w:cs="Arial" w:eastAsia="Arial" w:hAnsi="Arial"/>
                <w:b w:val="false"/>
                <w:bCs w:val="false"/>
                <w:i w:val="false"/>
                <w:iCs w:val="false"/>
                <w:sz w:val="20"/>
                <w:szCs w:val="20"/>
              </w:rPr>
              <w:t xml:space="preserve">Unconstrained</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20" w:before="20"/>
              <w:jc w:val="left"/>
            </w:pPr>
            <w:r>
              <w:rPr>
                <w:rFonts w:ascii="Arial" w:cs="Arial" w:eastAsia="Arial" w:hAnsi="Arial"/>
                <w:b w:val="false"/>
                <w:bCs w:val="false"/>
                <w:i w:val="false"/>
                <w:iCs w:val="false"/>
                <w:sz w:val="20"/>
                <w:szCs w:val="20"/>
              </w:rPr>
              <w:t xml:space="preserve">0.999</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20" w:before="20"/>
              <w:jc w:val="left"/>
            </w:pPr>
            <w:r>
              <w:rPr>
                <w:rFonts w:ascii="Arial" w:cs="Arial" w:eastAsia="Arial" w:hAnsi="Arial"/>
                <w:b w:val="false"/>
                <w:bCs w:val="false"/>
                <w:i w:val="false"/>
                <w:iCs w:val="false"/>
                <w:sz w:val="20"/>
                <w:szCs w:val="20"/>
              </w:rPr>
              <w:t xml:space="preserve">0.885</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20" w:before="20"/>
              <w:jc w:val="left"/>
            </w:pPr>
            <w:r>
              <w:rPr>
                <w:rFonts w:ascii="Arial" w:cs="Arial" w:eastAsia="Arial" w:hAnsi="Arial"/>
                <w:b w:val="false"/>
                <w:bCs w:val="false"/>
                <w:i w:val="false"/>
                <w:iCs w:val="false"/>
                <w:sz w:val="20"/>
                <w:szCs w:val="20"/>
              </w:rPr>
              <w:t xml:space="preserve">0.144</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20" w:before="20"/>
              <w:jc w:val="left"/>
            </w:pPr>
            <w:r>
              <w:rPr>
                <w:rFonts w:ascii="Arial" w:cs="Arial" w:eastAsia="Arial" w:hAnsi="Arial"/>
                <w:b w:val="false"/>
                <w:bCs w:val="false"/>
                <w:i w:val="false"/>
                <w:iCs w:val="false"/>
                <w:sz w:val="20"/>
                <w:szCs w:val="20"/>
              </w:rPr>
              <w:t xml:space="preserve">0.862</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20" w:before="20"/>
              <w:jc w:val="left"/>
            </w:pPr>
            <w:r>
              <w:rPr>
                <w:rFonts w:ascii="Arial" w:cs="Arial" w:eastAsia="Arial" w:hAnsi="Arial"/>
                <w:b w:val="false"/>
                <w:bCs w:val="false"/>
                <w:i w:val="false"/>
                <w:iCs w:val="false"/>
                <w:sz w:val="20"/>
                <w:szCs w:val="20"/>
              </w:rPr>
              <w:t xml:space="preserve">0.0</w:t>
            </w:r>
          </w:p>
        </w:tc>
        <w:tc>
          <w:tcPr>
            <w:tcW w:type="dxa" w:w="1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20" w:before="20"/>
              <w:jc w:val="left"/>
            </w:pPr>
            <w:r>
              <w:rPr>
                <w:rFonts w:ascii="Arial" w:cs="Arial" w:eastAsia="Arial" w:hAnsi="Arial"/>
                <w:b w:val="false"/>
                <w:bCs w:val="false"/>
                <w:i w:val="false"/>
                <w:iCs w:val="false"/>
                <w:sz w:val="20"/>
                <w:szCs w:val="20"/>
              </w:rPr>
              <w:t xml:space="preserve">—</w:t>
            </w:r>
          </w:p>
        </w:tc>
      </w:tr>
      <w:tr>
        <w:tc>
          <w:tcPr>
            <w:tcW w:type="dxa" w:w="500"/>
            <w:tcBorders>
              <w:top w:val="single" w:color="CCCCCC" w:sz="1"/>
              <w:left w:val="single" w:color="CCCCCC" w:sz="1"/>
              <w:bottom w:val="single" w:color="CCCCCC" w:sz="1"/>
              <w:right w:val="single" w:color="CCCCCC" w:sz="1"/>
            </w:tcBorders>
            <w:shd w:fill="D9E2F3" w:val="clear"/>
            <w:tcMar>
              <w:top w:type="dxa" w:w="60"/>
              <w:left w:type="dxa" w:w="120"/>
              <w:bottom w:type="dxa" w:w="60"/>
              <w:right w:type="dxa" w:w="120"/>
            </w:tcMar>
            <w:vAlign w:val="top"/>
          </w:tcPr>
          <w:p>
            <w:pPr>
              <w:spacing w:after="20" w:before="20"/>
              <w:jc w:val="left"/>
            </w:pPr>
            <w:r>
              <w:rPr>
                <w:rFonts w:ascii="Arial" w:cs="Arial" w:eastAsia="Arial" w:hAnsi="Arial"/>
                <w:b w:val="false"/>
                <w:bCs w:val="false"/>
                <w:i w:val="false"/>
                <w:iCs w:val="false"/>
                <w:sz w:val="20"/>
                <w:szCs w:val="20"/>
              </w:rPr>
              <w:t xml:space="preserve">9</w:t>
            </w:r>
          </w:p>
        </w:tc>
        <w:tc>
          <w:tcPr>
            <w:tcW w:type="dxa" w:w="1400"/>
            <w:tcBorders>
              <w:top w:val="single" w:color="CCCCCC" w:sz="1"/>
              <w:left w:val="single" w:color="CCCCCC" w:sz="1"/>
              <w:bottom w:val="single" w:color="CCCCCC" w:sz="1"/>
              <w:right w:val="single" w:color="CCCCCC" w:sz="1"/>
            </w:tcBorders>
            <w:shd w:fill="D9E2F3" w:val="clear"/>
            <w:tcMar>
              <w:top w:type="dxa" w:w="60"/>
              <w:left w:type="dxa" w:w="120"/>
              <w:bottom w:type="dxa" w:w="60"/>
              <w:right w:type="dxa" w:w="120"/>
            </w:tcMar>
            <w:vAlign w:val="top"/>
          </w:tcPr>
          <w:p>
            <w:pPr>
              <w:spacing w:after="20" w:before="20"/>
              <w:jc w:val="left"/>
            </w:pPr>
            <w:r>
              <w:rPr>
                <w:rFonts w:ascii="Arial" w:cs="Arial" w:eastAsia="Arial" w:hAnsi="Arial"/>
                <w:b/>
                <w:bCs/>
                <w:i w:val="false"/>
                <w:iCs w:val="false"/>
                <w:sz w:val="20"/>
                <w:szCs w:val="20"/>
              </w:rPr>
              <w:t xml:space="preserve">Constrained</w:t>
            </w:r>
          </w:p>
        </w:tc>
        <w:tc>
          <w:tcPr>
            <w:tcW w:type="dxa" w:w="1300"/>
            <w:tcBorders>
              <w:top w:val="single" w:color="CCCCCC" w:sz="1"/>
              <w:left w:val="single" w:color="CCCCCC" w:sz="1"/>
              <w:bottom w:val="single" w:color="CCCCCC" w:sz="1"/>
              <w:right w:val="single" w:color="CCCCCC" w:sz="1"/>
            </w:tcBorders>
            <w:shd w:fill="D9E2F3" w:val="clear"/>
            <w:tcMar>
              <w:top w:type="dxa" w:w="60"/>
              <w:left w:type="dxa" w:w="120"/>
              <w:bottom w:type="dxa" w:w="60"/>
              <w:right w:type="dxa" w:w="120"/>
            </w:tcMar>
            <w:vAlign w:val="top"/>
          </w:tcPr>
          <w:p>
            <w:pPr>
              <w:spacing w:after="20" w:before="20"/>
              <w:jc w:val="left"/>
            </w:pPr>
            <w:r>
              <w:rPr>
                <w:rFonts w:ascii="Arial" w:cs="Arial" w:eastAsia="Arial" w:hAnsi="Arial"/>
                <w:b w:val="false"/>
                <w:bCs w:val="false"/>
                <w:i w:val="false"/>
                <w:iCs w:val="false"/>
                <w:sz w:val="20"/>
                <w:szCs w:val="20"/>
              </w:rPr>
              <w:t xml:space="preserve">0.751</w:t>
            </w:r>
          </w:p>
        </w:tc>
        <w:tc>
          <w:tcPr>
            <w:tcW w:type="dxa" w:w="1100"/>
            <w:tcBorders>
              <w:top w:val="single" w:color="CCCCCC" w:sz="1"/>
              <w:left w:val="single" w:color="CCCCCC" w:sz="1"/>
              <w:bottom w:val="single" w:color="CCCCCC" w:sz="1"/>
              <w:right w:val="single" w:color="CCCCCC" w:sz="1"/>
            </w:tcBorders>
            <w:shd w:fill="D9E2F3" w:val="clear"/>
            <w:tcMar>
              <w:top w:type="dxa" w:w="60"/>
              <w:left w:type="dxa" w:w="120"/>
              <w:bottom w:type="dxa" w:w="60"/>
              <w:right w:type="dxa" w:w="120"/>
            </w:tcMar>
            <w:vAlign w:val="top"/>
          </w:tcPr>
          <w:p>
            <w:pPr>
              <w:spacing w:after="20" w:before="20"/>
              <w:jc w:val="left"/>
            </w:pPr>
            <w:r>
              <w:rPr>
                <w:rFonts w:ascii="Arial" w:cs="Arial" w:eastAsia="Arial" w:hAnsi="Arial"/>
                <w:b w:val="false"/>
                <w:bCs w:val="false"/>
                <w:i w:val="false"/>
                <w:iCs w:val="false"/>
                <w:sz w:val="20"/>
                <w:szCs w:val="20"/>
              </w:rPr>
              <w:t xml:space="preserve">0.325</w:t>
            </w:r>
          </w:p>
        </w:tc>
        <w:tc>
          <w:tcPr>
            <w:tcW w:type="dxa" w:w="1300"/>
            <w:tcBorders>
              <w:top w:val="single" w:color="CCCCCC" w:sz="1"/>
              <w:left w:val="single" w:color="CCCCCC" w:sz="1"/>
              <w:bottom w:val="single" w:color="CCCCCC" w:sz="1"/>
              <w:right w:val="single" w:color="CCCCCC" w:sz="1"/>
            </w:tcBorders>
            <w:shd w:fill="D9E2F3" w:val="clear"/>
            <w:tcMar>
              <w:top w:type="dxa" w:w="60"/>
              <w:left w:type="dxa" w:w="120"/>
              <w:bottom w:type="dxa" w:w="60"/>
              <w:right w:type="dxa" w:w="120"/>
            </w:tcMar>
            <w:vAlign w:val="top"/>
          </w:tcPr>
          <w:p>
            <w:pPr>
              <w:spacing w:after="20" w:before="20"/>
              <w:jc w:val="left"/>
            </w:pPr>
            <w:r>
              <w:rPr>
                <w:rFonts w:ascii="Arial" w:cs="Arial" w:eastAsia="Arial" w:hAnsi="Arial"/>
                <w:b w:val="false"/>
                <w:bCs w:val="false"/>
                <w:i w:val="false"/>
                <w:iCs w:val="false"/>
                <w:sz w:val="20"/>
                <w:szCs w:val="20"/>
              </w:rPr>
              <w:t xml:space="preserve">0.741</w:t>
            </w:r>
          </w:p>
        </w:tc>
        <w:tc>
          <w:tcPr>
            <w:tcW w:type="dxa" w:w="1100"/>
            <w:tcBorders>
              <w:top w:val="single" w:color="CCCCCC" w:sz="1"/>
              <w:left w:val="single" w:color="CCCCCC" w:sz="1"/>
              <w:bottom w:val="single" w:color="CCCCCC" w:sz="1"/>
              <w:right w:val="single" w:color="CCCCCC" w:sz="1"/>
            </w:tcBorders>
            <w:shd w:fill="D9E2F3" w:val="clear"/>
            <w:tcMar>
              <w:top w:type="dxa" w:w="60"/>
              <w:left w:type="dxa" w:w="120"/>
              <w:bottom w:type="dxa" w:w="60"/>
              <w:right w:type="dxa" w:w="120"/>
            </w:tcMar>
            <w:vAlign w:val="top"/>
          </w:tcPr>
          <w:p>
            <w:pPr>
              <w:spacing w:after="20" w:before="20"/>
              <w:jc w:val="left"/>
            </w:pPr>
            <w:r>
              <w:rPr>
                <w:rFonts w:ascii="Arial" w:cs="Arial" w:eastAsia="Arial" w:hAnsi="Arial"/>
                <w:b w:val="false"/>
                <w:bCs w:val="false"/>
                <w:i w:val="false"/>
                <w:iCs w:val="false"/>
                <w:sz w:val="20"/>
                <w:szCs w:val="20"/>
              </w:rPr>
              <w:t xml:space="preserve">0.332</w:t>
            </w:r>
          </w:p>
        </w:tc>
        <w:tc>
          <w:tcPr>
            <w:tcW w:type="dxa" w:w="700"/>
            <w:tcBorders>
              <w:top w:val="single" w:color="CCCCCC" w:sz="1"/>
              <w:left w:val="single" w:color="CCCCCC" w:sz="1"/>
              <w:bottom w:val="single" w:color="CCCCCC" w:sz="1"/>
              <w:right w:val="single" w:color="CCCCCC" w:sz="1"/>
            </w:tcBorders>
            <w:shd w:fill="D9E2F3" w:val="clear"/>
            <w:tcMar>
              <w:top w:type="dxa" w:w="60"/>
              <w:left w:type="dxa" w:w="120"/>
              <w:bottom w:type="dxa" w:w="60"/>
              <w:right w:type="dxa" w:w="120"/>
            </w:tcMar>
            <w:vAlign w:val="top"/>
          </w:tcPr>
          <w:p>
            <w:pPr>
              <w:spacing w:after="20" w:before="20"/>
              <w:jc w:val="left"/>
            </w:pPr>
            <w:r>
              <w:rPr>
                <w:rFonts w:ascii="Arial" w:cs="Arial" w:eastAsia="Arial" w:hAnsi="Arial"/>
                <w:b w:val="false"/>
                <w:bCs w:val="false"/>
                <w:i w:val="false"/>
                <w:iCs w:val="false"/>
                <w:sz w:val="20"/>
                <w:szCs w:val="20"/>
              </w:rPr>
              <w:t xml:space="preserve">0.0</w:t>
            </w:r>
          </w:p>
        </w:tc>
        <w:tc>
          <w:tcPr>
            <w:tcW w:type="dxa" w:w="1960"/>
            <w:tcBorders>
              <w:top w:val="single" w:color="CCCCCC" w:sz="1"/>
              <w:left w:val="single" w:color="CCCCCC" w:sz="1"/>
              <w:bottom w:val="single" w:color="CCCCCC" w:sz="1"/>
              <w:right w:val="single" w:color="CCCCCC" w:sz="1"/>
            </w:tcBorders>
            <w:shd w:fill="FCE4D6" w:val="clear"/>
            <w:tcMar>
              <w:top w:type="dxa" w:w="60"/>
              <w:left w:type="dxa" w:w="120"/>
              <w:bottom w:type="dxa" w:w="60"/>
              <w:right w:type="dxa" w:w="120"/>
            </w:tcMar>
            <w:vAlign w:val="top"/>
          </w:tcPr>
          <w:p>
            <w:pPr>
              <w:spacing w:after="20" w:before="20"/>
              <w:jc w:val="left"/>
            </w:pPr>
            <w:r>
              <w:rPr>
                <w:rFonts w:ascii="Arial" w:cs="Arial" w:eastAsia="Arial" w:hAnsi="Arial"/>
                <w:b/>
                <w:bCs/>
                <w:i w:val="false"/>
                <w:iCs w:val="false"/>
                <w:sz w:val="20"/>
                <w:szCs w:val="20"/>
              </w:rPr>
              <w:t xml:space="preserve">[GAMING]</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20" w:before="20"/>
              <w:jc w:val="left"/>
            </w:pPr>
            <w:r>
              <w:rPr>
                <w:rFonts w:ascii="Arial" w:cs="Arial" w:eastAsia="Arial" w:hAnsi="Arial"/>
                <w:b w:val="false"/>
                <w:bCs w:val="false"/>
                <w:i w:val="false"/>
                <w:iCs w:val="false"/>
                <w:sz w:val="20"/>
                <w:szCs w:val="20"/>
              </w:rPr>
              <w:t xml:space="preserve">9</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20" w:before="20"/>
              <w:jc w:val="left"/>
            </w:pPr>
            <w:r>
              <w:rPr>
                <w:rFonts w:ascii="Arial" w:cs="Arial" w:eastAsia="Arial" w:hAnsi="Arial"/>
                <w:b w:val="false"/>
                <w:bCs w:val="false"/>
                <w:i w:val="false"/>
                <w:iCs w:val="false"/>
                <w:sz w:val="20"/>
                <w:szCs w:val="20"/>
              </w:rPr>
              <w:t xml:space="preserve">Unconstrained</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20" w:before="20"/>
              <w:jc w:val="left"/>
            </w:pPr>
            <w:r>
              <w:rPr>
                <w:rFonts w:ascii="Arial" w:cs="Arial" w:eastAsia="Arial" w:hAnsi="Arial"/>
                <w:b w:val="false"/>
                <w:bCs w:val="false"/>
                <w:i w:val="false"/>
                <w:iCs w:val="false"/>
                <w:sz w:val="20"/>
                <w:szCs w:val="20"/>
              </w:rPr>
              <w:t xml:space="preserve">1.017</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20" w:before="20"/>
              <w:jc w:val="left"/>
            </w:pPr>
            <w:r>
              <w:rPr>
                <w:rFonts w:ascii="Arial" w:cs="Arial" w:eastAsia="Arial" w:hAnsi="Arial"/>
                <w:b w:val="false"/>
                <w:bCs w:val="false"/>
                <w:i w:val="false"/>
                <w:iCs w:val="false"/>
                <w:sz w:val="20"/>
                <w:szCs w:val="20"/>
              </w:rPr>
              <w:t xml:space="preserve">0.759</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20" w:before="20"/>
              <w:jc w:val="left"/>
            </w:pPr>
            <w:r>
              <w:rPr>
                <w:rFonts w:ascii="Arial" w:cs="Arial" w:eastAsia="Arial" w:hAnsi="Arial"/>
                <w:b w:val="false"/>
                <w:bCs w:val="false"/>
                <w:i w:val="false"/>
                <w:iCs w:val="false"/>
                <w:sz w:val="20"/>
                <w:szCs w:val="20"/>
              </w:rPr>
              <w:t xml:space="preserve">0.167</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20" w:before="20"/>
              <w:jc w:val="left"/>
            </w:pPr>
            <w:r>
              <w:rPr>
                <w:rFonts w:ascii="Arial" w:cs="Arial" w:eastAsia="Arial" w:hAnsi="Arial"/>
                <w:b w:val="false"/>
                <w:bCs w:val="false"/>
                <w:i w:val="false"/>
                <w:iCs w:val="false"/>
                <w:sz w:val="20"/>
                <w:szCs w:val="20"/>
              </w:rPr>
              <w:t xml:space="preserve">0.724</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20" w:before="20"/>
              <w:jc w:val="left"/>
            </w:pPr>
            <w:r>
              <w:rPr>
                <w:rFonts w:ascii="Arial" w:cs="Arial" w:eastAsia="Arial" w:hAnsi="Arial"/>
                <w:b w:val="false"/>
                <w:bCs w:val="false"/>
                <w:i w:val="false"/>
                <w:iCs w:val="false"/>
                <w:sz w:val="20"/>
                <w:szCs w:val="20"/>
              </w:rPr>
              <w:t xml:space="preserve">0.0</w:t>
            </w:r>
          </w:p>
        </w:tc>
        <w:tc>
          <w:tcPr>
            <w:tcW w:type="dxa" w:w="1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20" w:before="20"/>
              <w:jc w:val="left"/>
            </w:pPr>
            <w:r>
              <w:rPr>
                <w:rFonts w:ascii="Arial" w:cs="Arial" w:eastAsia="Arial" w:hAnsi="Arial"/>
                <w:b w:val="false"/>
                <w:bCs w:val="false"/>
                <w:i w:val="false"/>
                <w:iCs w:val="false"/>
                <w:sz w:val="20"/>
                <w:szCs w:val="20"/>
              </w:rPr>
              <w:t xml:space="preserve">—</w:t>
            </w:r>
          </w:p>
        </w:tc>
      </w:tr>
    </w:tbl>
    <w:p>
      <w:pPr>
        <w:spacing w:after="20" w:before="20"/>
      </w:pPr>
      <w:r>
        <w:rPr>
          <w:rFonts w:ascii="Arial" w:cs="Arial" w:eastAsia="Arial" w:hAnsi="Arial"/>
          <w:sz w:val="22"/>
          <w:szCs w:val="22"/>
        </w:rPr>
        <w:t xml:space="preserve"/>
      </w:r>
    </w:p>
    <w:p>
      <w:pPr>
        <w:spacing w:after="60" w:before="60"/>
      </w:pPr>
      <w:r>
        <w:rPr>
          <w:rFonts w:ascii="Arial" w:cs="Arial" w:eastAsia="Arial" w:hAnsi="Arial"/>
          <w:b/>
          <w:bCs/>
          <w:sz w:val="22"/>
          <w:szCs w:val="22"/>
        </w:rPr>
        <w:t xml:space="preserve">Shading: </w:t>
      </w:r>
      <w:r>
        <w:rPr>
          <w:rFonts w:ascii="Arial" w:cs="Arial" w:eastAsia="Arial" w:hAnsi="Arial"/>
          <w:sz w:val="22"/>
          <w:szCs w:val="22"/>
        </w:rPr>
        <w:t xml:space="preserve">Blue = constrained condition. Red = gaming flag triggered. SSS = mean(type_entropy) × mean(QRC) over final 20 epochs. ELR = 0.0 across all seeds (see Deviation 4).</w:t>
      </w:r>
    </w:p>
    <w:p>
      <w:pPr>
        <w:pBdr>
          <w:bottom w:val="single" w:color="2E75B6" w:sz="6"/>
        </w:pBdr>
        <w:spacing w:after="120" w:before="400"/>
      </w:pPr>
      <w:r>
        <w:rPr>
          <w:rFonts w:ascii="Arial" w:cs="Arial" w:eastAsia="Arial" w:hAnsi="Arial"/>
          <w:b/>
          <w:bCs/>
          <w:color w:val="1F4E79"/>
          <w:sz w:val="32"/>
          <w:szCs w:val="32"/>
        </w:rPr>
        <w:t xml:space="preserve">6. What Was Measured vs. What Was Intended</w:t>
      </w:r>
    </w:p>
    <w:p>
      <w:pPr>
        <w:spacing w:after="80" w:before="280"/>
      </w:pPr>
      <w:r>
        <w:rPr>
          <w:rFonts w:ascii="Arial" w:cs="Arial" w:eastAsia="Arial" w:hAnsi="Arial"/>
          <w:b/>
          <w:bCs/>
          <w:color w:val="2E75B6"/>
          <w:sz w:val="26"/>
          <w:szCs w:val="26"/>
        </w:rPr>
        <w:t xml:space="preserve">H1 — exploitation_loop_rate</w:t>
      </w:r>
    </w:p>
    <w:p>
      <w:pPr>
        <w:spacing w:after="60" w:before="60"/>
      </w:pPr>
      <w:r>
        <w:rPr>
          <w:rFonts w:ascii="Arial" w:cs="Arial" w:eastAsia="Arial" w:hAnsi="Arial"/>
          <w:b/>
          <w:bCs/>
          <w:sz w:val="22"/>
          <w:szCs w:val="22"/>
        </w:rPr>
        <w:t xml:space="preserve">Intended: </w:t>
      </w:r>
      <w:r>
        <w:rPr>
          <w:rFonts w:ascii="Arial" w:cs="Arial" w:eastAsia="Arial" w:hAnsi="Arial"/>
          <w:sz w:val="22"/>
          <w:szCs w:val="22"/>
        </w:rPr>
        <w:t xml:space="preserve">Whether unconstrained agents collapse into exploitation loops, depleting the environment until interrogative behavior becomes impossible.</w:t>
      </w:r>
    </w:p>
    <w:p>
      <w:pPr>
        <w:spacing w:after="60" w:before="60"/>
      </w:pPr>
      <w:r>
        <w:rPr>
          <w:rFonts w:ascii="Arial" w:cs="Arial" w:eastAsia="Arial" w:hAnsi="Arial"/>
          <w:b/>
          <w:bCs/>
          <w:sz w:val="22"/>
          <w:szCs w:val="22"/>
        </w:rPr>
        <w:t xml:space="preserve">Measured: </w:t>
      </w:r>
      <w:r>
        <w:rPr>
          <w:rFonts w:ascii="Arial" w:cs="Arial" w:eastAsia="Arial" w:hAnsi="Arial"/>
          <w:sz w:val="22"/>
          <w:szCs w:val="22"/>
        </w:rPr>
        <w:t xml:space="preserve">Fraction of epochs where query_rate &lt; 0.05 (interrogative_collapse_rate proxy, per Deviation 2).</w:t>
      </w:r>
    </w:p>
    <w:p>
      <w:pPr>
        <w:spacing w:after="60" w:before="60"/>
      </w:pPr>
      <w:r>
        <w:rPr>
          <w:rFonts w:ascii="Arial" w:cs="Arial" w:eastAsia="Arial" w:hAnsi="Arial"/>
          <w:b/>
          <w:bCs/>
          <w:sz w:val="22"/>
          <w:szCs w:val="22"/>
        </w:rPr>
        <w:t xml:space="preserve">Gap: </w:t>
      </w:r>
      <w:r>
        <w:rPr>
          <w:rFonts w:ascii="Arial" w:cs="Arial" w:eastAsia="Arial" w:hAnsi="Arial"/>
          <w:sz w:val="22"/>
          <w:szCs w:val="22"/>
        </w:rPr>
        <w:t xml:space="preserve">The harness has no resource pool to deplete. Agents maintained query rates above 0.05 throughout training in both conditions. The proxy metric never triggered.</w:t>
      </w:r>
    </w:p>
    <w:p>
      <w:pPr>
        <w:spacing w:after="80" w:before="280"/>
      </w:pPr>
      <w:r>
        <w:rPr>
          <w:rFonts w:ascii="Arial" w:cs="Arial" w:eastAsia="Arial" w:hAnsi="Arial"/>
          <w:b/>
          <w:bCs/>
          <w:color w:val="2E75B6"/>
          <w:sz w:val="26"/>
          <w:szCs w:val="26"/>
        </w:rPr>
        <w:t xml:space="preserve">H2 — sustained_structure_score</w:t>
      </w:r>
    </w:p>
    <w:p>
      <w:pPr>
        <w:spacing w:after="60" w:before="60"/>
      </w:pPr>
      <w:r>
        <w:rPr>
          <w:rFonts w:ascii="Arial" w:cs="Arial" w:eastAsia="Arial" w:hAnsi="Arial"/>
          <w:b/>
          <w:bCs/>
          <w:sz w:val="22"/>
          <w:szCs w:val="22"/>
        </w:rPr>
        <w:t xml:space="preserve">Intended: </w:t>
      </w:r>
      <w:r>
        <w:rPr>
          <w:rFonts w:ascii="Arial" w:cs="Arial" w:eastAsia="Arial" w:hAnsi="Arial"/>
          <w:sz w:val="22"/>
          <w:szCs w:val="22"/>
        </w:rPr>
        <w:t xml:space="preserve">Constrained agents maintain higher sustained interrogative complexity than unconstrained agents.</w:t>
      </w:r>
    </w:p>
    <w:p>
      <w:pPr>
        <w:spacing w:after="60" w:before="60"/>
      </w:pPr>
      <w:r>
        <w:rPr>
          <w:rFonts w:ascii="Arial" w:cs="Arial" w:eastAsia="Arial" w:hAnsi="Arial"/>
          <w:b/>
          <w:bCs/>
          <w:sz w:val="22"/>
          <w:szCs w:val="22"/>
        </w:rPr>
        <w:t xml:space="preserve">Measured: </w:t>
      </w:r>
      <w:r>
        <w:rPr>
          <w:rFonts w:ascii="Arial" w:cs="Arial" w:eastAsia="Arial" w:hAnsi="Arial"/>
          <w:sz w:val="22"/>
          <w:szCs w:val="22"/>
        </w:rPr>
        <w:t xml:space="preserve">mean(type_entropy) × mean(QRC) over final 20 epochs.</w:t>
      </w:r>
    </w:p>
    <w:p>
      <w:pPr>
        <w:spacing w:after="60" w:before="60"/>
      </w:pPr>
      <w:r>
        <w:rPr>
          <w:rFonts w:ascii="Arial" w:cs="Arial" w:eastAsia="Arial" w:hAnsi="Arial"/>
          <w:b/>
          <w:bCs/>
          <w:sz w:val="22"/>
          <w:szCs w:val="22"/>
        </w:rPr>
        <w:t xml:space="preserve">Gap: </w:t>
      </w:r>
      <w:r>
        <w:rPr>
          <w:rFonts w:ascii="Arial" w:cs="Arial" w:eastAsia="Arial" w:hAnsi="Arial"/>
          <w:sz w:val="22"/>
          <w:szCs w:val="22"/>
        </w:rPr>
        <w:t xml:space="preserve">The ethical tax drove constrained agents into query-dominated behavior (virtue theater). The constraint tests penalty response, not survival-driven interrogative necessity.</w:t>
      </w:r>
    </w:p>
    <w:p>
      <w:pPr>
        <w:spacing w:after="80" w:before="280"/>
      </w:pPr>
      <w:r>
        <w:rPr>
          <w:rFonts w:ascii="Arial" w:cs="Arial" w:eastAsia="Arial" w:hAnsi="Arial"/>
          <w:b/>
          <w:bCs/>
          <w:color w:val="2E75B6"/>
          <w:sz w:val="26"/>
          <w:szCs w:val="26"/>
        </w:rPr>
        <w:t xml:space="preserve">H3 — Cohen’s d</w:t>
      </w:r>
    </w:p>
    <w:p>
      <w:pPr>
        <w:spacing w:after="60" w:before="60"/>
      </w:pPr>
      <w:r>
        <w:rPr>
          <w:rFonts w:ascii="Arial" w:cs="Arial" w:eastAsia="Arial" w:hAnsi="Arial"/>
          <w:b/>
          <w:bCs/>
          <w:sz w:val="22"/>
          <w:szCs w:val="22"/>
        </w:rPr>
        <w:t xml:space="preserve">Intended: </w:t>
      </w:r>
      <w:r>
        <w:rPr>
          <w:rFonts w:ascii="Arial" w:cs="Arial" w:eastAsia="Arial" w:hAnsi="Arial"/>
          <w:sz w:val="22"/>
          <w:szCs w:val="22"/>
        </w:rPr>
        <w:t xml:space="preserve">Large positive effect size (d &gt; 0.8) with constrained agents showing higher SSS.</w:t>
      </w:r>
    </w:p>
    <w:p>
      <w:pPr>
        <w:spacing w:after="60" w:before="60"/>
      </w:pPr>
      <w:r>
        <w:rPr>
          <w:rFonts w:ascii="Arial" w:cs="Arial" w:eastAsia="Arial" w:hAnsi="Arial"/>
          <w:b/>
          <w:bCs/>
          <w:sz w:val="22"/>
          <w:szCs w:val="22"/>
        </w:rPr>
        <w:t xml:space="preserve">Measured: </w:t>
      </w:r>
      <w:r>
        <w:rPr>
          <w:rFonts w:ascii="Arial" w:cs="Arial" w:eastAsia="Arial" w:hAnsi="Arial"/>
          <w:sz w:val="22"/>
          <w:szCs w:val="22"/>
        </w:rPr>
        <w:t xml:space="preserve">Large negative effect size — unconstrained agents show categorically higher SSS. See Section 7.</w:t>
      </w:r>
    </w:p>
    <w:p>
      <w:pPr>
        <w:pBdr>
          <w:bottom w:val="single" w:color="2E75B6" w:sz="6"/>
        </w:pBdr>
        <w:spacing w:after="120" w:before="400"/>
      </w:pPr>
      <w:r>
        <w:rPr>
          <w:rFonts w:ascii="Arial" w:cs="Arial" w:eastAsia="Arial" w:hAnsi="Arial"/>
          <w:b/>
          <w:bCs/>
          <w:color w:val="1F4E79"/>
          <w:sz w:val="32"/>
          <w:szCs w:val="32"/>
        </w:rPr>
        <w:t xml:space="preserve">7. Statistical Results</w:t>
      </w:r>
    </w:p>
    <w:p>
      <w:pPr>
        <w:spacing w:after="80" w:before="280"/>
      </w:pPr>
      <w:r>
        <w:rPr>
          <w:rFonts w:ascii="Arial" w:cs="Arial" w:eastAsia="Arial" w:hAnsi="Arial"/>
          <w:b/>
          <w:bCs/>
          <w:color w:val="2E75B6"/>
          <w:sz w:val="26"/>
          <w:szCs w:val="26"/>
        </w:rPr>
        <w:t xml:space="preserve">H1 — Formal Result</w:t>
      </w:r>
    </w:p>
    <w:p>
      <w:pPr>
        <w:pBdr>
          <w:left w:val="single" w:color="375623" w:sz="12"/>
        </w:pBdr>
        <w:shd w:fill="E2EFDA" w:val="clear"/>
        <w:spacing w:after="60" w:before="60"/>
        <w:ind w:left="560" w:right="560"/>
      </w:pPr>
      <w:r>
        <w:rPr>
          <w:rFonts w:ascii="Arial" w:cs="Arial" w:eastAsia="Arial" w:hAnsi="Arial"/>
          <w:b/>
          <w:bCs/>
          <w:sz w:val="22"/>
          <w:szCs w:val="22"/>
        </w:rPr>
        <w:t xml:space="preserve">H1 — exploitation_loop_rate. </w:t>
      </w:r>
      <w:r>
        <w:rPr>
          <w:rFonts w:ascii="Arial" w:cs="Arial" w:eastAsia="Arial" w:hAnsi="Arial"/>
          <w:sz w:val="22"/>
          <w:szCs w:val="22"/>
        </w:rPr>
        <w:t xml:space="preserve">Preregistered direction: unconstrained &gt; constrained. Result: Cannot evaluate as preregistered. ELR = 0.0 across all 20 runs in both conditions. No exploitation loops detected by the preregistered metric in either condition. Proxy metric (interrogative_collapse_rate) substituted per Deviation 2. Proxy metric also failed to differentiate conditions (ELR = 0.0 in all seeds). H1 status: Not evaluable. See Deviations 2 and 4.</w:t>
      </w:r>
    </w:p>
    <w:p>
      <w:pPr>
        <w:spacing w:after="80" w:before="280"/>
      </w:pPr>
      <w:r>
        <w:rPr>
          <w:rFonts w:ascii="Arial" w:cs="Arial" w:eastAsia="Arial" w:hAnsi="Arial"/>
          <w:b/>
          <w:bCs/>
          <w:color w:val="2E75B6"/>
          <w:sz w:val="26"/>
          <w:szCs w:val="26"/>
        </w:rPr>
        <w:t xml:space="preserve">H2 — Mann-Whitney U (preregistered test)</w:t>
      </w:r>
    </w:p>
    <w:p>
      <w:pPr>
        <w:spacing w:after="60" w:before="60"/>
      </w:pPr>
      <w:r>
        <w:rPr>
          <w:rFonts w:ascii="Arial" w:cs="Arial" w:eastAsia="Arial" w:hAnsi="Arial"/>
          <w:b/>
          <w:bCs/>
          <w:sz w:val="22"/>
          <w:szCs w:val="22"/>
        </w:rPr>
        <w:t xml:space="preserve">Test: </w:t>
      </w:r>
      <w:r>
        <w:rPr>
          <w:rFonts w:ascii="Arial" w:cs="Arial" w:eastAsia="Arial" w:hAnsi="Arial"/>
          <w:sz w:val="22"/>
          <w:szCs w:val="22"/>
        </w:rPr>
        <w:t xml:space="preserve">Mann-Whitney U, one-tailed, preregistered direction constrained &gt; unconstrained.</w:t>
      </w:r>
    </w:p>
    <w:p>
      <w:pPr>
        <w:spacing w:after="60" w:before="60"/>
      </w:pPr>
      <w:r>
        <w:rPr>
          <w:rFonts w:ascii="Arial" w:cs="Arial" w:eastAsia="Arial" w:hAnsi="Arial"/>
          <w:b/>
          <w:bCs/>
          <w:sz w:val="22"/>
          <w:szCs w:val="22"/>
        </w:rPr>
        <w:t xml:space="preserve">U = 6.0  |  n₁ = 10 (constrained)  |  n₂ = 10 (unconstrained)  |  p = 0.9996</w:t>
      </w:r>
    </w:p>
    <w:p>
      <w:pPr>
        <w:spacing w:after="60" w:before="60"/>
      </w:pPr>
      <w:r>
        <w:rPr>
          <w:rFonts w:ascii="Arial" w:cs="Arial" w:eastAsia="Arial" w:hAnsi="Arial"/>
          <w:sz w:val="22"/>
          <w:szCs w:val="22"/>
        </w:rPr>
        <w:t xml:space="preserve">H2 not confirmed. Effect observed in opposite direction — unconstrained agents show higher SSS in 9 of 10 seed pairs.</w:t>
      </w:r>
    </w:p>
    <w:p>
      <w:pPr>
        <w:spacing w:after="20" w:before="20"/>
      </w:pPr>
      <w:r>
        <w:rPr>
          <w:rFonts w:ascii="Arial" w:cs="Arial" w:eastAsia="Arial" w:hAnsi="Arial"/>
          <w:sz w:val="22"/>
          <w:szCs w:val="22"/>
        </w:rPr>
        <w:t xml:space="preserve"/>
      </w:r>
    </w:p>
    <w:p>
      <w:pPr>
        <w:spacing w:after="60" w:before="60"/>
      </w:pPr>
      <w:r>
        <w:rPr>
          <w:rFonts w:ascii="Arial" w:cs="Arial" w:eastAsia="Arial" w:hAnsi="Arial"/>
          <w:sz w:val="22"/>
          <w:szCs w:val="22"/>
        </w:rPr>
        <w:t xml:space="preserve">Descriptive post-hoc observation (not the preregistered test): if the test were run in the observed direction (unconstrained &gt; constrained), U’ = 94, p &lt; 0.0001. This is reported for characterization only — the preregistered test direction is constrained &gt; unconstrained and the result is p = 0.9996.</w:t>
      </w:r>
    </w:p>
    <w:p>
      <w:pPr>
        <w:spacing w:after="20" w:before="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600"/>
        <w:gridCol w:w="1560"/>
        <w:gridCol w:w="1300"/>
        <w:gridCol w:w="1300"/>
      </w:tblGrid>
      <w:tr>
        <w:tc>
          <w:tcPr>
            <w:tcW w:type="dxa" w:w="2000"/>
            <w:tcBorders>
              <w:top w:val="single" w:color="2E75B6" w:sz="1"/>
              <w:left w:val="single" w:color="2E75B6" w:sz="1"/>
              <w:bottom w:val="single" w:color="2E75B6" w:sz="1"/>
              <w:right w:val="single" w:color="2E75B6" w:sz="1"/>
            </w:tcBorders>
            <w:shd w:fill="2E75B6" w:val="clear"/>
            <w:tcMar>
              <w:top w:type="dxa" w:w="60"/>
              <w:left w:type="dxa" w:w="120"/>
              <w:bottom w:type="dxa" w:w="60"/>
              <w:right w:type="dxa" w:w="120"/>
            </w:tcMar>
            <w:vAlign w:val="top"/>
          </w:tcPr>
          <w:p>
            <w:pPr>
              <w:spacing w:after="20" w:before="20"/>
              <w:jc w:val="left"/>
            </w:pPr>
            <w:r>
              <w:rPr>
                <w:rFonts w:ascii="Arial" w:cs="Arial" w:eastAsia="Arial" w:hAnsi="Arial"/>
                <w:b/>
                <w:bCs/>
                <w:i w:val="false"/>
                <w:iCs w:val="false"/>
                <w:color w:val="FFFFFF"/>
                <w:sz w:val="20"/>
                <w:szCs w:val="20"/>
              </w:rPr>
              <w:t xml:space="preserve">Condition</w:t>
            </w:r>
          </w:p>
        </w:tc>
        <w:tc>
          <w:tcPr>
            <w:tcW w:type="dxa" w:w="1600"/>
            <w:tcBorders>
              <w:top w:val="single" w:color="2E75B6" w:sz="1"/>
              <w:left w:val="single" w:color="2E75B6" w:sz="1"/>
              <w:bottom w:val="single" w:color="2E75B6" w:sz="1"/>
              <w:right w:val="single" w:color="2E75B6" w:sz="1"/>
            </w:tcBorders>
            <w:shd w:fill="2E75B6" w:val="clear"/>
            <w:tcMar>
              <w:top w:type="dxa" w:w="60"/>
              <w:left w:type="dxa" w:w="120"/>
              <w:bottom w:type="dxa" w:w="60"/>
              <w:right w:type="dxa" w:w="120"/>
            </w:tcMar>
            <w:vAlign w:val="top"/>
          </w:tcPr>
          <w:p>
            <w:pPr>
              <w:spacing w:after="20" w:before="20"/>
              <w:jc w:val="left"/>
            </w:pPr>
            <w:r>
              <w:rPr>
                <w:rFonts w:ascii="Arial" w:cs="Arial" w:eastAsia="Arial" w:hAnsi="Arial"/>
                <w:b/>
                <w:bCs/>
                <w:i w:val="false"/>
                <w:iCs w:val="false"/>
                <w:color w:val="FFFFFF"/>
                <w:sz w:val="20"/>
                <w:szCs w:val="20"/>
              </w:rPr>
              <w:t xml:space="preserve">Mean SSS</w:t>
            </w:r>
          </w:p>
        </w:tc>
        <w:tc>
          <w:tcPr>
            <w:tcW w:type="dxa" w:w="1600"/>
            <w:tcBorders>
              <w:top w:val="single" w:color="2E75B6" w:sz="1"/>
              <w:left w:val="single" w:color="2E75B6" w:sz="1"/>
              <w:bottom w:val="single" w:color="2E75B6" w:sz="1"/>
              <w:right w:val="single" w:color="2E75B6" w:sz="1"/>
            </w:tcBorders>
            <w:shd w:fill="2E75B6" w:val="clear"/>
            <w:tcMar>
              <w:top w:type="dxa" w:w="60"/>
              <w:left w:type="dxa" w:w="120"/>
              <w:bottom w:type="dxa" w:w="60"/>
              <w:right w:type="dxa" w:w="120"/>
            </w:tcMar>
            <w:vAlign w:val="top"/>
          </w:tcPr>
          <w:p>
            <w:pPr>
              <w:spacing w:after="20" w:before="20"/>
              <w:jc w:val="left"/>
            </w:pPr>
            <w:r>
              <w:rPr>
                <w:rFonts w:ascii="Arial" w:cs="Arial" w:eastAsia="Arial" w:hAnsi="Arial"/>
                <w:b/>
                <w:bCs/>
                <w:i w:val="false"/>
                <w:iCs w:val="false"/>
                <w:color w:val="FFFFFF"/>
                <w:sz w:val="20"/>
                <w:szCs w:val="20"/>
              </w:rPr>
              <w:t xml:space="preserve">Median SSS</w:t>
            </w:r>
          </w:p>
        </w:tc>
        <w:tc>
          <w:tcPr>
            <w:tcW w:type="dxa" w:w="1560"/>
            <w:tcBorders>
              <w:top w:val="single" w:color="2E75B6" w:sz="1"/>
              <w:left w:val="single" w:color="2E75B6" w:sz="1"/>
              <w:bottom w:val="single" w:color="2E75B6" w:sz="1"/>
              <w:right w:val="single" w:color="2E75B6" w:sz="1"/>
            </w:tcBorders>
            <w:shd w:fill="2E75B6" w:val="clear"/>
            <w:tcMar>
              <w:top w:type="dxa" w:w="60"/>
              <w:left w:type="dxa" w:w="120"/>
              <w:bottom w:type="dxa" w:w="60"/>
              <w:right w:type="dxa" w:w="120"/>
            </w:tcMar>
            <w:vAlign w:val="top"/>
          </w:tcPr>
          <w:p>
            <w:pPr>
              <w:spacing w:after="20" w:before="20"/>
              <w:jc w:val="left"/>
            </w:pPr>
            <w:r>
              <w:rPr>
                <w:rFonts w:ascii="Arial" w:cs="Arial" w:eastAsia="Arial" w:hAnsi="Arial"/>
                <w:b/>
                <w:bCs/>
                <w:i w:val="false"/>
                <w:iCs w:val="false"/>
                <w:color w:val="FFFFFF"/>
                <w:sz w:val="20"/>
                <w:szCs w:val="20"/>
              </w:rPr>
              <w:t xml:space="preserve">SD</w:t>
            </w:r>
          </w:p>
        </w:tc>
        <w:tc>
          <w:tcPr>
            <w:tcW w:type="dxa" w:w="1300"/>
            <w:tcBorders>
              <w:top w:val="single" w:color="2E75B6" w:sz="1"/>
              <w:left w:val="single" w:color="2E75B6" w:sz="1"/>
              <w:bottom w:val="single" w:color="2E75B6" w:sz="1"/>
              <w:right w:val="single" w:color="2E75B6" w:sz="1"/>
            </w:tcBorders>
            <w:shd w:fill="2E75B6" w:val="clear"/>
            <w:tcMar>
              <w:top w:type="dxa" w:w="60"/>
              <w:left w:type="dxa" w:w="120"/>
              <w:bottom w:type="dxa" w:w="60"/>
              <w:right w:type="dxa" w:w="120"/>
            </w:tcMar>
            <w:vAlign w:val="top"/>
          </w:tcPr>
          <w:p>
            <w:pPr>
              <w:spacing w:after="20" w:before="20"/>
              <w:jc w:val="left"/>
            </w:pPr>
            <w:r>
              <w:rPr>
                <w:rFonts w:ascii="Arial" w:cs="Arial" w:eastAsia="Arial" w:hAnsi="Arial"/>
                <w:b/>
                <w:bCs/>
                <w:i w:val="false"/>
                <w:iCs w:val="false"/>
                <w:color w:val="FFFFFF"/>
                <w:sz w:val="20"/>
                <w:szCs w:val="20"/>
              </w:rPr>
              <w:t xml:space="preserve">Min</w:t>
            </w:r>
          </w:p>
        </w:tc>
        <w:tc>
          <w:tcPr>
            <w:tcW w:type="dxa" w:w="1300"/>
            <w:tcBorders>
              <w:top w:val="single" w:color="2E75B6" w:sz="1"/>
              <w:left w:val="single" w:color="2E75B6" w:sz="1"/>
              <w:bottom w:val="single" w:color="2E75B6" w:sz="1"/>
              <w:right w:val="single" w:color="2E75B6" w:sz="1"/>
            </w:tcBorders>
            <w:shd w:fill="2E75B6" w:val="clear"/>
            <w:tcMar>
              <w:top w:type="dxa" w:w="60"/>
              <w:left w:type="dxa" w:w="120"/>
              <w:bottom w:type="dxa" w:w="60"/>
              <w:right w:type="dxa" w:w="120"/>
            </w:tcMar>
            <w:vAlign w:val="top"/>
          </w:tcPr>
          <w:p>
            <w:pPr>
              <w:spacing w:after="20" w:before="20"/>
              <w:jc w:val="left"/>
            </w:pPr>
            <w:r>
              <w:rPr>
                <w:rFonts w:ascii="Arial" w:cs="Arial" w:eastAsia="Arial" w:hAnsi="Arial"/>
                <w:b/>
                <w:bCs/>
                <w:i w:val="false"/>
                <w:iCs w:val="false"/>
                <w:color w:val="FFFFFF"/>
                <w:sz w:val="20"/>
                <w:szCs w:val="20"/>
              </w:rPr>
              <w:t xml:space="preserve">Max</w:t>
            </w:r>
          </w:p>
        </w:tc>
      </w:tr>
      <w:tr>
        <w:tc>
          <w:tcPr>
            <w:tcW w:type="dxa" w:w="2000"/>
            <w:tcBorders>
              <w:top w:val="single" w:color="CCCCCC" w:sz="1"/>
              <w:left w:val="single" w:color="CCCCCC" w:sz="1"/>
              <w:bottom w:val="single" w:color="CCCCCC" w:sz="1"/>
              <w:right w:val="single" w:color="CCCCCC" w:sz="1"/>
            </w:tcBorders>
            <w:shd w:fill="D9E2F3" w:val="clear"/>
            <w:tcMar>
              <w:top w:type="dxa" w:w="60"/>
              <w:left w:type="dxa" w:w="120"/>
              <w:bottom w:type="dxa" w:w="60"/>
              <w:right w:type="dxa" w:w="120"/>
            </w:tcMar>
            <w:vAlign w:val="top"/>
          </w:tcPr>
          <w:p>
            <w:pPr>
              <w:spacing w:after="20" w:before="20"/>
              <w:jc w:val="left"/>
            </w:pPr>
            <w:r>
              <w:rPr>
                <w:rFonts w:ascii="Arial" w:cs="Arial" w:eastAsia="Arial" w:hAnsi="Arial"/>
                <w:b w:val="false"/>
                <w:bCs w:val="false"/>
                <w:i w:val="false"/>
                <w:iCs w:val="false"/>
                <w:sz w:val="20"/>
                <w:szCs w:val="20"/>
              </w:rPr>
              <w:t xml:space="preserve">Constrained</w:t>
            </w:r>
          </w:p>
        </w:tc>
        <w:tc>
          <w:tcPr>
            <w:tcW w:type="dxa" w:w="1600"/>
            <w:tcBorders>
              <w:top w:val="single" w:color="CCCCCC" w:sz="1"/>
              <w:left w:val="single" w:color="CCCCCC" w:sz="1"/>
              <w:bottom w:val="single" w:color="CCCCCC" w:sz="1"/>
              <w:right w:val="single" w:color="CCCCCC" w:sz="1"/>
            </w:tcBorders>
            <w:shd w:fill="D9E2F3" w:val="clear"/>
            <w:tcMar>
              <w:top w:type="dxa" w:w="60"/>
              <w:left w:type="dxa" w:w="120"/>
              <w:bottom w:type="dxa" w:w="60"/>
              <w:right w:type="dxa" w:w="120"/>
            </w:tcMar>
            <w:vAlign w:val="top"/>
          </w:tcPr>
          <w:p>
            <w:pPr>
              <w:spacing w:after="20" w:before="20"/>
              <w:jc w:val="left"/>
            </w:pPr>
            <w:r>
              <w:rPr>
                <w:rFonts w:ascii="Arial" w:cs="Arial" w:eastAsia="Arial" w:hAnsi="Arial"/>
                <w:b w:val="false"/>
                <w:bCs w:val="false"/>
                <w:i w:val="false"/>
                <w:iCs w:val="false"/>
                <w:sz w:val="20"/>
                <w:szCs w:val="20"/>
              </w:rPr>
              <w:t xml:space="preserve">0.3028</w:t>
            </w:r>
          </w:p>
        </w:tc>
        <w:tc>
          <w:tcPr>
            <w:tcW w:type="dxa" w:w="1600"/>
            <w:tcBorders>
              <w:top w:val="single" w:color="CCCCCC" w:sz="1"/>
              <w:left w:val="single" w:color="CCCCCC" w:sz="1"/>
              <w:bottom w:val="single" w:color="CCCCCC" w:sz="1"/>
              <w:right w:val="single" w:color="CCCCCC" w:sz="1"/>
            </w:tcBorders>
            <w:shd w:fill="D9E2F3" w:val="clear"/>
            <w:tcMar>
              <w:top w:type="dxa" w:w="60"/>
              <w:left w:type="dxa" w:w="120"/>
              <w:bottom w:type="dxa" w:w="60"/>
              <w:right w:type="dxa" w:w="120"/>
            </w:tcMar>
            <w:vAlign w:val="top"/>
          </w:tcPr>
          <w:p>
            <w:pPr>
              <w:spacing w:after="20" w:before="20"/>
              <w:jc w:val="left"/>
            </w:pPr>
            <w:r>
              <w:rPr>
                <w:rFonts w:ascii="Arial" w:cs="Arial" w:eastAsia="Arial" w:hAnsi="Arial"/>
                <w:b w:val="false"/>
                <w:bCs w:val="false"/>
                <w:i w:val="false"/>
                <w:iCs w:val="false"/>
                <w:sz w:val="20"/>
                <w:szCs w:val="20"/>
              </w:rPr>
              <w:t xml:space="preserve">0.2504</w:t>
            </w:r>
          </w:p>
        </w:tc>
        <w:tc>
          <w:tcPr>
            <w:tcW w:type="dxa" w:w="1560"/>
            <w:tcBorders>
              <w:top w:val="single" w:color="CCCCCC" w:sz="1"/>
              <w:left w:val="single" w:color="CCCCCC" w:sz="1"/>
              <w:bottom w:val="single" w:color="CCCCCC" w:sz="1"/>
              <w:right w:val="single" w:color="CCCCCC" w:sz="1"/>
            </w:tcBorders>
            <w:shd w:fill="D9E2F3" w:val="clear"/>
            <w:tcMar>
              <w:top w:type="dxa" w:w="60"/>
              <w:left w:type="dxa" w:w="120"/>
              <w:bottom w:type="dxa" w:w="60"/>
              <w:right w:type="dxa" w:w="120"/>
            </w:tcMar>
            <w:vAlign w:val="top"/>
          </w:tcPr>
          <w:p>
            <w:pPr>
              <w:spacing w:after="20" w:before="20"/>
              <w:jc w:val="left"/>
            </w:pPr>
            <w:r>
              <w:rPr>
                <w:rFonts w:ascii="Arial" w:cs="Arial" w:eastAsia="Arial" w:hAnsi="Arial"/>
                <w:b w:val="false"/>
                <w:bCs w:val="false"/>
                <w:i w:val="false"/>
                <w:iCs w:val="false"/>
                <w:sz w:val="20"/>
                <w:szCs w:val="20"/>
              </w:rPr>
              <w:t xml:space="preserve">0.2285</w:t>
            </w:r>
          </w:p>
        </w:tc>
        <w:tc>
          <w:tcPr>
            <w:tcW w:type="dxa" w:w="1300"/>
            <w:tcBorders>
              <w:top w:val="single" w:color="CCCCCC" w:sz="1"/>
              <w:left w:val="single" w:color="CCCCCC" w:sz="1"/>
              <w:bottom w:val="single" w:color="CCCCCC" w:sz="1"/>
              <w:right w:val="single" w:color="CCCCCC" w:sz="1"/>
            </w:tcBorders>
            <w:shd w:fill="D9E2F3" w:val="clear"/>
            <w:tcMar>
              <w:top w:type="dxa" w:w="60"/>
              <w:left w:type="dxa" w:w="120"/>
              <w:bottom w:type="dxa" w:w="60"/>
              <w:right w:type="dxa" w:w="120"/>
            </w:tcMar>
            <w:vAlign w:val="top"/>
          </w:tcPr>
          <w:p>
            <w:pPr>
              <w:spacing w:after="20" w:before="20"/>
              <w:jc w:val="left"/>
            </w:pPr>
            <w:r>
              <w:rPr>
                <w:rFonts w:ascii="Arial" w:cs="Arial" w:eastAsia="Arial" w:hAnsi="Arial"/>
                <w:b w:val="false"/>
                <w:bCs w:val="false"/>
                <w:i w:val="false"/>
                <w:iCs w:val="false"/>
                <w:sz w:val="20"/>
                <w:szCs w:val="20"/>
              </w:rPr>
              <w:t xml:space="preserve">0.016</w:t>
            </w:r>
          </w:p>
        </w:tc>
        <w:tc>
          <w:tcPr>
            <w:tcW w:type="dxa" w:w="1300"/>
            <w:tcBorders>
              <w:top w:val="single" w:color="CCCCCC" w:sz="1"/>
              <w:left w:val="single" w:color="CCCCCC" w:sz="1"/>
              <w:bottom w:val="single" w:color="CCCCCC" w:sz="1"/>
              <w:right w:val="single" w:color="CCCCCC" w:sz="1"/>
            </w:tcBorders>
            <w:shd w:fill="D9E2F3" w:val="clear"/>
            <w:tcMar>
              <w:top w:type="dxa" w:w="60"/>
              <w:left w:type="dxa" w:w="120"/>
              <w:bottom w:type="dxa" w:w="60"/>
              <w:right w:type="dxa" w:w="120"/>
            </w:tcMar>
            <w:vAlign w:val="top"/>
          </w:tcPr>
          <w:p>
            <w:pPr>
              <w:spacing w:after="20" w:before="20"/>
              <w:jc w:val="left"/>
            </w:pPr>
            <w:r>
              <w:rPr>
                <w:rFonts w:ascii="Arial" w:cs="Arial" w:eastAsia="Arial" w:hAnsi="Arial"/>
                <w:b w:val="false"/>
                <w:bCs w:val="false"/>
                <w:i w:val="false"/>
                <w:iCs w:val="false"/>
                <w:sz w:val="20"/>
                <w:szCs w:val="20"/>
              </w:rPr>
              <w:t xml:space="preserve">0.705</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20" w:before="20"/>
              <w:jc w:val="left"/>
            </w:pPr>
            <w:r>
              <w:rPr>
                <w:rFonts w:ascii="Arial" w:cs="Arial" w:eastAsia="Arial" w:hAnsi="Arial"/>
                <w:b w:val="false"/>
                <w:bCs w:val="false"/>
                <w:i w:val="false"/>
                <w:iCs w:val="false"/>
                <w:sz w:val="20"/>
                <w:szCs w:val="20"/>
              </w:rPr>
              <w:t xml:space="preserve">Unconstrained</w:t>
            </w:r>
          </w:p>
        </w:tc>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20" w:before="20"/>
              <w:jc w:val="left"/>
            </w:pPr>
            <w:r>
              <w:rPr>
                <w:rFonts w:ascii="Arial" w:cs="Arial" w:eastAsia="Arial" w:hAnsi="Arial"/>
                <w:b w:val="false"/>
                <w:bCs w:val="false"/>
                <w:i w:val="false"/>
                <w:iCs w:val="false"/>
                <w:sz w:val="20"/>
                <w:szCs w:val="20"/>
              </w:rPr>
              <w:t xml:space="preserve">0.7251</w:t>
            </w:r>
          </w:p>
        </w:tc>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20" w:before="20"/>
              <w:jc w:val="left"/>
            </w:pPr>
            <w:r>
              <w:rPr>
                <w:rFonts w:ascii="Arial" w:cs="Arial" w:eastAsia="Arial" w:hAnsi="Arial"/>
                <w:b w:val="false"/>
                <w:bCs w:val="false"/>
                <w:i w:val="false"/>
                <w:iCs w:val="false"/>
                <w:sz w:val="20"/>
                <w:szCs w:val="20"/>
              </w:rPr>
              <w:t xml:space="preserve">0.7299</w:t>
            </w:r>
          </w:p>
        </w:tc>
        <w:tc>
          <w:tcPr>
            <w:tcW w:type="dxa" w:w="156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20" w:before="20"/>
              <w:jc w:val="left"/>
            </w:pPr>
            <w:r>
              <w:rPr>
                <w:rFonts w:ascii="Arial" w:cs="Arial" w:eastAsia="Arial" w:hAnsi="Arial"/>
                <w:b w:val="false"/>
                <w:bCs w:val="false"/>
                <w:i w:val="false"/>
                <w:iCs w:val="false"/>
                <w:sz w:val="20"/>
                <w:szCs w:val="20"/>
              </w:rPr>
              <w:t xml:space="preserve">0.1512</w:t>
            </w:r>
          </w:p>
        </w:tc>
        <w:tc>
          <w:tcPr>
            <w:tcW w:type="dxa" w:w="130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20" w:before="20"/>
              <w:jc w:val="left"/>
            </w:pPr>
            <w:r>
              <w:rPr>
                <w:rFonts w:ascii="Arial" w:cs="Arial" w:eastAsia="Arial" w:hAnsi="Arial"/>
                <w:b w:val="false"/>
                <w:bCs w:val="false"/>
                <w:i w:val="false"/>
                <w:iCs w:val="false"/>
                <w:sz w:val="20"/>
                <w:szCs w:val="20"/>
              </w:rPr>
              <w:t xml:space="preserve">0.475</w:t>
            </w:r>
          </w:p>
        </w:tc>
        <w:tc>
          <w:tcPr>
            <w:tcW w:type="dxa" w:w="130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20" w:before="20"/>
              <w:jc w:val="left"/>
            </w:pPr>
            <w:r>
              <w:rPr>
                <w:rFonts w:ascii="Arial" w:cs="Arial" w:eastAsia="Arial" w:hAnsi="Arial"/>
                <w:b w:val="false"/>
                <w:bCs w:val="false"/>
                <w:i w:val="false"/>
                <w:iCs w:val="false"/>
                <w:sz w:val="20"/>
                <w:szCs w:val="20"/>
              </w:rPr>
              <w:t xml:space="preserve">0.992</w:t>
            </w:r>
          </w:p>
        </w:tc>
      </w:tr>
    </w:tbl>
    <w:p>
      <w:pPr>
        <w:spacing w:after="80" w:before="280"/>
      </w:pPr>
      <w:r>
        <w:rPr>
          <w:rFonts w:ascii="Arial" w:cs="Arial" w:eastAsia="Arial" w:hAnsi="Arial"/>
          <w:b/>
          <w:bCs/>
          <w:color w:val="2E75B6"/>
          <w:sz w:val="26"/>
          <w:szCs w:val="26"/>
        </w:rPr>
        <w:t xml:space="preserve">H3 — Cohen’s d</w:t>
      </w:r>
    </w:p>
    <w:p>
      <w:pPr>
        <w:spacing w:after="60" w:before="60"/>
      </w:pPr>
      <w:r>
        <w:rPr>
          <w:rFonts w:ascii="Arial" w:cs="Arial" w:eastAsia="Arial" w:hAnsi="Arial"/>
          <w:b/>
          <w:bCs/>
          <w:sz w:val="22"/>
          <w:szCs w:val="22"/>
        </w:rPr>
        <w:t xml:space="preserve">d = −2.1798</w:t>
      </w:r>
      <w:r>
        <w:rPr>
          <w:rFonts w:ascii="Arial" w:cs="Arial" w:eastAsia="Arial" w:hAnsi="Arial"/>
          <w:sz w:val="22"/>
          <w:szCs w:val="22"/>
        </w:rPr>
        <w:t xml:space="preserve">  (constrained − unconstrained, preregistered direction)</w:t>
      </w:r>
    </w:p>
    <w:p>
      <w:pPr>
        <w:spacing w:after="60" w:before="60"/>
      </w:pPr>
      <w:r>
        <w:rPr>
          <w:rFonts w:ascii="Arial" w:cs="Arial" w:eastAsia="Arial" w:hAnsi="Arial"/>
          <w:sz w:val="22"/>
          <w:szCs w:val="22"/>
        </w:rPr>
        <w:t xml:space="preserve">Direction: inverted from prediction. Constrained agents showed lower SSS than unconstrained agents. Effect size |d| = 2.18 far exceeds the preregistered threshold of d &gt; 0.8 — but in the opposite direction. H3 not confirmed in the predicted direction.</w:t>
      </w:r>
    </w:p>
    <w:p>
      <w:pPr>
        <w:spacing w:after="60" w:before="60"/>
      </w:pPr>
      <w:r>
        <w:rPr>
          <w:rFonts w:ascii="Arial" w:cs="Arial" w:eastAsia="Arial" w:hAnsi="Arial"/>
          <w:sz w:val="22"/>
          <w:szCs w:val="22"/>
        </w:rPr>
        <w:t xml:space="preserve">Interpretation: The ethical constraint produced a large, consistent effect on SSS — but the effect was suppression, not enhancement. Constrained agents systematically achieved lower sustained structure than unconstrained agents across all but one seed pair.</w:t>
      </w:r>
    </w:p>
    <w:p>
      <w:pPr>
        <w:pBdr>
          <w:bottom w:val="single" w:color="2E75B6" w:sz="6"/>
        </w:pBdr>
        <w:spacing w:after="120" w:before="400"/>
      </w:pPr>
      <w:r>
        <w:rPr>
          <w:rFonts w:ascii="Arial" w:cs="Arial" w:eastAsia="Arial" w:hAnsi="Arial"/>
          <w:b/>
          <w:bCs/>
          <w:color w:val="1F4E79"/>
          <w:sz w:val="32"/>
          <w:szCs w:val="32"/>
        </w:rPr>
        <w:t xml:space="preserve">8. Behavioral Clusters (constrained condition only)</w:t>
      </w:r>
    </w:p>
    <w:p>
      <w:pPr>
        <w:spacing w:after="60" w:before="60"/>
      </w:pPr>
      <w:r>
        <w:rPr>
          <w:rFonts w:ascii="Arial" w:cs="Arial" w:eastAsia="Arial" w:hAnsi="Arial"/>
          <w:sz w:val="22"/>
          <w:szCs w:val="22"/>
        </w:rPr>
        <w:t xml:space="preserve">Three clusters are identified in the constrained condition. Unconstrained seeds are the control baseline and are not clustered. Cluster labels are post-hoc and not preregistered.</w:t>
      </w:r>
    </w:p>
    <w:p>
      <w:pPr>
        <w:spacing w:after="20" w:before="20"/>
      </w:pPr>
      <w:r>
        <w:rPr>
          <w:rFonts w:ascii="Arial" w:cs="Arial" w:eastAsia="Arial" w:hAnsi="Arial"/>
          <w:sz w:val="22"/>
          <w:szCs w:val="22"/>
        </w:rPr>
        <w:t xml:space="preserve"/>
      </w:r>
    </w:p>
    <w:p>
      <w:pPr>
        <w:spacing w:after="60" w:before="60"/>
      </w:pPr>
      <w:r>
        <w:rPr>
          <w:rFonts w:ascii="Arial" w:cs="Arial" w:eastAsia="Arial" w:hAnsi="Arial"/>
          <w:b/>
          <w:bCs/>
          <w:sz w:val="22"/>
          <w:szCs w:val="22"/>
        </w:rPr>
        <w:t xml:space="preserve">Threshold: </w:t>
      </w:r>
      <w:r>
        <w:rPr>
          <w:rFonts w:ascii="Arial" w:cs="Arial" w:eastAsia="Arial" w:hAnsi="Arial"/>
          <w:sz w:val="22"/>
          <w:szCs w:val="22"/>
        </w:rPr>
        <w:t xml:space="preserve">SSS &lt; 0.45 separates quiet collapse from healthy with a natural gap (max quiet collapse SSS = 0.224, min healthy SSS = 0.535). Threshold approved by Bruce Tisler, March 11, 2026.</w:t>
      </w:r>
    </w:p>
    <w:p>
      <w:pPr>
        <w:spacing w:after="20" w:before="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400"/>
        <w:gridCol w:w="4460"/>
      </w:tblGrid>
      <w:tr>
        <w:tc>
          <w:tcPr>
            <w:tcW w:type="dxa" w:w="1500"/>
            <w:tcBorders>
              <w:top w:val="single" w:color="2E75B6" w:sz="1"/>
              <w:left w:val="single" w:color="2E75B6" w:sz="1"/>
              <w:bottom w:val="single" w:color="2E75B6" w:sz="1"/>
              <w:right w:val="single" w:color="2E75B6" w:sz="1"/>
            </w:tcBorders>
            <w:shd w:fill="2E75B6" w:val="clear"/>
            <w:tcMar>
              <w:top w:type="dxa" w:w="60"/>
              <w:left w:type="dxa" w:w="120"/>
              <w:bottom w:type="dxa" w:w="60"/>
              <w:right w:type="dxa" w:w="120"/>
            </w:tcMar>
            <w:vAlign w:val="top"/>
          </w:tcPr>
          <w:p>
            <w:pPr>
              <w:spacing w:after="20" w:before="20"/>
              <w:jc w:val="left"/>
            </w:pPr>
            <w:r>
              <w:rPr>
                <w:rFonts w:ascii="Arial" w:cs="Arial" w:eastAsia="Arial" w:hAnsi="Arial"/>
                <w:b/>
                <w:bCs/>
                <w:i w:val="false"/>
                <w:iCs w:val="false"/>
                <w:color w:val="FFFFFF"/>
                <w:sz w:val="20"/>
                <w:szCs w:val="20"/>
              </w:rPr>
              <w:t xml:space="preserve">Cluster</w:t>
            </w:r>
          </w:p>
        </w:tc>
        <w:tc>
          <w:tcPr>
            <w:tcW w:type="dxa" w:w="3400"/>
            <w:tcBorders>
              <w:top w:val="single" w:color="2E75B6" w:sz="1"/>
              <w:left w:val="single" w:color="2E75B6" w:sz="1"/>
              <w:bottom w:val="single" w:color="2E75B6" w:sz="1"/>
              <w:right w:val="single" w:color="2E75B6" w:sz="1"/>
            </w:tcBorders>
            <w:shd w:fill="2E75B6" w:val="clear"/>
            <w:tcMar>
              <w:top w:type="dxa" w:w="60"/>
              <w:left w:type="dxa" w:w="120"/>
              <w:bottom w:type="dxa" w:w="60"/>
              <w:right w:type="dxa" w:w="120"/>
            </w:tcMar>
            <w:vAlign w:val="top"/>
          </w:tcPr>
          <w:p>
            <w:pPr>
              <w:spacing w:after="20" w:before="20"/>
              <w:jc w:val="left"/>
            </w:pPr>
            <w:r>
              <w:rPr>
                <w:rFonts w:ascii="Arial" w:cs="Arial" w:eastAsia="Arial" w:hAnsi="Arial"/>
                <w:b/>
                <w:bCs/>
                <w:i w:val="false"/>
                <w:iCs w:val="false"/>
                <w:color w:val="FFFFFF"/>
                <w:sz w:val="20"/>
                <w:szCs w:val="20"/>
              </w:rPr>
              <w:t xml:space="preserve">Seed membership</w:t>
            </w:r>
          </w:p>
        </w:tc>
        <w:tc>
          <w:tcPr>
            <w:tcW w:type="dxa" w:w="4460"/>
            <w:tcBorders>
              <w:top w:val="single" w:color="2E75B6" w:sz="1"/>
              <w:left w:val="single" w:color="2E75B6" w:sz="1"/>
              <w:bottom w:val="single" w:color="2E75B6" w:sz="1"/>
              <w:right w:val="single" w:color="2E75B6" w:sz="1"/>
            </w:tcBorders>
            <w:shd w:fill="2E75B6" w:val="clear"/>
            <w:tcMar>
              <w:top w:type="dxa" w:w="60"/>
              <w:left w:type="dxa" w:w="120"/>
              <w:bottom w:type="dxa" w:w="60"/>
              <w:right w:type="dxa" w:w="120"/>
            </w:tcMar>
            <w:vAlign w:val="top"/>
          </w:tcPr>
          <w:p>
            <w:pPr>
              <w:spacing w:after="20" w:before="20"/>
              <w:jc w:val="left"/>
            </w:pPr>
            <w:r>
              <w:rPr>
                <w:rFonts w:ascii="Arial" w:cs="Arial" w:eastAsia="Arial" w:hAnsi="Arial"/>
                <w:b/>
                <w:bCs/>
                <w:i w:val="false"/>
                <w:iCs w:val="false"/>
                <w:color w:val="FFFFFF"/>
                <w:sz w:val="20"/>
                <w:szCs w:val="20"/>
              </w:rPr>
              <w:t xml:space="preserve">Characterization</w:t>
            </w:r>
          </w:p>
        </w:tc>
      </w:tr>
      <w:tr>
        <w:tc>
          <w:tcPr>
            <w:tcW w:type="dxa" w:w="1500"/>
            <w:tcBorders>
              <w:top w:val="single" w:color="CCCCCC" w:sz="1"/>
              <w:left w:val="single" w:color="CCCCCC" w:sz="1"/>
              <w:bottom w:val="single" w:color="CCCCCC" w:sz="1"/>
              <w:right w:val="single" w:color="CCCCCC" w:sz="1"/>
            </w:tcBorders>
            <w:shd w:fill="FCE4D6" w:val="clear"/>
            <w:tcMar>
              <w:top w:type="dxa" w:w="60"/>
              <w:left w:type="dxa" w:w="120"/>
              <w:bottom w:type="dxa" w:w="60"/>
              <w:right w:type="dxa" w:w="120"/>
            </w:tcMar>
            <w:vAlign w:val="top"/>
          </w:tcPr>
          <w:p>
            <w:pPr>
              <w:spacing w:after="20" w:before="20"/>
              <w:jc w:val="left"/>
            </w:pPr>
            <w:r>
              <w:rPr>
                <w:rFonts w:ascii="Arial" w:cs="Arial" w:eastAsia="Arial" w:hAnsi="Arial"/>
                <w:b/>
                <w:bCs/>
                <w:i w:val="false"/>
                <w:iCs w:val="false"/>
                <w:sz w:val="20"/>
                <w:szCs w:val="20"/>
              </w:rPr>
              <w:t xml:space="preserve">Gaming</w:t>
            </w:r>
          </w:p>
        </w:tc>
        <w:tc>
          <w:tcPr>
            <w:tcW w:type="dxa" w:w="340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20" w:before="20"/>
              <w:jc w:val="left"/>
            </w:pPr>
            <w:r>
              <w:rPr>
                <w:rFonts w:ascii="Arial" w:cs="Arial" w:eastAsia="Arial" w:hAnsi="Arial"/>
                <w:b w:val="false"/>
                <w:bCs w:val="false"/>
                <w:i w:val="false"/>
                <w:iCs w:val="false"/>
                <w:sz w:val="20"/>
                <w:szCs w:val="20"/>
              </w:rPr>
              <w:t xml:space="preserve">Seeds 0, 6, 7, 9
(4 of 10)</w:t>
            </w:r>
          </w:p>
        </w:tc>
        <w:tc>
          <w:tcPr>
            <w:tcW w:type="dxa" w:w="446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20" w:before="20"/>
              <w:jc w:val="left"/>
            </w:pPr>
            <w:r>
              <w:rPr>
                <w:rFonts w:ascii="Arial" w:cs="Arial" w:eastAsia="Arial" w:hAnsi="Arial"/>
                <w:b w:val="false"/>
                <w:bCs w:val="false"/>
                <w:i w:val="false"/>
                <w:iCs w:val="false"/>
                <w:sz w:val="20"/>
                <w:szCs w:val="20"/>
              </w:rPr>
              <w:t xml:space="preserve">Declining ethical_cost AND declining type_entropy in second half (algorithmic flag). Query rates 0.74–0.94. Agents learned to minimize ethical cost without maintaining interrogative diversity.</w:t>
            </w:r>
          </w:p>
        </w:tc>
      </w:tr>
      <w:tr>
        <w:tc>
          <w:tcPr>
            <w:tcW w:type="dxa" w:w="150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120"/>
            </w:tcMar>
            <w:vAlign w:val="top"/>
          </w:tcPr>
          <w:p>
            <w:pPr>
              <w:spacing w:after="20" w:before="20"/>
              <w:jc w:val="left"/>
            </w:pPr>
            <w:r>
              <w:rPr>
                <w:rFonts w:ascii="Arial" w:cs="Arial" w:eastAsia="Arial" w:hAnsi="Arial"/>
                <w:b/>
                <w:bCs/>
                <w:i w:val="false"/>
                <w:iCs w:val="false"/>
                <w:sz w:val="20"/>
                <w:szCs w:val="20"/>
              </w:rPr>
              <w:t xml:space="preserve">Quiet collapse</w:t>
            </w:r>
          </w:p>
        </w:tc>
        <w:tc>
          <w:tcPr>
            <w:tcW w:type="dxa" w:w="340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20" w:before="20"/>
              <w:jc w:val="left"/>
            </w:pPr>
            <w:r>
              <w:rPr>
                <w:rFonts w:ascii="Arial" w:cs="Arial" w:eastAsia="Arial" w:hAnsi="Arial"/>
                <w:b w:val="false"/>
                <w:bCs w:val="false"/>
                <w:i w:val="false"/>
                <w:iCs w:val="false"/>
                <w:sz w:val="20"/>
                <w:szCs w:val="20"/>
              </w:rPr>
              <w:t xml:space="preserve">Seeds 1, 2, 5
(3 of 10)</w:t>
            </w:r>
          </w:p>
        </w:tc>
        <w:tc>
          <w:tcPr>
            <w:tcW w:type="dxa" w:w="446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20" w:before="20"/>
              <w:jc w:val="left"/>
            </w:pPr>
            <w:r>
              <w:rPr>
                <w:rFonts w:ascii="Arial" w:cs="Arial" w:eastAsia="Arial" w:hAnsi="Arial"/>
                <w:b w:val="false"/>
                <w:bCs w:val="false"/>
                <w:i w:val="false"/>
                <w:iCs w:val="false"/>
                <w:sz w:val="20"/>
                <w:szCs w:val="20"/>
              </w:rPr>
              <w:t xml:space="preserve">SSS &lt; 0.45, no gaming flag triggered. SSS range 0.038–0.224. Failed to sustain interrogative structure without finding the query-flooding attractor.</w:t>
            </w:r>
          </w:p>
        </w:tc>
      </w:tr>
      <w:tr>
        <w:tc>
          <w:tcPr>
            <w:tcW w:type="dxa" w:w="150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vAlign w:val="top"/>
          </w:tcPr>
          <w:p>
            <w:pPr>
              <w:spacing w:after="20" w:before="20"/>
              <w:jc w:val="left"/>
            </w:pPr>
            <w:r>
              <w:rPr>
                <w:rFonts w:ascii="Arial" w:cs="Arial" w:eastAsia="Arial" w:hAnsi="Arial"/>
                <w:b/>
                <w:bCs/>
                <w:i w:val="false"/>
                <w:iCs w:val="false"/>
                <w:sz w:val="20"/>
                <w:szCs w:val="20"/>
              </w:rPr>
              <w:t xml:space="preserve">Healthy</w:t>
            </w:r>
          </w:p>
        </w:tc>
        <w:tc>
          <w:tcPr>
            <w:tcW w:type="dxa" w:w="340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20" w:before="20"/>
              <w:jc w:val="left"/>
            </w:pPr>
            <w:r>
              <w:rPr>
                <w:rFonts w:ascii="Arial" w:cs="Arial" w:eastAsia="Arial" w:hAnsi="Arial"/>
                <w:b w:val="false"/>
                <w:bCs w:val="false"/>
                <w:i w:val="false"/>
                <w:iCs w:val="false"/>
                <w:sz w:val="20"/>
                <w:szCs w:val="20"/>
              </w:rPr>
              <w:t xml:space="preserve">Seeds 3, 4, 8
(3 of 10)</w:t>
            </w:r>
          </w:p>
        </w:tc>
        <w:tc>
          <w:tcPr>
            <w:tcW w:type="dxa" w:w="446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20" w:before="20"/>
              <w:jc w:val="left"/>
            </w:pPr>
            <w:r>
              <w:rPr>
                <w:rFonts w:ascii="Arial" w:cs="Arial" w:eastAsia="Arial" w:hAnsi="Arial"/>
                <w:b w:val="false"/>
                <w:bCs w:val="false"/>
                <w:i w:val="false"/>
                <w:iCs w:val="false"/>
                <w:sz w:val="20"/>
                <w:szCs w:val="20"/>
              </w:rPr>
              <w:t xml:space="preserve">SSS ≥ 0.45, no gaming flag triggered. SSS range 0.535–0.705. Maintained interrogative diversity under constraint.</w:t>
            </w:r>
          </w:p>
        </w:tc>
      </w:tr>
    </w:tbl>
    <w:p>
      <w:pPr>
        <w:pBdr>
          <w:bottom w:val="single" w:color="2E75B6" w:sz="6"/>
        </w:pBdr>
        <w:spacing w:after="120" w:before="400"/>
      </w:pPr>
      <w:r>
        <w:rPr>
          <w:rFonts w:ascii="Arial" w:cs="Arial" w:eastAsia="Arial" w:hAnsi="Arial"/>
          <w:b/>
          <w:bCs/>
          <w:color w:val="1F4E79"/>
          <w:sz w:val="32"/>
          <w:szCs w:val="32"/>
        </w:rPr>
        <w:t xml:space="preserve">9. Seeds 0 and 1 Data Provenance</w:t>
      </w:r>
    </w:p>
    <w:p>
      <w:pPr>
        <w:spacing w:after="60" w:before="60"/>
      </w:pPr>
      <w:r>
        <w:rPr>
          <w:rFonts w:ascii="Arial" w:cs="Arial" w:eastAsia="Arial" w:hAnsi="Arial"/>
          <w:sz w:val="22"/>
          <w:szCs w:val="22"/>
        </w:rPr>
        <w:t xml:space="preserve">Seeds 0 and 1 (both conditions) were rerun twice during this campaign.</w:t>
      </w:r>
    </w:p>
    <w:p>
      <w:pPr>
        <w:pStyle w:val="ListParagraph"/>
        <w:numPr>
          <w:ilvl w:val="0"/>
          <w:numId w:val="2"/>
        </w:numPr>
        <w:spacing w:after="36" w:before="36"/>
      </w:pPr>
      <w:r>
        <w:rPr>
          <w:rFonts w:ascii="Arial" w:cs="Arial" w:eastAsia="Arial" w:hAnsi="Arial"/>
          <w:sz w:val="22"/>
          <w:szCs w:val="22"/>
        </w:rPr>
        <w:t xml:space="preserve">First rerun: after query_rate bug fix (Deviation 3). File timestamps predated the fix commit (6dc083e), creating a provenance ambiguity that could not be resolved by timestamps alone.</w:t>
      </w:r>
    </w:p>
    <w:p>
      <w:pPr>
        <w:pStyle w:val="ListParagraph"/>
        <w:numPr>
          <w:ilvl w:val="0"/>
          <w:numId w:val="2"/>
        </w:numPr>
        <w:spacing w:after="36" w:before="36"/>
      </w:pPr>
      <w:r>
        <w:rPr>
          <w:rFonts w:ascii="Arial" w:cs="Arial" w:eastAsia="Arial" w:hAnsi="Arial"/>
          <w:sz w:val="22"/>
          <w:szCs w:val="22"/>
        </w:rPr>
        <w:t xml:space="preserve">Second rerun: March 11, 2026, under the committed fixed code. All four epoch_series.json files carry Mar 11 timestamps, confirming data originates from post-fix runs.</w:t>
      </w:r>
    </w:p>
    <w:p>
      <w:pPr>
        <w:spacing w:after="20" w:before="20"/>
      </w:pPr>
      <w:r>
        <w:rPr>
          <w:rFonts w:ascii="Arial" w:cs="Arial" w:eastAsia="Arial" w:hAnsi="Arial"/>
          <w:sz w:val="22"/>
          <w:szCs w:val="22"/>
        </w:rPr>
        <w:t xml:space="preserve"/>
      </w:r>
    </w:p>
    <w:p>
      <w:pPr>
        <w:spacing w:after="60" w:before="60"/>
      </w:pPr>
      <w:r>
        <w:rPr>
          <w:rFonts w:ascii="Arial" w:cs="Arial" w:eastAsia="Arial" w:hAnsi="Arial"/>
          <w:b/>
          <w:bCs/>
          <w:sz w:val="22"/>
          <w:szCs w:val="22"/>
        </w:rPr>
        <w:t xml:space="preserve">Timestamp verification: </w:t>
      </w:r>
    </w:p>
    <w:p>
      <w:pPr>
        <w:pStyle w:val="ListParagraph"/>
        <w:numPr>
          <w:ilvl w:val="0"/>
          <w:numId w:val="2"/>
        </w:numPr>
        <w:spacing w:after="36" w:before="36"/>
      </w:pPr>
      <w:r>
        <w:rPr>
          <w:rFonts w:ascii="Arial" w:cs="Arial" w:eastAsia="Arial" w:hAnsi="Arial"/>
          <w:sz w:val="22"/>
          <w:szCs w:val="22"/>
        </w:rPr>
        <w:t xml:space="preserve">seed_0 constrained: 2026-03-11 16:36:56 — postdates fix commit ✓</w:t>
      </w:r>
    </w:p>
    <w:p>
      <w:pPr>
        <w:pStyle w:val="ListParagraph"/>
        <w:numPr>
          <w:ilvl w:val="0"/>
          <w:numId w:val="2"/>
        </w:numPr>
        <w:spacing w:after="36" w:before="36"/>
      </w:pPr>
      <w:r>
        <w:rPr>
          <w:rFonts w:ascii="Arial" w:cs="Arial" w:eastAsia="Arial" w:hAnsi="Arial"/>
          <w:sz w:val="22"/>
          <w:szCs w:val="22"/>
        </w:rPr>
        <w:t xml:space="preserve">seed_1 constrained: 2026-03-11 17:35:50 — postdates fix commit ✓</w:t>
      </w:r>
    </w:p>
    <w:p>
      <w:pPr>
        <w:pStyle w:val="ListParagraph"/>
        <w:numPr>
          <w:ilvl w:val="0"/>
          <w:numId w:val="2"/>
        </w:numPr>
        <w:spacing w:after="36" w:before="36"/>
      </w:pPr>
      <w:r>
        <w:rPr>
          <w:rFonts w:ascii="Arial" w:cs="Arial" w:eastAsia="Arial" w:hAnsi="Arial"/>
          <w:sz w:val="22"/>
          <w:szCs w:val="22"/>
        </w:rPr>
        <w:t xml:space="preserve">seed_0 unconstrained: 2026-03-11 16:41:51 — postdates fix commit ✓</w:t>
      </w:r>
    </w:p>
    <w:p>
      <w:pPr>
        <w:pStyle w:val="ListParagraph"/>
        <w:numPr>
          <w:ilvl w:val="0"/>
          <w:numId w:val="2"/>
        </w:numPr>
        <w:spacing w:after="36" w:before="36"/>
      </w:pPr>
      <w:r>
        <w:rPr>
          <w:rFonts w:ascii="Arial" w:cs="Arial" w:eastAsia="Arial" w:hAnsi="Arial"/>
          <w:sz w:val="22"/>
          <w:szCs w:val="22"/>
        </w:rPr>
        <w:t xml:space="preserve">seed_1 unconstrained: 2026-03-11 16:36:48 — postdates fix commit ✓</w:t>
      </w:r>
    </w:p>
    <w:p>
      <w:pPr>
        <w:spacing w:after="20" w:before="20"/>
      </w:pPr>
      <w:r>
        <w:rPr>
          <w:rFonts w:ascii="Arial" w:cs="Arial" w:eastAsia="Arial" w:hAnsi="Arial"/>
          <w:sz w:val="22"/>
          <w:szCs w:val="22"/>
        </w:rPr>
        <w:t xml:space="preserve"/>
      </w:r>
    </w:p>
    <w:p>
      <w:pPr>
        <w:spacing w:after="60" w:before="60"/>
      </w:pPr>
      <w:r>
        <w:rPr>
          <w:rFonts w:ascii="Arial" w:cs="Arial" w:eastAsia="Arial" w:hAnsi="Arial"/>
          <w:sz w:val="22"/>
          <w:szCs w:val="22"/>
        </w:rPr>
        <w:t xml:space="preserve">The SSS values for seeds 0 and 1 are unchanged from prior extractions (0.277 and 0.224 constrained; 0.823 and 0.615 unconstrained), confirming the simulation is deterministic by seed and the bug fix affected only logging, not simulation behavior.</w:t>
      </w:r>
    </w:p>
    <w:p>
      <w:pPr>
        <w:pBdr>
          <w:bottom w:val="single" w:color="2E75B6" w:sz="6"/>
        </w:pBdr>
        <w:spacing w:after="120" w:before="400"/>
      </w:pPr>
      <w:r>
        <w:rPr>
          <w:rFonts w:ascii="Arial" w:cs="Arial" w:eastAsia="Arial" w:hAnsi="Arial"/>
          <w:b/>
          <w:bCs/>
          <w:color w:val="1F4E79"/>
          <w:sz w:val="32"/>
          <w:szCs w:val="32"/>
        </w:rPr>
        <w:t xml:space="preserve">10. Interpretation</w:t>
      </w:r>
    </w:p>
    <w:p>
      <w:pPr>
        <w:pBdr>
          <w:left w:val="single" w:color="2E75B6" w:sz="12"/>
        </w:pBdr>
        <w:shd w:fill="D9E2F3" w:val="clear"/>
        <w:spacing w:after="60" w:before="60"/>
        <w:ind w:left="560" w:right="560"/>
      </w:pPr>
      <w:r>
        <w:rPr>
          <w:rFonts w:ascii="Arial" w:cs="Arial" w:eastAsia="Arial" w:hAnsi="Arial"/>
          <w:b w:val="false"/>
          <w:bCs w:val="false"/>
          <w:sz w:val="22"/>
          <w:szCs w:val="22"/>
        </w:rPr>
        <w:t xml:space="preserve">The dominant finding of Protocol 2 is not confirmation or falsification of the architectural necessity hypothesis in its original form. It is the discovery of a third behavioral category — virtue theater — that was not preregistered and is more relevant to AI alignment than the predicted outcome.
</w:t>
      </w:r>
      <w:r>
        <w:rPr>
          <w:rFonts w:ascii="Arial" w:cs="Arial" w:eastAsia="Arial" w:hAnsi="Arial"/>
          <w:b w:val="false"/>
          <w:bCs w:val="false"/>
          <w:sz w:val="22"/>
          <w:szCs w:val="22"/>
        </w:rPr>
        <w:t xml:space="preserve">Constrained agents did not fail to maintain interrogative structure because of resource depletion (the predicted mechanism). They failed because the ethical tax created an optimization target: minimize constraint-triggering behavior. The agents converged on query-flooding as the solution — a behavioral pattern that satisfies the metric used to detect compliance while producing lower actual interrogative diversity than unconstrained agents.
</w:t>
      </w:r>
      <w:r>
        <w:rPr>
          <w:rFonts w:ascii="Arial" w:cs="Arial" w:eastAsia="Arial" w:hAnsi="Arial"/>
          <w:b w:val="false"/>
          <w:bCs w:val="false"/>
          <w:sz w:val="22"/>
          <w:szCs w:val="22"/>
        </w:rPr>
        <w:t xml:space="preserve">The preregistration protects this finding. Because predictions were locked before data collection, the inverted results cannot be accused of HARKing. The deviation log documents every gap between theory and implementation. The finding stands on its own.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2026-03-12T00:52:35.084Z</dcterms:created>
  <dcterms:modified xsi:type="dcterms:W3CDTF">2026-03-12T00:52:35.085Z</dcterms:modified>
</cp:coreProperties>
</file>

<file path=docProps/custom.xml><?xml version="1.0" encoding="utf-8"?>
<Properties xmlns="http://schemas.openxmlformats.org/officeDocument/2006/custom-properties" xmlns:vt="http://schemas.openxmlformats.org/officeDocument/2006/docPropsVTypes"/>
</file>