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cf89fd5367f48af2fb9dd260c4eb6a90362fd3"/>
    <w:p>
      <w:pPr>
        <w:pStyle w:val="Heading1"/>
      </w:pPr>
      <w:r>
        <w:t xml:space="preserve">Enforcement Opacity Increased Query Behavior in a Constrained MARL System: Protocol 3 Results</w:t>
      </w:r>
    </w:p>
    <w:p>
      <w:pPr>
        <w:pStyle w:val="FirstParagraph"/>
      </w:pPr>
      <w:r>
        <w:rPr>
          <w:b/>
          <w:bCs/>
        </w:rPr>
        <w:t xml:space="preserve">Bruce Tisler</w:t>
      </w:r>
      <w:r>
        <w:br/>
      </w:r>
      <w:r>
        <w:t xml:space="preserve">Quantum Inquiry</w:t>
      </w:r>
    </w:p>
    <w:p>
      <w:pPr>
        <w:pStyle w:val="BodyText"/>
      </w:pPr>
      <w:r>
        <w:t xml:space="preserve">Preregistration DOI: 10.5281/zenodo.19096602</w:t>
      </w:r>
      <w:r>
        <w:br/>
      </w:r>
      <w:r>
        <w:t xml:space="preserve">SHA-256: 9ef2956bedcef012d214cf74e647e3b74636165cee7b48c8195de41e7e0e96ec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External constraints on agent behavior are widely proposed as a mechanism for producing</w:t>
      </w:r>
      <w:r>
        <w:t xml:space="preserve"> </w:t>
      </w:r>
      <w:r>
        <w:t xml:space="preserve">compliant behavior in multi-agent systems. Protocol 2 of the Δ-Variable constraint-ethics</w:t>
      </w:r>
      <w:r>
        <w:t xml:space="preserve"> </w:t>
      </w:r>
      <w:r>
        <w:t xml:space="preserve">research program found that deterministic ethical enforcement failed to produce the</w:t>
      </w:r>
      <w:r>
        <w:t xml:space="preserve"> </w:t>
      </w:r>
      <w:r>
        <w:t xml:space="preserve">intended compliance pattern: constrained agents instead inflated QUERY signal output while</w:t>
      </w:r>
      <w:r>
        <w:t xml:space="preserve"> </w:t>
      </w:r>
      <w:r>
        <w:t xml:space="preserve">sustained communicative structure declined — a pattern interpreted as virtue theater.</w:t>
      </w:r>
      <w:r>
        <w:t xml:space="preserve"> </w:t>
      </w:r>
      <w:r>
        <w:t xml:space="preserve">Protocol 3 tests whether enforcement opacity disrupts this pattern. Three preregistered</w:t>
      </w:r>
      <w:r>
        <w:t xml:space="preserve"> </w:t>
      </w:r>
      <w:r>
        <w:t xml:space="preserve">conditions were compared across 30 runs (10 seeds × 3 conditions × 500 epochs):</w:t>
      </w:r>
      <w:r>
        <w:t xml:space="preserve"> </w:t>
      </w:r>
      <w:r>
        <w:t xml:space="preserve">unconstrained baseline, hidden-schedule enforcement (p3b, where agents cannot observe</w:t>
      </w:r>
      <w:r>
        <w:t xml:space="preserve"> </w:t>
      </w:r>
      <w:r>
        <w:t xml:space="preserve">which epochs carry penalties), and stochastic enforcement (p3a, where penalties fire with</w:t>
      </w:r>
      <w:r>
        <w:t xml:space="preserve"> </w:t>
      </w:r>
      <w:r>
        <w:t xml:space="preserve">probability 0.50 per exploitation event; epoch-level penalty fired rate was near 1.000</w:t>
      </w:r>
      <w:r>
        <w:t xml:space="preserve"> </w:t>
      </w:r>
      <w:r>
        <w:t xml:space="preserve">for 3A because the exploitation threshold was crossed in virtually every epoch, not</w:t>
      </w:r>
      <w:r>
        <w:t xml:space="preserve"> </w:t>
      </w:r>
      <w:r>
        <w:t xml:space="preserve">because each event was always penalized). The primary hypothesis — that hidden-schedule</w:t>
      </w:r>
      <w:r>
        <w:t xml:space="preserve"> </w:t>
      </w:r>
      <w:r>
        <w:t xml:space="preserve">enforcement would reduce query rates relative to unconstrained baseline — was not</w:t>
      </w:r>
      <w:r>
        <w:t xml:space="preserve"> </w:t>
      </w:r>
      <w:r>
        <w:t xml:space="preserve">confirmed. The result was inverted: both constrained conditions produced substantially</w:t>
      </w:r>
      <w:r>
        <w:t xml:space="preserve"> </w:t>
      </w:r>
      <w:r>
        <w:t xml:space="preserve">higher query rates than the unconstrained baseline, with the ordering unconstrained</w:t>
      </w:r>
      <w:r>
        <w:t xml:space="preserve"> </w:t>
      </w:r>
      <w:r>
        <w:t xml:space="preserve">(</w:t>
      </w:r>
      <w:r>
        <w:rPr>
          <w:i/>
          <w:iCs/>
        </w:rPr>
        <w:t xml:space="preserve">M</w:t>
      </w:r>
      <w:r>
        <w:t xml:space="preserve"> </w:t>
      </w:r>
      <w:r>
        <w:t xml:space="preserve">= 0.286) &lt; hidden-schedule (</w:t>
      </w:r>
      <w:r>
        <w:rPr>
          <w:i/>
          <w:iCs/>
        </w:rPr>
        <w:t xml:space="preserve">M</w:t>
      </w:r>
      <w:r>
        <w:t xml:space="preserve"> </w:t>
      </w:r>
      <w:r>
        <w:t xml:space="preserve">= 0.587) &lt; stochastic (</w:t>
      </w:r>
      <w:r>
        <w:rPr>
          <w:i/>
          <w:iCs/>
        </w:rPr>
        <w:t xml:space="preserve">M</w:t>
      </w:r>
      <w:r>
        <w:t xml:space="preserve"> </w:t>
      </w:r>
      <w:r>
        <w:t xml:space="preserve">= 0.669). The control</w:t>
      </w:r>
      <w:r>
        <w:t xml:space="preserve"> </w:t>
      </w:r>
      <w:r>
        <w:t xml:space="preserve">hypothesis was confirmed: stochastic enforcement drove query rates above hidden-schedule</w:t>
      </w:r>
      <w:r>
        <w:t xml:space="preserve"> </w:t>
      </w:r>
      <w:r>
        <w:t xml:space="preserve">enforcement (</w:t>
      </w:r>
      <w:r>
        <w:rPr>
          <w:i/>
          <w:iCs/>
        </w:rPr>
        <w:t xml:space="preserve">U</w:t>
      </w:r>
      <w:r>
        <w:t xml:space="preserve"> </w:t>
      </w:r>
      <w:r>
        <w:t xml:space="preserve">= 74.0,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.038,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+0.82). Sustained Structure Score — the</w:t>
      </w:r>
      <w:r>
        <w:t xml:space="preserve"> </w:t>
      </w:r>
      <w:r>
        <w:t xml:space="preserve">product of type entropy and query–response coupling — followed the inverse ordering,</w:t>
      </w:r>
      <w:r>
        <w:t xml:space="preserve"> </w:t>
      </w:r>
      <w:r>
        <w:t xml:space="preserve">declining monotonically across conditions. Enforcement opacity altered agent behavior but</w:t>
      </w:r>
      <w:r>
        <w:t xml:space="preserve"> </w:t>
      </w:r>
      <w:r>
        <w:t xml:space="preserve">did not improve communicative structure, a pattern we term behavioral amplification</w:t>
      </w:r>
      <w:r>
        <w:t xml:space="preserve"> </w:t>
      </w:r>
      <w:r>
        <w:t xml:space="preserve">without structural improvement. The mechanism remains open and is designated for</w:t>
      </w:r>
      <w:r>
        <w:t xml:space="preserve"> </w:t>
      </w:r>
      <w:r>
        <w:t xml:space="preserve">follow-up trajectory analysis.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multi-agent reinforcement learning, ethical constraints, enforcement opacity,</w:t>
      </w:r>
      <w:r>
        <w:t xml:space="preserve"> </w:t>
      </w:r>
      <w:r>
        <w:t xml:space="preserve">virtue theater, regulatory constraint design, preregistered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foundational assumption in regulatory approaches to artificial agent behavior is that</w:t>
      </w:r>
      <w:r>
        <w:t xml:space="preserve"> </w:t>
      </w:r>
      <w:r>
        <w:t xml:space="preserve">external constraints — penalties applied when agents cross behavioral thresholds — can</w:t>
      </w:r>
      <w:r>
        <w:t xml:space="preserve"> </w:t>
      </w:r>
      <w:r>
        <w:t xml:space="preserve">redirect learned behavior toward compliance. If an agent incurs a cost for exploiting a</w:t>
      </w:r>
      <w:r>
        <w:t xml:space="preserve"> </w:t>
      </w:r>
      <w:r>
        <w:t xml:space="preserve">resource beyond an allowed threshold, the prediction is that the agent will learn to stay</w:t>
      </w:r>
      <w:r>
        <w:t xml:space="preserve"> </w:t>
      </w:r>
      <w:r>
        <w:t xml:space="preserve">below that threshold. This assumption underlies a wide range of proposed governance</w:t>
      </w:r>
      <w:r>
        <w:t xml:space="preserve"> </w:t>
      </w:r>
      <w:r>
        <w:t xml:space="preserve">mechanisms, from reinforcement learning from human feedback to hard behavioral</w:t>
      </w:r>
      <w:r>
        <w:t xml:space="preserve"> </w:t>
      </w:r>
      <w:r>
        <w:t xml:space="preserve">constraints in deployed systems.</w:t>
      </w:r>
    </w:p>
    <w:p>
      <w:pPr>
        <w:pStyle w:val="BodyText"/>
      </w:pPr>
      <w:r>
        <w:t xml:space="preserve">Protocol 2 of the Δ-Variable constraint-ethics research program tested this assumption</w:t>
      </w:r>
      <w:r>
        <w:t xml:space="preserve"> </w:t>
      </w:r>
      <w:r>
        <w:t xml:space="preserve">directly in a multi-agent reinforcement learning setting, using a deterministic ethical</w:t>
      </w:r>
      <w:r>
        <w:t xml:space="preserve"> </w:t>
      </w:r>
      <w:r>
        <w:t xml:space="preserve">tax applied whenever agents exceeded a prespecified exploitation threshold (Tisler, 2026a).</w:t>
      </w:r>
      <w:r>
        <w:t xml:space="preserve"> </w:t>
      </w:r>
      <w:r>
        <w:t xml:space="preserve">The result was not what the hypothesis predicted. Agents under deterministic constraint</w:t>
      </w:r>
      <w:r>
        <w:t xml:space="preserve"> </w:t>
      </w:r>
      <w:r>
        <w:t xml:space="preserve">enforcement did not reduce exploitation — they increased QUERY signal output instead,</w:t>
      </w:r>
      <w:r>
        <w:t xml:space="preserve"> </w:t>
      </w:r>
      <w:r>
        <w:t xml:space="preserve">producing a behavioral pattern in which the constrained metric (query rate) rose while the</w:t>
      </w:r>
      <w:r>
        <w:t xml:space="preserve"> </w:t>
      </w:r>
      <w:r>
        <w:t xml:space="preserve">underlying coordination function it was intended to reflect declined. Unconstrained agents</w:t>
      </w:r>
      <w:r>
        <w:t xml:space="preserve"> </w:t>
      </w:r>
      <w:r>
        <w:t xml:space="preserve">maintained higher sustained structural coherence than constrained agents in 8 of 10 seeds,</w:t>
      </w:r>
      <w:r>
        <w:t xml:space="preserve"> </w:t>
      </w:r>
      <w:r>
        <w:t xml:space="preserve">with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−2.18 in the direction opposite to the prediction. The Protocol 2</w:t>
      </w:r>
      <w:r>
        <w:t xml:space="preserve"> </w:t>
      </w:r>
      <w:r>
        <w:t xml:space="preserve">paper termed this pattern virtue theater: the agents satisfied the behavioral metric the</w:t>
      </w:r>
      <w:r>
        <w:t xml:space="preserve"> </w:t>
      </w:r>
      <w:r>
        <w:t xml:space="preserve">constraint was designed to protect without producing the behavior the metric was intended</w:t>
      </w:r>
      <w:r>
        <w:t xml:space="preserve"> </w:t>
      </w:r>
      <w:r>
        <w:t xml:space="preserve">to track.</w:t>
      </w:r>
    </w:p>
    <w:p>
      <w:pPr>
        <w:pStyle w:val="BodyText"/>
      </w:pPr>
      <w:r>
        <w:t xml:space="preserve">The Protocol 2 finding raised a specific mechanistic question. Deterministic enforcement</w:t>
      </w:r>
      <w:r>
        <w:t xml:space="preserve"> </w:t>
      </w:r>
      <w:r>
        <w:t xml:space="preserve">creates a learnable boundary: the penalty fires on a fixed rule, and an agent that</w:t>
      </w:r>
      <w:r>
        <w:t xml:space="preserve"> </w:t>
      </w:r>
      <w:r>
        <w:t xml:space="preserve">explores its environment long enough can identify where the threshold lies and optimize</w:t>
      </w:r>
      <w:r>
        <w:t xml:space="preserve"> </w:t>
      </w:r>
      <w:r>
        <w:t xml:space="preserve">behavior at its edge. The virtue theater pattern is consistent with agents doing exactly</w:t>
      </w:r>
      <w:r>
        <w:t xml:space="preserve"> </w:t>
      </w:r>
      <w:r>
        <w:t xml:space="preserve">this — locating the enforcement boundary and generating just enough QUERY output to</w:t>
      </w:r>
      <w:r>
        <w:t xml:space="preserve"> </w:t>
      </w:r>
      <w:r>
        <w:t xml:space="preserve">suppress penalty without restructuring the underlying coordination strategy. If that</w:t>
      </w:r>
      <w:r>
        <w:t xml:space="preserve"> </w:t>
      </w:r>
      <w:r>
        <w:t xml:space="preserve">interpretation is correct, then the boundary’s learnability is load-bearing. Hiding the</w:t>
      </w:r>
      <w:r>
        <w:t xml:space="preserve"> </w:t>
      </w:r>
      <w:r>
        <w:t xml:space="preserve">enforcement schedule should disrupt the gaming strategy.</w:t>
      </w:r>
    </w:p>
    <w:p>
      <w:pPr>
        <w:pStyle w:val="BodyText"/>
      </w:pPr>
      <w:r>
        <w:t xml:space="preserve">Protocol 3 tests this directly. Three conditions were preregistered: an unconstrained</w:t>
      </w:r>
      <w:r>
        <w:t xml:space="preserve"> </w:t>
      </w:r>
      <w:r>
        <w:t xml:space="preserve">control, a hidden-schedule enforcement condition (p3b_constrained) in which the ethical</w:t>
      </w:r>
      <w:r>
        <w:t xml:space="preserve"> </w:t>
      </w:r>
      <w:r>
        <w:t xml:space="preserve">tax fires on a pre-committed but undisclosed set of epochs that agents cannot observe,</w:t>
      </w:r>
      <w:r>
        <w:t xml:space="preserve"> </w:t>
      </w:r>
      <w:r>
        <w:t xml:space="preserve">and a stochastic enforcement condition (p3a_constrained) in which the tax fires with</w:t>
      </w:r>
      <w:r>
        <w:t xml:space="preserve"> </w:t>
      </w:r>
      <w:r>
        <w:t xml:space="preserve">probability 0.50 each time the exploitation threshold is crossed. Both constrained</w:t>
      </w:r>
      <w:r>
        <w:t xml:space="preserve"> </w:t>
      </w:r>
      <w:r>
        <w:t xml:space="preserve">conditions match the Protocol 2 enforcement intensity in expectation: the hidden schedule</w:t>
      </w:r>
      <w:r>
        <w:t xml:space="preserve"> </w:t>
      </w:r>
      <w:r>
        <w:t xml:space="preserve">covers approximately 52% of epochs, and the stochastic condition fires on approximately</w:t>
      </w:r>
      <w:r>
        <w:t xml:space="preserve"> </w:t>
      </w:r>
      <w:r>
        <w:t xml:space="preserve">50% of qualifying exploitation events. The manipulation is the structure of uncertainty,</w:t>
      </w:r>
      <w:r>
        <w:t xml:space="preserve"> </w:t>
      </w:r>
      <w:r>
        <w:t xml:space="preserve">not the magnitude of enforcement.</w:t>
      </w:r>
    </w:p>
    <w:p>
      <w:pPr>
        <w:pStyle w:val="BodyText"/>
      </w:pPr>
      <w:r>
        <w:t xml:space="preserve">The primary preregistered hypothesis was that hidden-schedule enforcement would produce</w:t>
      </w:r>
      <w:r>
        <w:t xml:space="preserve"> </w:t>
      </w:r>
      <w:r>
        <w:t xml:space="preserve">lower query rates than unconstrained baseline: if agents cannot locate the enforcement</w:t>
      </w:r>
      <w:r>
        <w:t xml:space="preserve"> </w:t>
      </w:r>
      <w:r>
        <w:t xml:space="preserve">boundary, the query-flooding strategy that satisfied the P2 constraint loses its</w:t>
      </w:r>
      <w:r>
        <w:t xml:space="preserve"> </w:t>
      </w:r>
      <w:r>
        <w:t xml:space="preserve">informativeness and should not be reinforced. The control hypothesis was that stochastic</w:t>
      </w:r>
      <w:r>
        <w:t xml:space="preserve"> </w:t>
      </w:r>
      <w:r>
        <w:t xml:space="preserve">enforcement would produce higher query rates than hidden-schedule enforcement, isolating</w:t>
      </w:r>
      <w:r>
        <w:t xml:space="preserve"> </w:t>
      </w:r>
      <w:r>
        <w:t xml:space="preserve">boundary-opacity (rather than mere enforcement stochasticity) as the operative mechanism.</w:t>
      </w:r>
    </w:p>
    <w:p>
      <w:pPr>
        <w:pStyle w:val="BodyText"/>
      </w:pPr>
      <w:r>
        <w:t xml:space="preserve">The experiment was preregistered with locked parameters, a committed penalty schedule</w:t>
      </w:r>
      <w:r>
        <w:t xml:space="preserve"> </w:t>
      </w:r>
      <w:r>
        <w:t xml:space="preserve">with SHA-256 integrity verification, and a pre-specified falsification logic that treats</w:t>
      </w:r>
      <w:r>
        <w:t xml:space="preserve"> </w:t>
      </w:r>
      <w:r>
        <w:t xml:space="preserve">both confirmatory and null outcomes as theoretically meaningful. Results are reported in</w:t>
      </w:r>
      <w:r>
        <w:t xml:space="preserve"> </w:t>
      </w:r>
      <w:r>
        <w:t xml:space="preserve">full per the preregistration, including the case of H1 inversion, which the</w:t>
      </w:r>
      <w:r>
        <w:t xml:space="preserve"> </w:t>
      </w:r>
      <w:r>
        <w:t xml:space="preserve">preregistration designated as requiring post-hoc exploration.</w:t>
      </w:r>
    </w:p>
    <w:p>
      <w:r>
        <w:pict>
          <v:rect style="width:0;height:1.5pt" o:hralign="center" o:hrstd="t" o:hr="t"/>
        </w:pict>
      </w:r>
    </w:p>
    <w:bookmarkEnd w:id="10"/>
    <w:bookmarkStart w:id="20" w:name="methods"/>
    <w:p>
      <w:pPr>
        <w:pStyle w:val="Heading2"/>
      </w:pPr>
      <w:r>
        <w:t xml:space="preserve">2. Methods</w:t>
      </w:r>
    </w:p>
    <w:bookmarkStart w:id="11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Protocol 3 is a preregistered multi-agent reinforcement learning experiment comprising</w:t>
      </w:r>
      <w:r>
        <w:t xml:space="preserve"> </w:t>
      </w:r>
      <w:r>
        <w:t xml:space="preserve">30 runs: 3 conditions × 10 random seeds × 500 epochs, with 10 episodes per epoch. All</w:t>
      </w:r>
      <w:r>
        <w:t xml:space="preserve"> </w:t>
      </w:r>
      <w:r>
        <w:t xml:space="preserve">parameters were locked prior to data collection per the preregistration</w:t>
      </w:r>
      <w:r>
        <w:t xml:space="preserve"> </w:t>
      </w:r>
      <w:r>
        <w:t xml:space="preserve">(DOI: 10.5281/zenodo.19096602). Run order followed the preregistration: p3_unconstrained</w:t>
      </w:r>
      <w:r>
        <w:t xml:space="preserve"> </w:t>
      </w:r>
      <w:r>
        <w:t xml:space="preserve">first, then p3b_constrained (after schedule hash verification), then p3a_constrained.</w:t>
      </w:r>
    </w:p>
    <w:bookmarkEnd w:id="11"/>
    <w:bookmarkStart w:id="12" w:name="simulation-environment"/>
    <w:p>
      <w:pPr>
        <w:pStyle w:val="Heading3"/>
      </w:pPr>
      <w:r>
        <w:t xml:space="preserve">2.2 Simulation Environment</w:t>
      </w:r>
    </w:p>
    <w:p>
      <w:pPr>
        <w:pStyle w:val="FirstParagraph"/>
      </w:pPr>
      <w:r>
        <w:t xml:space="preserve">The simulation is a 20×20 grid world with 8 z-layers and 8 randomly placed obstacles.</w:t>
      </w:r>
      <w:r>
        <w:t xml:space="preserve"> </w:t>
      </w:r>
      <w:r>
        <w:t xml:space="preserve">Three agents (A, B, C) navigate the environment under an energy budget of 100.0 units per</w:t>
      </w:r>
      <w:r>
        <w:t xml:space="preserve"> </w:t>
      </w:r>
      <w:r>
        <w:t xml:space="preserve">episode, with a movement cost of 1.0 per step and a collision penalty of 5.0. Each</w:t>
      </w:r>
      <w:r>
        <w:t xml:space="preserve"> </w:t>
      </w:r>
      <w:r>
        <w:t xml:space="preserve">episode ends when all agents reach the target position or energy is depleted. The</w:t>
      </w:r>
      <w:r>
        <w:t xml:space="preserve"> </w:t>
      </w:r>
      <w:r>
        <w:t xml:space="preserve">environment is deterministic given a seed; across-seed variation in initial conditions</w:t>
      </w:r>
      <w:r>
        <w:t xml:space="preserve"> </w:t>
      </w:r>
      <w:r>
        <w:t xml:space="preserve">is the primary source of sampling variability in the results.</w:t>
      </w:r>
    </w:p>
    <w:bookmarkEnd w:id="12"/>
    <w:bookmarkStart w:id="13" w:name="agent-architecture-and-training"/>
    <w:p>
      <w:pPr>
        <w:pStyle w:val="Heading3"/>
      </w:pPr>
      <w:r>
        <w:t xml:space="preserve">2.3 Agent Architecture and Training</w:t>
      </w:r>
    </w:p>
    <w:p>
      <w:pPr>
        <w:pStyle w:val="FirstParagraph"/>
      </w:pPr>
      <w:r>
        <w:t xml:space="preserve">All agents use a feedforward policy network with a GRU hidden state (depth = 1). Each</w:t>
      </w:r>
      <w:r>
        <w:t xml:space="preserve"> </w:t>
      </w:r>
      <w:r>
        <w:t xml:space="preserve">agent maintains a communication head that emits a continuous signal vector</w:t>
      </w:r>
      <w:r>
        <w:t xml:space="preserve"> </w:t>
      </w:r>
      <w:r>
        <w:t xml:space="preserve">(signal_dim = 8) and a type classification head that assigns the signal to one of three</w:t>
      </w:r>
      <w:r>
        <w:t xml:space="preserve"> </w:t>
      </w:r>
      <w:r>
        <w:t xml:space="preserve">discrete types: DECLARE, QUERY, or RESPOND. Type classification uses Gumbel-Softmax</w:t>
      </w:r>
      <w:r>
        <w:t xml:space="preserve"> </w:t>
      </w:r>
      <w:r>
        <w:t xml:space="preserve">sampling during training to allow gradient flow through the discrete type assignment,</w:t>
      </w:r>
      <w:r>
        <w:t xml:space="preserve"> </w:t>
      </w:r>
      <w:r>
        <w:t xml:space="preserve">with temperature annealed across training.</w:t>
      </w:r>
    </w:p>
    <w:p>
      <w:pPr>
        <w:pStyle w:val="BodyText"/>
      </w:pPr>
      <w:r>
        <w:t xml:space="preserve">Agents receive observations reflecting their local state and incoming communication from</w:t>
      </w:r>
      <w:r>
        <w:t xml:space="preserve"> </w:t>
      </w:r>
      <w:r>
        <w:t xml:space="preserve">other agents. AgentA observes target proximity, obstacle distances, and inter-agent</w:t>
      </w:r>
      <w:r>
        <w:t xml:space="preserve"> </w:t>
      </w:r>
      <w:r>
        <w:t xml:space="preserve">distances; AgentB processes a volumetric occupancy map; AgentC processes pairwise</w:t>
      </w:r>
      <w:r>
        <w:t xml:space="preserve"> </w:t>
      </w:r>
      <w:r>
        <w:t xml:space="preserve">relational distances across all entities. All three agents share a common communication</w:t>
      </w:r>
      <w:r>
        <w:t xml:space="preserve"> </w:t>
      </w:r>
      <w:r>
        <w:t xml:space="preserve">buffer and update via REINFORCE at the end of each epoch.</w:t>
      </w:r>
    </w:p>
    <w:p>
      <w:pPr>
        <w:pStyle w:val="BodyText"/>
      </w:pPr>
      <w:r>
        <w:t xml:space="preserve">Welfare coupling is disabled for all Protocol 3 runs (welfare_coupled = False), matching</w:t>
      </w:r>
      <w:r>
        <w:t xml:space="preserve"> </w:t>
      </w:r>
      <w:r>
        <w:t xml:space="preserve">the Protocol 2 baseline. Individual rewards are not shared across agents; each agent</w:t>
      </w:r>
      <w:r>
        <w:t xml:space="preserve"> </w:t>
      </w:r>
      <w:r>
        <w:t xml:space="preserve">optimizes its own accumulated return.</w:t>
      </w:r>
    </w:p>
    <w:bookmarkEnd w:id="13"/>
    <w:bookmarkStart w:id="14" w:name="communication-framework"/>
    <w:p>
      <w:pPr>
        <w:pStyle w:val="Heading3"/>
      </w:pPr>
      <w:r>
        <w:t xml:space="preserve">2.4 Communication Framework</w:t>
      </w:r>
    </w:p>
    <w:p>
      <w:pPr>
        <w:pStyle w:val="FirstParagraph"/>
      </w:pPr>
      <w:r>
        <w:t xml:space="preserve">Signals are typed at emission. The three types carry differential base costs: DECLARE</w:t>
      </w:r>
      <w:r>
        <w:t xml:space="preserve"> </w:t>
      </w:r>
      <w:r>
        <w:t xml:space="preserve">(×1.0), QUERY (×1.5), RESPOND (×0.8), applied as multipliers on the communication tax</w:t>
      </w:r>
      <w:r>
        <w:t xml:space="preserve"> </w:t>
      </w:r>
      <w:r>
        <w:t xml:space="preserve">rate (0.01 per step). Type entropy — the Shannon entropy of the empirical DECLARE/QUERY/</w:t>
      </w:r>
      <w:r>
        <w:t xml:space="preserve"> </w:t>
      </w:r>
      <w:r>
        <w:t xml:space="preserve">RESPOND distribution over an epoch — and query–response coupling (QRC) — the</w:t>
      </w:r>
      <w:r>
        <w:t xml:space="preserve"> </w:t>
      </w:r>
      <w:r>
        <w:t xml:space="preserve">cross-correlation between QUERY and RESPOND signal rates — serve as secondary behavioral</w:t>
      </w:r>
      <w:r>
        <w:t xml:space="preserve"> </w:t>
      </w:r>
      <w:r>
        <w:t xml:space="preserve">metrics. Their product defines the Sustained Structure Score (SSS), which captures the</w:t>
      </w:r>
      <w:r>
        <w:t xml:space="preserve"> </w:t>
      </w:r>
      <w:r>
        <w:t xml:space="preserve">degree to which type-differentiated communication is internally coupled rather than</w:t>
      </w:r>
      <w:r>
        <w:t xml:space="preserve"> </w:t>
      </w:r>
      <w:r>
        <w:t xml:space="preserve">dominated by a single type.</w:t>
      </w:r>
    </w:p>
    <w:bookmarkEnd w:id="14"/>
    <w:bookmarkStart w:id="15" w:name="protocol-3-conditions"/>
    <w:p>
      <w:pPr>
        <w:pStyle w:val="Heading3"/>
      </w:pPr>
      <w:r>
        <w:t xml:space="preserve">2.5 Protocol 3 Conditions</w:t>
      </w:r>
    </w:p>
    <w:p>
      <w:pPr>
        <w:pStyle w:val="FirstParagraph"/>
      </w:pPr>
      <w:r>
        <w:t xml:space="preserve">All three conditions use the Protocol 3 constraint pipeline, depth = 1, and</w:t>
      </w:r>
      <w:r>
        <w:t xml:space="preserve"> </w:t>
      </w:r>
      <w:r>
        <w:t xml:space="preserve">welfare_coupled = False. The conditions differ only in how the ethical tax is applied.</w:t>
      </w:r>
    </w:p>
    <w:p>
      <w:pPr>
        <w:pStyle w:val="BodyText"/>
      </w:pPr>
      <w:r>
        <w:rPr>
          <w:b/>
          <w:bCs/>
        </w:rPr>
        <w:t xml:space="preserve">p3_unconstrained.</w:t>
      </w:r>
      <w:r>
        <w:t xml:space="preserve"> </w:t>
      </w:r>
      <w:r>
        <w:t xml:space="preserve">No ethical tax is applied regardless of agent behavior. This</w:t>
      </w:r>
      <w:r>
        <w:t xml:space="preserve"> </w:t>
      </w:r>
      <w:r>
        <w:t xml:space="preserve">condition serves as the unconstrained baseline and was run first per the preregistration.</w:t>
      </w:r>
    </w:p>
    <w:p>
      <w:pPr>
        <w:pStyle w:val="BodyText"/>
      </w:pPr>
      <w:r>
        <w:rPr>
          <w:b/>
          <w:bCs/>
        </w:rPr>
        <w:t xml:space="preserve">p3b_constrained (primary condition).</w:t>
      </w:r>
      <w:r>
        <w:t xml:space="preserve"> </w:t>
      </w:r>
      <w:r>
        <w:t xml:space="preserve">The ethical tax fires exclusively on epochs</w:t>
      </w:r>
      <w:r>
        <w:t xml:space="preserve"> </w:t>
      </w:r>
      <w:r>
        <w:t xml:space="preserve">included in a pre-committed penalty schedule that is not observable by agents. The</w:t>
      </w:r>
      <w:r>
        <w:t xml:space="preserve"> </w:t>
      </w:r>
      <w:r>
        <w:t xml:space="preserve">schedule is generated from a fixed seed (PENALTY_SCHEDULE_SEED = 20260318) before any</w:t>
      </w:r>
      <w:r>
        <w:t xml:space="preserve"> </w:t>
      </w:r>
      <w:r>
        <w:t xml:space="preserve">runs are executed and is withheld from the simulation at runtime: agents receive no</w:t>
      </w:r>
      <w:r>
        <w:t xml:space="preserve"> </w:t>
      </w:r>
      <w:r>
        <w:t xml:space="preserve">signal indicating whether a given epoch carries enforcement. On scheduled enforcement</w:t>
      </w:r>
      <w:r>
        <w:t xml:space="preserve"> </w:t>
      </w:r>
      <w:r>
        <w:t xml:space="preserve">epochs, if any agent’s exploitation count exceeds the threshold (3 consecutive</w:t>
      </w:r>
      <w:r>
        <w:t xml:space="preserve"> </w:t>
      </w:r>
      <w:r>
        <w:t xml:space="preserve">non-query steps), an ethical cost multiplier of 2.0× is applied to that agent’s signal</w:t>
      </w:r>
      <w:r>
        <w:t xml:space="preserve"> </w:t>
      </w:r>
      <w:r>
        <w:t xml:space="preserve">cost for that epoch. On non-enforcement epochs, no tax is applied regardless of</w:t>
      </w:r>
      <w:r>
        <w:t xml:space="preserve"> </w:t>
      </w:r>
      <w:r>
        <w:t xml:space="preserve">exploitation state.</w:t>
      </w:r>
    </w:p>
    <w:p>
      <w:pPr>
        <w:pStyle w:val="BodyText"/>
      </w:pPr>
      <w:r>
        <w:rPr>
          <w:b/>
          <w:bCs/>
        </w:rPr>
        <w:t xml:space="preserve">p3a_constrained (comparator condition).</w:t>
      </w:r>
      <w:r>
        <w:t xml:space="preserve"> </w:t>
      </w:r>
      <w:r>
        <w:t xml:space="preserve">The ethical tax fires stochastically: each</w:t>
      </w:r>
      <w:r>
        <w:t xml:space="preserve"> </w:t>
      </w:r>
      <w:r>
        <w:t xml:space="preserve">time any agent’s exploitation count exceeds the threshold, the tax is applied with</w:t>
      </w:r>
      <w:r>
        <w:t xml:space="preserve"> </w:t>
      </w:r>
      <w:r>
        <w:t xml:space="preserve">probability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0.50. Unlike p3b, the firing probability is constant and independent</w:t>
      </w:r>
      <w:r>
        <w:t xml:space="preserve"> </w:t>
      </w:r>
      <w:r>
        <w:t xml:space="preserve">of epoch; unlike both p3b and Protocol 2’s deterministic enforcement, the agent cannot</w:t>
      </w:r>
      <w:r>
        <w:t xml:space="preserve"> </w:t>
      </w:r>
      <w:r>
        <w:t xml:space="preserve">learn a fixed rule that discriminates penalized from non-penalized states. The expected</w:t>
      </w:r>
      <w:r>
        <w:t xml:space="preserve"> </w:t>
      </w:r>
      <w:r>
        <w:t xml:space="preserve">enforcement density is matched to p3b at approximately 50%.</w:t>
      </w:r>
    </w:p>
    <w:bookmarkEnd w:id="15"/>
    <w:bookmarkStart w:id="16" w:name="penalty-schedule-integrity"/>
    <w:p>
      <w:pPr>
        <w:pStyle w:val="Heading3"/>
      </w:pPr>
      <w:r>
        <w:t xml:space="preserve">2.6 Penalty Schedule Integrity</w:t>
      </w:r>
    </w:p>
    <w:p>
      <w:pPr>
        <w:pStyle w:val="FirstParagraph"/>
      </w:pPr>
      <w:r>
        <w:t xml:space="preserve">The p3b hidden schedule was generated as follows:</w:t>
      </w:r>
    </w:p>
    <w:p>
      <w:pPr>
        <w:pStyle w:val="SourceCode"/>
      </w:pPr>
      <w:r>
        <w:rPr>
          <w:rStyle w:val="VerbatimChar"/>
        </w:rPr>
        <w:t xml:space="preserve">rng = numpy.random.RandomState(20260318)</w:t>
      </w:r>
      <w:r>
        <w:br/>
      </w:r>
      <w:r>
        <w:rPr>
          <w:rStyle w:val="VerbatimChar"/>
        </w:rPr>
        <w:t xml:space="preserve">draws = rng.random(500)</w:t>
      </w:r>
      <w:r>
        <w:br/>
      </w:r>
      <w:r>
        <w:rPr>
          <w:rStyle w:val="VerbatimChar"/>
        </w:rPr>
        <w:t xml:space="preserve">penalty_epochs = sorted(i for i in range(500) if draws[i] &lt; 0.5)</w:t>
      </w:r>
    </w:p>
    <w:p>
      <w:pPr>
        <w:pStyle w:val="FirstParagraph"/>
      </w:pPr>
      <w:r>
        <w:t xml:space="preserve">This produced 260 penalty epochs out of 500 (52.0% coverage). The resulting epoch set</w:t>
      </w:r>
      <w:r>
        <w:t xml:space="preserve"> </w:t>
      </w:r>
      <w:r>
        <w:t xml:space="preserve">was serialized to JSON and hashed prior to any data collection:</w:t>
      </w:r>
    </w:p>
    <w:p>
      <w:pPr>
        <w:pStyle w:val="BodyText"/>
      </w:pPr>
      <w:r>
        <w:t xml:space="preserve">SHA-256(</w:t>
      </w:r>
      <w:r>
        <w:rPr>
          <w:rStyle w:val="VerbatimChar"/>
        </w:rPr>
        <w:t xml:space="preserve">penalty_epochs</w:t>
      </w:r>
      <w:r>
        <w:t xml:space="preserve">) =</w:t>
      </w:r>
      <w:r>
        <w:t xml:space="preserve"> </w:t>
      </w:r>
      <w:r>
        <w:rPr>
          <w:rStyle w:val="VerbatimChar"/>
        </w:rPr>
        <w:t xml:space="preserve">10df29597e296455a1b72bb5328642db7702ffb611ff2e8c83c9548280fad2e4</w:t>
      </w:r>
    </w:p>
    <w:p>
      <w:pPr>
        <w:pStyle w:val="BodyText"/>
      </w:pPr>
      <w:r>
        <w:t xml:space="preserve">The confirmatory run script (</w:t>
      </w:r>
      <w:r>
        <w:rPr>
          <w:rStyle w:val="VerbatimChar"/>
        </w:rPr>
        <w:t xml:space="preserve">confirmatory_run_p3.py</w:t>
      </w:r>
      <w:r>
        <w:t xml:space="preserve">) verifies this hash before</w:t>
      </w:r>
      <w:r>
        <w:t xml:space="preserve"> </w:t>
      </w:r>
      <w:r>
        <w:t xml:space="preserve">executing any p3b run and aborts with an error if the hash does not match. Verification</w:t>
      </w:r>
      <w:r>
        <w:t xml:space="preserve"> </w:t>
      </w:r>
      <w:r>
        <w:t xml:space="preserve">passed for all 10 p3b seeds.</w:t>
      </w:r>
    </w:p>
    <w:bookmarkEnd w:id="16"/>
    <w:bookmarkStart w:id="17" w:name="locked-parameters"/>
    <w:p>
      <w:pPr>
        <w:pStyle w:val="Heading3"/>
      </w:pPr>
      <w:r>
        <w:t xml:space="preserve">2.7 Locked Parameters</w:t>
      </w:r>
    </w:p>
    <w:p>
      <w:pPr>
        <w:pStyle w:val="FirstParagraph"/>
      </w:pPr>
      <w:r>
        <w:t xml:space="preserve">All parameters below were fixed prior to data collection and match the preregistration.</w:t>
      </w:r>
      <w:r>
        <w:t xml:space="preserve"> </w:t>
      </w:r>
      <w:r>
        <w:t xml:space="preserve">No parameters were adjusted between conditions except those listed as condition-specific.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exploit_threshold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Protocol 2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ethical_tax_rate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Protocol 2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penalty_probability</w:t>
            </w:r>
            <w:r>
              <w:t xml:space="preserve"> </w:t>
            </w:r>
            <w:r>
              <w:t xml:space="preserve">(3A only)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Preregistration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penalty_epoch_fraction</w:t>
            </w:r>
            <w:r>
              <w:t xml:space="preserve"> </w:t>
            </w:r>
            <w:r>
              <w:t xml:space="preserve">(3B only)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Preregistration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PENALTY_SCHEDULE_SEED</w:t>
            </w:r>
            <w:r>
              <w:t xml:space="preserve"> </w:t>
            </w:r>
            <w:r>
              <w:t xml:space="preserve">(3B only)</w:t>
            </w:r>
          </w:p>
        </w:tc>
        <w:tc>
          <w:tcPr/>
          <w:p>
            <w:pPr>
              <w:pStyle w:val="Compact"/>
            </w:pPr>
            <w:r>
              <w:t xml:space="preserve">20260318</w:t>
            </w:r>
          </w:p>
        </w:tc>
        <w:tc>
          <w:tcPr/>
          <w:p>
            <w:pPr>
              <w:pStyle w:val="Compact"/>
            </w:pPr>
            <w:r>
              <w:t xml:space="preserve">Preregistration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per condition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Consistent with P2/P4/P5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 per run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Consistent with P2/P4/P5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Episodes per epoch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Consistent with P2/P4/P5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Protocol 2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welfare_coupled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Protocol 2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size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budget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dimension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dimension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17"/>
    <w:bookmarkStart w:id="18" w:name="measures"/>
    <w:p>
      <w:pPr>
        <w:pStyle w:val="Heading3"/>
      </w:pPr>
      <w:r>
        <w:t xml:space="preserve">2.8 Measures</w:t>
      </w:r>
    </w:p>
    <w:p>
      <w:pPr>
        <w:pStyle w:val="FirstParagraph"/>
      </w:pPr>
      <w:r>
        <w:rPr>
          <w:b/>
          <w:bCs/>
        </w:rPr>
        <w:t xml:space="preserve">Primary measure.</w:t>
      </w:r>
      <w:r>
        <w:t xml:space="preserve"> </w:t>
      </w:r>
      <w:r>
        <w:t xml:space="preserve">Mean QUERY signal rate (proportion of all signals classified as</w:t>
      </w:r>
      <w:r>
        <w:t xml:space="preserve"> </w:t>
      </w:r>
      <w:r>
        <w:t xml:space="preserve">QUERY type in a given epoch) averaged across epochs 400–499 per seed. This window was</w:t>
      </w:r>
      <w:r>
        <w:t xml:space="preserve"> </w:t>
      </w:r>
      <w:r>
        <w:t xml:space="preserve">preregistered as the final-100-epoch confirmation window and captures stable late-training</w:t>
      </w:r>
      <w:r>
        <w:t xml:space="preserve"> </w:t>
      </w:r>
      <w:r>
        <w:t xml:space="preserve">behavior after initial exploration and type-head crystallization.</w:t>
      </w:r>
    </w:p>
    <w:p>
      <w:pPr>
        <w:pStyle w:val="BodyText"/>
      </w:pPr>
      <w:r>
        <w:rPr>
          <w:b/>
          <w:bCs/>
        </w:rPr>
        <w:t xml:space="preserve">Secondary measures.</w:t>
      </w:r>
    </w:p>
    <w:p>
      <w:pPr>
        <w:pStyle w:val="BodyText"/>
      </w:pPr>
      <w:r>
        <w:rPr>
          <w:i/>
          <w:iCs/>
        </w:rPr>
        <w:t xml:space="preserve">Sustained Structure Score (SSS).</w:t>
      </w:r>
      <w:r>
        <w:t xml:space="preserve"> </w:t>
      </w:r>
      <w:r>
        <w:t xml:space="preserve">Mean type entropy × mean query–response coupling,</w:t>
      </w:r>
      <w:r>
        <w:t xml:space="preserve"> </w:t>
      </w:r>
      <w:r>
        <w:t xml:space="preserve">computed over the same final 100 epochs. SSS captures whether elevated query output is</w:t>
      </w:r>
      <w:r>
        <w:t xml:space="preserve"> </w:t>
      </w:r>
      <w:r>
        <w:t xml:space="preserve">embedded in a reciprocal communication structure (high QRC) or is type-dominant without</w:t>
      </w:r>
      <w:r>
        <w:t xml:space="preserve"> </w:t>
      </w:r>
      <w:r>
        <w:t xml:space="preserve">coupling (low QRC).</w:t>
      </w:r>
    </w:p>
    <w:p>
      <w:pPr>
        <w:pStyle w:val="BodyText"/>
      </w:pPr>
      <w:r>
        <w:rPr>
          <w:i/>
          <w:iCs/>
        </w:rPr>
        <w:t xml:space="preserve">Exploitation Loop Rate (ELR).</w:t>
      </w:r>
      <w:r>
        <w:t xml:space="preserve"> </w:t>
      </w:r>
      <w:r>
        <w:t xml:space="preserve">Fraction of all 500 epochs per run in which query rate</w:t>
      </w:r>
      <w:r>
        <w:t xml:space="preserve"> </w:t>
      </w:r>
      <w:r>
        <w:t xml:space="preserve">fell below 0.05. Preregistered as a secondary metric; non-evaluable in the current task</w:t>
      </w:r>
      <w:r>
        <w:t xml:space="preserve"> </w:t>
      </w:r>
      <w:r>
        <w:t xml:space="preserve">architecture (see Section 3.7, Deviation 2).</w:t>
      </w:r>
    </w:p>
    <w:p>
      <w:pPr>
        <w:pStyle w:val="BodyText"/>
      </w:pPr>
      <w:r>
        <w:rPr>
          <w:i/>
          <w:iCs/>
        </w:rPr>
        <w:t xml:space="preserve">Penalty fired rate (PFR).</w:t>
      </w:r>
      <w:r>
        <w:t xml:space="preserve"> </w:t>
      </w:r>
      <w:r>
        <w:t xml:space="preserve">Fraction of epochs per run in which ethical cost &gt; 0. Used</w:t>
      </w:r>
      <w:r>
        <w:t xml:space="preserve"> </w:t>
      </w:r>
      <w:r>
        <w:t xml:space="preserve">to verify enforcement fidelity; not a hypothesis metric.</w:t>
      </w:r>
    </w:p>
    <w:bookmarkEnd w:id="18"/>
    <w:bookmarkStart w:id="19" w:name="statistical-analysis"/>
    <w:p>
      <w:pPr>
        <w:pStyle w:val="Heading3"/>
      </w:pPr>
      <w:r>
        <w:t xml:space="preserve">2.9 Statistical Analysis</w:t>
      </w:r>
    </w:p>
    <w:p>
      <w:pPr>
        <w:pStyle w:val="FirstParagraph"/>
      </w:pPr>
      <w:r>
        <w:t xml:space="preserve">All preregistered tests used one-tailed Mann-Whitney U tests with α = .05.</w:t>
      </w:r>
      <w:r>
        <w:t xml:space="preserve"> </w:t>
      </w:r>
      <w:r>
        <w:t xml:space="preserve">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was computed as (</w:t>
      </w:r>
      <w:r>
        <w:rPr>
          <w:i/>
          <w:iCs/>
        </w:rPr>
        <w:t xml:space="preserve">M</w:t>
      </w:r>
      <w:r>
        <w:t xml:space="preserve">_a −</w:t>
      </w:r>
      <w:r>
        <w:t xml:space="preserve"> </w:t>
      </w:r>
      <w:r>
        <w:rPr>
          <w:i/>
          <w:iCs/>
        </w:rPr>
        <w:t xml:space="preserve">M</w:t>
      </w:r>
      <w:r>
        <w:t xml:space="preserve">_b) / pooled SD, sign preserved in the</w:t>
      </w:r>
      <w:r>
        <w:t xml:space="preserve"> </w:t>
      </w:r>
      <w:r>
        <w:t xml:space="preserve">preregistered direction. The unit of analysis is the per-seed mean query rate over</w:t>
      </w:r>
      <w:r>
        <w:t xml:space="preserve"> </w:t>
      </w:r>
      <w:r>
        <w:t xml:space="preserve">epochs 400–499 (</w:t>
      </w:r>
      <w:r>
        <w:rPr>
          <w:i/>
          <w:iCs/>
        </w:rPr>
        <w:t xml:space="preserve">n</w:t>
      </w:r>
      <w:r>
        <w:t xml:space="preserve"> </w:t>
      </w:r>
      <w:r>
        <w:t xml:space="preserve">= 10 per condition). No corrections for multiple comparisons were</w:t>
      </w:r>
      <w:r>
        <w:t xml:space="preserve"> </w:t>
      </w:r>
      <w:r>
        <w:t xml:space="preserve">applied; tests are reported in preregistered priority order (H1 primary, H2 conditional</w:t>
      </w:r>
      <w:r>
        <w:t xml:space="preserve"> </w:t>
      </w:r>
      <w:r>
        <w:t xml:space="preserve">control) and interpreted accordingly.</w:t>
      </w:r>
    </w:p>
    <w:p>
      <w:pPr>
        <w:pStyle w:val="BodyText"/>
      </w:pPr>
      <w:r>
        <w:rPr>
          <w:b/>
          <w:bCs/>
        </w:rPr>
        <w:t xml:space="preserve">H1 (primary).</w:t>
      </w:r>
      <w:r>
        <w:t xml:space="preserve"> </w:t>
      </w:r>
      <w:r>
        <w:t xml:space="preserve">One-tailed Mann-Whitney U, alternative: p3b_constrained query rate</w:t>
      </w:r>
      <w:r>
        <w:t xml:space="preserve"> </w:t>
      </w:r>
      <w:r>
        <w:t xml:space="preserve">&lt; p3_unconstrained query rate. A significant result supports the hypothesis that</w:t>
      </w:r>
      <w:r>
        <w:t xml:space="preserve"> </w:t>
      </w:r>
      <w:r>
        <w:t xml:space="preserve">enforcement opacity disrupts the query-inflation pattern observed in Protocol 2.</w:t>
      </w:r>
    </w:p>
    <w:p>
      <w:pPr>
        <w:pStyle w:val="BodyText"/>
      </w:pPr>
      <w:r>
        <w:rPr>
          <w:b/>
          <w:bCs/>
        </w:rPr>
        <w:t xml:space="preserve">H2 (control).</w:t>
      </w:r>
      <w:r>
        <w:t xml:space="preserve"> </w:t>
      </w:r>
      <w:r>
        <w:t xml:space="preserve">One-tailed Mann-Whitney U, alternative: p3a_constrained query rate</w:t>
      </w:r>
      <w:r>
        <w:t xml:space="preserve"> </w:t>
      </w:r>
      <w:r>
        <w:t xml:space="preserve">&gt; p3b_constrained query rate. Reported in full regardless of H1 outcome. A significant</w:t>
      </w:r>
      <w:r>
        <w:t xml:space="preserve"> </w:t>
      </w:r>
      <w:r>
        <w:t xml:space="preserve">result indicates that the enforcement structure difference between 3A and 3B produces a</w:t>
      </w:r>
      <w:r>
        <w:t xml:space="preserve"> </w:t>
      </w:r>
      <w:r>
        <w:t xml:space="preserve">reliable behavioral difference, isolating boundary-opacity as a mechanistically relevant</w:t>
      </w:r>
      <w:r>
        <w:t xml:space="preserve"> </w:t>
      </w:r>
      <w:r>
        <w:t xml:space="preserve">variable independent of the primary H1 result.</w:t>
      </w:r>
    </w:p>
    <w:p>
      <w:pPr>
        <w:pStyle w:val="BodyText"/>
      </w:pPr>
      <w:r>
        <w:t xml:space="preserve">The preregistration specifies the following outcome interpretations: H1 confirmed</w:t>
      </w:r>
      <w:r>
        <w:t xml:space="preserve"> </w:t>
      </w:r>
      <w:r>
        <w:t xml:space="preserve">(p &lt; .05, directional) supports epistemic opacity as disruptive to exploitation gaming;</w:t>
      </w:r>
      <w:r>
        <w:t xml:space="preserve"> </w:t>
      </w:r>
      <w:r>
        <w:t xml:space="preserve">H1 null (p ≥ .05) supports gaming persisting regardless of opacity, strengthening</w:t>
      </w:r>
      <w:r>
        <w:t xml:space="preserve"> </w:t>
      </w:r>
      <w:r>
        <w:t xml:space="preserve">architectural necessity claims; H1 inverted (3B &gt; unconstrained) is unexpected and</w:t>
      </w:r>
      <w:r>
        <w:t xml:space="preserve"> </w:t>
      </w:r>
      <w:r>
        <w:t xml:space="preserve">requires full reporting with post-hoc exploration. Results are reported in Section 3</w:t>
      </w:r>
      <w:r>
        <w:t xml:space="preserve"> </w:t>
      </w:r>
      <w:r>
        <w:t xml:space="preserve">following these interpretive commitments exactly.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5" w:name="results"/>
    <w:p>
      <w:pPr>
        <w:pStyle w:val="Heading2"/>
      </w:pPr>
      <w:r>
        <w:t xml:space="preserve">3. Results</w:t>
      </w:r>
    </w:p>
    <w:bookmarkStart w:id="21" w:name="run-completion-and-data-integrity"/>
    <w:p>
      <w:pPr>
        <w:pStyle w:val="Heading3"/>
      </w:pPr>
      <w:r>
        <w:t xml:space="preserve">3.1 Run Completion and Data Integrity</w:t>
      </w:r>
    </w:p>
    <w:p>
      <w:pPr>
        <w:pStyle w:val="FirstParagraph"/>
      </w:pPr>
      <w:r>
        <w:t xml:space="preserve">All 30 preregistered runs completed successfully: 10 seeds per condition across three</w:t>
      </w:r>
      <w:r>
        <w:t xml:space="preserve"> </w:t>
      </w:r>
      <w:r>
        <w:t xml:space="preserve">conditions (p3_unconstrained, p3b_constrained, p3a_constrained), each comprising 500</w:t>
      </w:r>
      <w:r>
        <w:t xml:space="preserve"> </w:t>
      </w:r>
      <w:r>
        <w:t xml:space="preserve">epochs of 10 episodes. No seeds were excluded under the preregistered exclusion criteria.</w:t>
      </w:r>
      <w:r>
        <w:t xml:space="preserve"> </w:t>
      </w:r>
      <w:r>
        <w:t xml:space="preserve">All 500 epochs were logged for every seed in every condition. No NaN training losses,</w:t>
      </w:r>
      <w:r>
        <w:t xml:space="preserve"> </w:t>
      </w:r>
      <w:r>
        <w:t xml:space="preserve">zero-entropy runs, or premature agent collapses were detected. For the p3b_constrained</w:t>
      </w:r>
      <w:r>
        <w:t xml:space="preserve"> </w:t>
      </w:r>
      <w:r>
        <w:t xml:space="preserve">condition, the penalty schedule hash was verified prior to execution:</w:t>
      </w:r>
      <w:r>
        <w:t xml:space="preserve"> </w:t>
      </w:r>
      <w:r>
        <w:t xml:space="preserve">SHA-256(</w:t>
      </w:r>
      <w:r>
        <w:rPr>
          <w:rStyle w:val="VerbatimChar"/>
        </w:rPr>
        <w:t xml:space="preserve">penalty_epochs</w:t>
      </w:r>
      <w:r>
        <w:t xml:space="preserve">) =</w:t>
      </w:r>
      <w:r>
        <w:t xml:space="preserve"> </w:t>
      </w:r>
      <w:r>
        <w:rPr>
          <w:rStyle w:val="VerbatimChar"/>
        </w:rPr>
        <w:t xml:space="preserve">10df29597e296455a1b72bb5328642db7702ffb611ff2e8c83c9548280fad2e4</w:t>
      </w:r>
      <w:r>
        <w:t xml:space="preserve">,</w:t>
      </w:r>
      <w:r>
        <w:t xml:space="preserve"> </w:t>
      </w:r>
      <w:r>
        <w:t xml:space="preserve">matching the preregistered value.</w:t>
      </w:r>
    </w:p>
    <w:bookmarkEnd w:id="21"/>
    <w:bookmarkStart w:id="22" w:name="primary-metric"/>
    <w:p>
      <w:pPr>
        <w:pStyle w:val="Heading3"/>
      </w:pPr>
      <w:r>
        <w:t xml:space="preserve">3.2 Primary Metric</w:t>
      </w:r>
    </w:p>
    <w:p>
      <w:pPr>
        <w:pStyle w:val="FirstParagraph"/>
      </w:pPr>
      <w:r>
        <w:t xml:space="preserve">The primary confirmatory metric is mean QUERY signal rate (proportion of total signals</w:t>
      </w:r>
      <w:r>
        <w:t xml:space="preserve"> </w:t>
      </w:r>
      <w:r>
        <w:t xml:space="preserve">classified as QUERY type) averaged across epochs 400–499 — the final 100 epochs of each</w:t>
      </w:r>
      <w:r>
        <w:t xml:space="preserve"> </w:t>
      </w:r>
      <w:r>
        <w:t xml:space="preserve">500-epoch run, as specified in the preregistration. This window is computed per seed; the</w:t>
      </w:r>
      <w:r>
        <w:t xml:space="preserve"> </w:t>
      </w:r>
      <w:r>
        <w:t xml:space="preserve">10 per-seed values within each condition serve as the unit of analysis for all</w:t>
      </w:r>
      <w:r>
        <w:t xml:space="preserve"> </w:t>
      </w:r>
      <w:r>
        <w:t xml:space="preserve">inferential tests.</w:t>
      </w:r>
    </w:p>
    <w:p>
      <w:pPr>
        <w:pStyle w:val="BodyText"/>
      </w:pPr>
      <w:r>
        <w:t xml:space="preserve">Sustained Structure Score (SSS), Exploitation Loop Rate (ELR), and penalty fired rate</w:t>
      </w:r>
      <w:r>
        <w:t xml:space="preserve"> </w:t>
      </w:r>
      <w:r>
        <w:t xml:space="preserve">(PFR) are reported as secondary metrics.</w:t>
      </w:r>
    </w:p>
    <w:bookmarkEnd w:id="22"/>
    <w:bookmarkStart w:id="26" w:name="per-seed-results"/>
    <w:p>
      <w:pPr>
        <w:pStyle w:val="Heading3"/>
      </w:pPr>
      <w:r>
        <w:t xml:space="preserve">3.3 Per-Seed Results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Per-seed metrics for all 30 runs. Primary metric: mean query rate, epochs</w:t>
      </w:r>
      <w:r>
        <w:t xml:space="preserve"> </w:t>
      </w:r>
      <w:r>
        <w:t xml:space="preserve">400–499. SSS = mean(type_entropy) × mean(query-response coupling), epochs 400–499.</w:t>
      </w:r>
      <w:r>
        <w:t xml:space="preserve"> </w:t>
      </w:r>
      <w:r>
        <w:t xml:space="preserve">ELR = fraction of all 500 epochs with query rate &lt; 0.05. PFR = fraction of epochs where</w:t>
      </w:r>
      <w:r>
        <w:t xml:space="preserve"> </w:t>
      </w:r>
      <w:r>
        <w:t xml:space="preserve">ethical cost &gt; 0 (constrained conditions only).</w:t>
      </w:r>
    </w:p>
    <w:bookmarkStart w:id="23" w:name="p3_unconstrained"/>
    <w:p>
      <w:pPr>
        <w:pStyle w:val="Heading4"/>
      </w:pPr>
      <w:r>
        <w:t xml:space="preserve">p3_unconstrained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Query Rate</w:t>
            </w:r>
          </w:p>
        </w:tc>
        <w:tc>
          <w:tcPr/>
          <w:p>
            <w:pPr>
              <w:pStyle w:val="Compact"/>
            </w:pPr>
            <w:r>
              <w:t xml:space="preserve">SSS</w:t>
            </w:r>
          </w:p>
        </w:tc>
        <w:tc>
          <w:tcPr/>
          <w:p>
            <w:pPr>
              <w:pStyle w:val="Compact"/>
            </w:pPr>
            <w:r>
              <w:t xml:space="preserve">ELR</w:t>
            </w:r>
          </w:p>
        </w:tc>
        <w:tc>
          <w:tcPr/>
          <w:p>
            <w:pPr>
              <w:pStyle w:val="Compact"/>
            </w:pPr>
            <w:r>
              <w:t xml:space="preserve">PFR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0.4191</w:t>
            </w:r>
          </w:p>
        </w:tc>
        <w:tc>
          <w:tcPr/>
          <w:p>
            <w:pPr>
              <w:pStyle w:val="Compact"/>
            </w:pPr>
            <w:r>
              <w:t xml:space="preserve">0.8208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  <w:tc>
          <w:tcPr/>
          <w:p>
            <w:pPr>
              <w:pStyle w:val="Compact"/>
            </w:pPr>
            <w:r>
              <w:t xml:space="preserve">0.6213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0.3362</w:t>
            </w:r>
          </w:p>
        </w:tc>
        <w:tc>
          <w:tcPr/>
          <w:p>
            <w:pPr>
              <w:pStyle w:val="Compact"/>
            </w:pPr>
            <w:r>
              <w:t xml:space="preserve">0.8831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0.3222</w:t>
            </w:r>
          </w:p>
        </w:tc>
        <w:tc>
          <w:tcPr/>
          <w:p>
            <w:pPr>
              <w:pStyle w:val="Compact"/>
            </w:pPr>
            <w:r>
              <w:t xml:space="preserve">0.8370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0.1282</w:t>
            </w:r>
          </w:p>
        </w:tc>
        <w:tc>
          <w:tcPr/>
          <w:p>
            <w:pPr>
              <w:pStyle w:val="Compact"/>
            </w:pPr>
            <w:r>
              <w:t xml:space="preserve">0.8702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0.2731</w:t>
            </w:r>
          </w:p>
        </w:tc>
        <w:tc>
          <w:tcPr/>
          <w:p>
            <w:pPr>
              <w:pStyle w:val="Compact"/>
            </w:pPr>
            <w:r>
              <w:t xml:space="preserve">0.7881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0.2489</w:t>
            </w:r>
          </w:p>
        </w:tc>
        <w:tc>
          <w:tcPr/>
          <w:p>
            <w:pPr>
              <w:pStyle w:val="Compact"/>
            </w:pPr>
            <w:r>
              <w:t xml:space="preserve">0.2322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0.2200</w:t>
            </w:r>
          </w:p>
        </w:tc>
        <w:tc>
          <w:tcPr/>
          <w:p>
            <w:pPr>
              <w:pStyle w:val="Compact"/>
            </w:pPr>
            <w:r>
              <w:t xml:space="preserve">0.8712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0.2982</w:t>
            </w:r>
          </w:p>
        </w:tc>
        <w:tc>
          <w:tcPr/>
          <w:p>
            <w:pPr>
              <w:pStyle w:val="Compact"/>
            </w:pPr>
            <w:r>
              <w:t xml:space="preserve">0.8991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0.3938</w:t>
            </w:r>
          </w:p>
        </w:tc>
        <w:tc>
          <w:tcPr/>
          <w:p>
            <w:pPr>
              <w:pStyle w:val="Compact"/>
            </w:pPr>
            <w:r>
              <w:t xml:space="preserve">0.6826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0.2857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0.0875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0.2034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X312320741e90baf8cc55884eac6b717a88dc27c"/>
    <w:p>
      <w:pPr>
        <w:pStyle w:val="Heading4"/>
      </w:pPr>
      <w:r>
        <w:t xml:space="preserve">p3b_constrained (hidden enforcement schedule)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Query Rate</w:t>
            </w:r>
          </w:p>
        </w:tc>
        <w:tc>
          <w:tcPr/>
          <w:p>
            <w:pPr>
              <w:pStyle w:val="Compact"/>
            </w:pPr>
            <w:r>
              <w:t xml:space="preserve">SSS</w:t>
            </w:r>
          </w:p>
        </w:tc>
        <w:tc>
          <w:tcPr/>
          <w:p>
            <w:pPr>
              <w:pStyle w:val="Compact"/>
            </w:pPr>
            <w:r>
              <w:t xml:space="preserve">ELR</w:t>
            </w:r>
          </w:p>
        </w:tc>
        <w:tc>
          <w:tcPr/>
          <w:p>
            <w:pPr>
              <w:pStyle w:val="Compact"/>
            </w:pPr>
            <w:r>
              <w:t xml:space="preserve">PFR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0.5309</w:t>
            </w:r>
          </w:p>
        </w:tc>
        <w:tc>
          <w:tcPr/>
          <w:p>
            <w:pPr>
              <w:pStyle w:val="Compact"/>
            </w:pPr>
            <w:r>
              <w:t xml:space="preserve">0.5424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0.5575</w:t>
            </w:r>
          </w:p>
        </w:tc>
        <w:tc>
          <w:tcPr/>
          <w:p>
            <w:pPr>
              <w:pStyle w:val="Compact"/>
            </w:pPr>
            <w:r>
              <w:t xml:space="preserve">0.5381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0.5355</w:t>
            </w:r>
          </w:p>
        </w:tc>
        <w:tc>
          <w:tcPr/>
          <w:p>
            <w:pPr>
              <w:pStyle w:val="Compact"/>
            </w:pPr>
            <w:r>
              <w:t xml:space="preserve">0.5986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0.6874</w:t>
            </w:r>
          </w:p>
        </w:tc>
        <w:tc>
          <w:tcPr/>
          <w:p>
            <w:pPr>
              <w:pStyle w:val="Compact"/>
            </w:pPr>
            <w:r>
              <w:t xml:space="preserve">0.3024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0.6412</w:t>
            </w:r>
          </w:p>
        </w:tc>
        <w:tc>
          <w:tcPr/>
          <w:p>
            <w:pPr>
              <w:pStyle w:val="Compact"/>
            </w:pPr>
            <w:r>
              <w:t xml:space="preserve">0.4140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0.4870</w:t>
            </w:r>
          </w:p>
        </w:tc>
        <w:tc>
          <w:tcPr/>
          <w:p>
            <w:pPr>
              <w:pStyle w:val="Compact"/>
            </w:pPr>
            <w:r>
              <w:t xml:space="preserve">0.7238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0.5263</w:t>
            </w:r>
          </w:p>
        </w:tc>
        <w:tc>
          <w:tcPr/>
          <w:p>
            <w:pPr>
              <w:pStyle w:val="Compact"/>
            </w:pPr>
            <w:r>
              <w:t xml:space="preserve">0.4256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0.7829</w:t>
            </w:r>
          </w:p>
        </w:tc>
        <w:tc>
          <w:tcPr/>
          <w:p>
            <w:pPr>
              <w:pStyle w:val="Compact"/>
            </w:pPr>
            <w:r>
              <w:t xml:space="preserve">0.1788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0.6455</w:t>
            </w:r>
          </w:p>
        </w:tc>
        <w:tc>
          <w:tcPr/>
          <w:p>
            <w:pPr>
              <w:pStyle w:val="Compact"/>
            </w:pPr>
            <w:r>
              <w:t xml:space="preserve">0.2784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0.4747</w:t>
            </w:r>
          </w:p>
        </w:tc>
        <w:tc>
          <w:tcPr/>
          <w:p>
            <w:pPr>
              <w:pStyle w:val="Compact"/>
            </w:pPr>
            <w:r>
              <w:t xml:space="preserve">0.6730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0.0988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0.1785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0.0006</w:t>
            </w:r>
          </w:p>
        </w:tc>
      </w:tr>
    </w:tbl>
    <w:bookmarkEnd w:id="24"/>
    <w:bookmarkStart w:id="25" w:name="X8fb3f7823393cc20cb9fbffd2a12f8d7281440b"/>
    <w:p>
      <w:pPr>
        <w:pStyle w:val="Heading4"/>
      </w:pPr>
      <w:r>
        <w:t xml:space="preserve">p3a_constrained (stochastic enforcement, p = 0.50)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Query Rate</w:t>
            </w:r>
          </w:p>
        </w:tc>
        <w:tc>
          <w:tcPr/>
          <w:p>
            <w:pPr>
              <w:pStyle w:val="Compact"/>
            </w:pPr>
            <w:r>
              <w:t xml:space="preserve">SSS</w:t>
            </w:r>
          </w:p>
        </w:tc>
        <w:tc>
          <w:tcPr/>
          <w:p>
            <w:pPr>
              <w:pStyle w:val="Compact"/>
            </w:pPr>
            <w:r>
              <w:t xml:space="preserve">ELR</w:t>
            </w:r>
          </w:p>
        </w:tc>
        <w:tc>
          <w:tcPr/>
          <w:p>
            <w:pPr>
              <w:pStyle w:val="Compact"/>
            </w:pPr>
            <w:r>
              <w:t xml:space="preserve">PFR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0.6098</w:t>
            </w:r>
          </w:p>
        </w:tc>
        <w:tc>
          <w:tcPr/>
          <w:p>
            <w:pPr>
              <w:pStyle w:val="Compact"/>
            </w:pPr>
            <w:r>
              <w:t xml:space="preserve">0.4167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0.7954</w:t>
            </w:r>
          </w:p>
        </w:tc>
        <w:tc>
          <w:tcPr/>
          <w:p>
            <w:pPr>
              <w:pStyle w:val="Compact"/>
            </w:pPr>
            <w:r>
              <w:t xml:space="preserve">0.1882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0.6654</w:t>
            </w:r>
          </w:p>
        </w:tc>
        <w:tc>
          <w:tcPr/>
          <w:p>
            <w:pPr>
              <w:pStyle w:val="Compact"/>
            </w:pPr>
            <w:r>
              <w:t xml:space="preserve">0.3095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0.6987</w:t>
            </w:r>
          </w:p>
        </w:tc>
        <w:tc>
          <w:tcPr/>
          <w:p>
            <w:pPr>
              <w:pStyle w:val="Compact"/>
            </w:pPr>
            <w:r>
              <w:t xml:space="preserve">0.4200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0.7080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0.7207</w:t>
            </w:r>
          </w:p>
        </w:tc>
        <w:tc>
          <w:tcPr/>
          <w:p>
            <w:pPr>
              <w:pStyle w:val="Compact"/>
            </w:pPr>
            <w:r>
              <w:t xml:space="preserve">0.3232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0.7966</w:t>
            </w:r>
          </w:p>
        </w:tc>
        <w:tc>
          <w:tcPr/>
          <w:p>
            <w:pPr>
              <w:pStyle w:val="Compact"/>
            </w:pPr>
            <w:r>
              <w:t xml:space="preserve">0.2187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0.6721</w:t>
            </w:r>
          </w:p>
        </w:tc>
        <w:tc>
          <w:tcPr/>
          <w:p>
            <w:pPr>
              <w:pStyle w:val="Compact"/>
            </w:pPr>
            <w:r>
              <w:t xml:space="preserve">0.1484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0.7114</w:t>
            </w:r>
          </w:p>
        </w:tc>
        <w:tc>
          <w:tcPr/>
          <w:p>
            <w:pPr>
              <w:pStyle w:val="Compact"/>
            </w:pPr>
            <w:r>
              <w:t xml:space="preserve">0.2629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0.5289</w:t>
            </w:r>
          </w:p>
        </w:tc>
        <w:tc>
          <w:tcPr/>
          <w:p>
            <w:pPr>
              <w:pStyle w:val="Compact"/>
            </w:pPr>
            <w:r>
              <w:t xml:space="preserve">0.4038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0.1015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0.1610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0.0009</w:t>
            </w:r>
          </w:p>
        </w:tc>
      </w:tr>
    </w:tbl>
    <w:bookmarkEnd w:id="25"/>
    <w:bookmarkEnd w:id="26"/>
    <w:bookmarkStart w:id="27" w:name="descriptive-summary"/>
    <w:p>
      <w:pPr>
        <w:pStyle w:val="Heading3"/>
      </w:pPr>
      <w:r>
        <w:t xml:space="preserve">3.4 Descriptive Summary</w:t>
      </w:r>
    </w:p>
    <w:p>
      <w:pPr>
        <w:pStyle w:val="FirstParagraph"/>
      </w:pPr>
      <w:r>
        <w:t xml:space="preserve">Mean query rates over epochs 400–499 were 0.286 (</w:t>
      </w:r>
      <w:r>
        <w:rPr>
          <w:i/>
          <w:iCs/>
        </w:rPr>
        <w:t xml:space="preserve">SD</w:t>
      </w:r>
      <w:r>
        <w:t xml:space="preserve"> </w:t>
      </w:r>
      <w:r>
        <w:t xml:space="preserve">= 0.088) for p3_unconstrained,</w:t>
      </w:r>
      <w:r>
        <w:t xml:space="preserve"> </w:t>
      </w:r>
      <w:r>
        <w:t xml:space="preserve">0.587 (</w:t>
      </w:r>
      <w:r>
        <w:rPr>
          <w:i/>
          <w:iCs/>
        </w:rPr>
        <w:t xml:space="preserve">SD</w:t>
      </w:r>
      <w:r>
        <w:t xml:space="preserve"> </w:t>
      </w:r>
      <w:r>
        <w:t xml:space="preserve">= 0.099) for p3b_constrained, and 0.669 (</w:t>
      </w:r>
      <w:r>
        <w:rPr>
          <w:i/>
          <w:iCs/>
        </w:rPr>
        <w:t xml:space="preserve">SD</w:t>
      </w:r>
      <w:r>
        <w:t xml:space="preserve"> </w:t>
      </w:r>
      <w:r>
        <w:t xml:space="preserve">= 0.102) for p3a_constrained.</w:t>
      </w:r>
      <w:r>
        <w:t xml:space="preserve"> </w:t>
      </w:r>
      <w:r>
        <w:t xml:space="preserve">The ordering across all three conditions was strictly monotonic:</w:t>
      </w:r>
      <w:r>
        <w:t xml:space="preserve"> </w:t>
      </w:r>
      <w:r>
        <w:t xml:space="preserve">unconstrained &lt; hidden-schedule &lt; stochastic. All 10 p3b_constrained seeds exceeded</w:t>
      </w:r>
      <w:r>
        <w:t xml:space="preserve"> </w:t>
      </w:r>
      <w:r>
        <w:t xml:space="preserve">the p3_unconstrained mean. Nine of ten p3a_constrained seeds exceeded the</w:t>
      </w:r>
      <w:r>
        <w:t xml:space="preserve"> </w:t>
      </w:r>
      <w:r>
        <w:t xml:space="preserve">p3b_constrained mean; seed 4 (query rate 0.490) did not.</w:t>
      </w:r>
    </w:p>
    <w:p>
      <w:pPr>
        <w:pStyle w:val="BodyText"/>
      </w:pPr>
      <w:r>
        <w:t xml:space="preserve">SSS followed the inverse ordering: unconstrained (</w:t>
      </w:r>
      <w:r>
        <w:rPr>
          <w:i/>
          <w:iCs/>
        </w:rPr>
        <w:t xml:space="preserve">M</w:t>
      </w:r>
      <w:r>
        <w:t xml:space="preserve"> </w:t>
      </w:r>
      <w:r>
        <w:t xml:space="preserve">= 0.751,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0.203) &gt;</w:t>
      </w:r>
      <w:r>
        <w:t xml:space="preserve"> </w:t>
      </w:r>
      <w:r>
        <w:t xml:space="preserve">p3b_constrained (</w:t>
      </w:r>
      <w:r>
        <w:rPr>
          <w:i/>
          <w:iCs/>
        </w:rPr>
        <w:t xml:space="preserve">M</w:t>
      </w:r>
      <w:r>
        <w:t xml:space="preserve"> </w:t>
      </w:r>
      <w:r>
        <w:t xml:space="preserve">= 0.468,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0.179) &gt; p3a_constrained (</w:t>
      </w:r>
      <w:r>
        <w:rPr>
          <w:i/>
          <w:iCs/>
        </w:rPr>
        <w:t xml:space="preserve">M</w:t>
      </w:r>
      <w:r>
        <w:t xml:space="preserve"> </w:t>
      </w:r>
      <w:r>
        <w:t xml:space="preserve">= 0.340,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0.161). Higher query rates in constrained conditions were thus accompanied by</w:t>
      </w:r>
      <w:r>
        <w:t xml:space="preserve"> </w:t>
      </w:r>
      <w:r>
        <w:t xml:space="preserve">lower overall communicative structure as measured by the joint entropy–coupling metric.</w:t>
      </w:r>
    </w:p>
    <w:p>
      <w:pPr>
        <w:pStyle w:val="BodyText"/>
      </w:pPr>
      <w:r>
        <w:t xml:space="preserve">Figure 1 shows the full 500-epoch query-rate trajectories by condition, including the</w:t>
      </w:r>
      <w:r>
        <w:t xml:space="preserve"> </w:t>
      </w:r>
      <w:r>
        <w:t xml:space="preserve">preregistered confirmatory window. Figure 2 summarizes the final-window metrics,</w:t>
      </w:r>
      <w:r>
        <w:t xml:space="preserve"> </w:t>
      </w:r>
      <w:r>
        <w:t xml:space="preserve">showing the monotonic increase in query rate and the inverse monotonic decrease in SSS.</w:t>
      </w:r>
    </w:p>
    <w:p>
      <w:pPr>
        <w:pStyle w:val="BodyText"/>
      </w:pPr>
      <w:r>
        <w:t xml:space="preserve">Penalty fired rates confirmed enforcement fidelity. In p3b_constrained, PFR was</w:t>
      </w:r>
      <w:r>
        <w:t xml:space="preserve"> </w:t>
      </w:r>
      <w:r>
        <w:t xml:space="preserve">uniformly 0.518–0.520 across seeds, consistent with the preregistered 52% epoch</w:t>
      </w:r>
      <w:r>
        <w:t xml:space="preserve"> </w:t>
      </w:r>
      <w:r>
        <w:t xml:space="preserve">coverage of the locked schedule (SHA-256 verified). In p3a_constrained, PFR was</w:t>
      </w:r>
      <w:r>
        <w:t xml:space="preserve"> </w:t>
      </w:r>
      <w:r>
        <w:t xml:space="preserve">0.998–1.000, indicating the exploitation threshold was crossed in virtually every epoch</w:t>
      </w:r>
      <w:r>
        <w:t xml:space="preserve"> </w:t>
      </w:r>
      <w:r>
        <w:t xml:space="preserve">across all seeds.</w:t>
      </w:r>
    </w:p>
    <w:bookmarkEnd w:id="27"/>
    <w:bookmarkStart w:id="30" w:name="preregistered-tests"/>
    <w:p>
      <w:pPr>
        <w:pStyle w:val="Heading3"/>
      </w:pPr>
      <w:r>
        <w:t xml:space="preserve">3.5 Preregistered Tests</w:t>
      </w:r>
    </w:p>
    <w:bookmarkStart w:id="28" w:name="h1-primary-3b-vs.-unconstrained"/>
    <w:p>
      <w:pPr>
        <w:pStyle w:val="Heading4"/>
      </w:pPr>
      <w:r>
        <w:t xml:space="preserve">3.5.1 H1 (Primary): 3B vs. Unconstrained</w:t>
      </w:r>
    </w:p>
    <w:p>
      <w:pPr>
        <w:pStyle w:val="FirstParagraph"/>
      </w:pPr>
      <w:r>
        <w:t xml:space="preserve">The primary preregistered hypothesis predicted that mean query rate over epochs 400–499</w:t>
      </w:r>
      <w:r>
        <w:t xml:space="preserve"> </w:t>
      </w:r>
      <w:r>
        <w:t xml:space="preserve">would be lower in p3b_constrained than in p3_unconstrained, consistent with epistemic</w:t>
      </w:r>
      <w:r>
        <w:t xml:space="preserve"> </w:t>
      </w:r>
      <w:r>
        <w:t xml:space="preserve">opacity disrupting the exploitation strategy identified in Protocol 2 (one-tailed</w:t>
      </w:r>
      <w:r>
        <w:t xml:space="preserve"> </w:t>
      </w:r>
      <w:r>
        <w:t xml:space="preserve">Mann-Whitney U, α = .05).</w:t>
      </w:r>
    </w:p>
    <w:p>
      <w:pPr>
        <w:pStyle w:val="BodyText"/>
      </w:pPr>
      <w:r>
        <w:t xml:space="preserve">The result was inverted. p3b_constrained query rates (</w:t>
      </w:r>
      <w:r>
        <w:rPr>
          <w:i/>
          <w:iCs/>
        </w:rPr>
        <w:t xml:space="preserve">M</w:t>
      </w:r>
      <w:r>
        <w:t xml:space="preserve"> </w:t>
      </w:r>
      <w:r>
        <w:t xml:space="preserve">= 0.587) were substantially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p3_unconstrained rates (</w:t>
      </w:r>
      <w:r>
        <w:rPr>
          <w:i/>
          <w:iCs/>
        </w:rPr>
        <w:t xml:space="preserve">M</w:t>
      </w:r>
      <w:r>
        <w:t xml:space="preserve"> </w:t>
      </w:r>
      <w:r>
        <w:t xml:space="preserve">= 0.286),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= 100.0,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.9999,</w:t>
      </w:r>
      <w:r>
        <w:t xml:space="preserve"> </w:t>
      </w:r>
      <w:r>
        <w:t xml:space="preserve">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+3.23 (sign preserved in preregistered direction: positive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indicates</w:t>
      </w:r>
      <w:r>
        <w:t xml:space="preserve"> </w:t>
      </w:r>
      <w:r>
        <w:t xml:space="preserve">3B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unconstrained). H1 is not confirmed. Per the preregistration falsification</w:t>
      </w:r>
      <w:r>
        <w:t xml:space="preserve"> </w:t>
      </w:r>
      <w:r>
        <w:t xml:space="preserve">criteria, this outcome falls under the H1 inverted case and requires full reporting with</w:t>
      </w:r>
      <w:r>
        <w:t xml:space="preserve"> </w:t>
      </w:r>
      <w:r>
        <w:t xml:space="preserve">post-hoc exploration (Section 3.8).</w:t>
      </w:r>
    </w:p>
    <w:p>
      <w:pPr>
        <w:pStyle w:val="BodyText"/>
      </w:pPr>
      <w:r>
        <w:t xml:space="preserve">The effect size (</w:t>
      </w:r>
      <w:r>
        <w:rPr>
          <w:i/>
          <w:iCs/>
        </w:rPr>
        <w:t xml:space="preserve">d</w:t>
      </w:r>
      <w:r>
        <w:t xml:space="preserve"> </w:t>
      </w:r>
      <w:r>
        <w:t xml:space="preserve">= +3.23) is large and directionally opposite to the prediction.</w:t>
      </w:r>
      <w:r>
        <w:t xml:space="preserve"> </w:t>
      </w:r>
      <w:r>
        <w:t xml:space="preserve">No seed in p3b_constrained fell below the p3_unconstrained mean.</w:t>
      </w:r>
    </w:p>
    <w:bookmarkEnd w:id="28"/>
    <w:bookmarkStart w:id="29" w:name="h2-control-3a-vs.-3b"/>
    <w:p>
      <w:pPr>
        <w:pStyle w:val="Heading4"/>
      </w:pPr>
      <w:r>
        <w:t xml:space="preserve">3.5.2 H2 (Control): 3A vs. 3B</w:t>
      </w:r>
    </w:p>
    <w:p>
      <w:pPr>
        <w:pStyle w:val="FirstParagraph"/>
      </w:pPr>
      <w:r>
        <w:t xml:space="preserve">The control hypothesis predicted that mean query rate would be higher in p3a_constrained</w:t>
      </w:r>
      <w:r>
        <w:t xml:space="preserve"> </w:t>
      </w:r>
      <w:r>
        <w:t xml:space="preserve">than in p3b_constrained, conditional on H1 confirmation (one-tailed Mann-Whitney U,</w:t>
      </w:r>
      <w:r>
        <w:t xml:space="preserve"> </w:t>
      </w:r>
      <w:r>
        <w:t xml:space="preserve">α = .05). Although H1 was not confirmed, the H2 comparison is reported in full per</w:t>
      </w:r>
      <w:r>
        <w:t xml:space="preserve"> </w:t>
      </w:r>
      <w:r>
        <w:t xml:space="preserve">the preregistered analysis plan, which does not specify suppression of H2 in the H1</w:t>
      </w:r>
      <w:r>
        <w:t xml:space="preserve"> </w:t>
      </w:r>
      <w:r>
        <w:t xml:space="preserve">inverted case.</w:t>
      </w:r>
    </w:p>
    <w:p>
      <w:pPr>
        <w:pStyle w:val="BodyText"/>
      </w:pPr>
      <w:r>
        <w:t xml:space="preserve">p3a_constrained query rates (</w:t>
      </w:r>
      <w:r>
        <w:rPr>
          <w:i/>
          <w:iCs/>
        </w:rPr>
        <w:t xml:space="preserve">M</w:t>
      </w:r>
      <w:r>
        <w:t xml:space="preserve"> </w:t>
      </w:r>
      <w:r>
        <w:t xml:space="preserve">= 0.669) exceeded p3b_constrained rates (</w:t>
      </w:r>
      <w:r>
        <w:rPr>
          <w:i/>
          <w:iCs/>
        </w:rPr>
        <w:t xml:space="preserve">M</w:t>
      </w:r>
      <w:r>
        <w:t xml:space="preserve"> </w:t>
      </w:r>
      <w:r>
        <w:t xml:space="preserve">= 0.587),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= 74.0,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.038,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+0.82. H2 is confirmed. Stochastic enforcement</w:t>
      </w:r>
      <w:r>
        <w:t xml:space="preserve"> </w:t>
      </w:r>
      <w:r>
        <w:t xml:space="preserve">drove query rates above those produced by hidden-schedule enforcement, and the difference</w:t>
      </w:r>
      <w:r>
        <w:t xml:space="preserve"> </w:t>
      </w:r>
      <w:r>
        <w:t xml:space="preserve">was statistically significant at the preregistered threshold. This finding holds</w:t>
      </w:r>
      <w:r>
        <w:t xml:space="preserve"> </w:t>
      </w:r>
      <w:r>
        <w:t xml:space="preserve">regardless of H1 outcome and establishes a reliable rank ordering across all three</w:t>
      </w:r>
      <w:r>
        <w:t xml:space="preserve"> </w:t>
      </w:r>
      <w:r>
        <w:t xml:space="preserve">conditions.</w:t>
      </w:r>
    </w:p>
    <w:bookmarkEnd w:id="29"/>
    <w:bookmarkEnd w:id="30"/>
    <w:bookmarkStart w:id="31" w:name="secondary-metrics"/>
    <w:p>
      <w:pPr>
        <w:pStyle w:val="Heading3"/>
      </w:pPr>
      <w:r>
        <w:t xml:space="preserve">3.6 Secondary Metrics</w:t>
      </w:r>
    </w:p>
    <w:p>
      <w:pPr>
        <w:pStyle w:val="FirstParagraph"/>
      </w:pPr>
      <w:r>
        <w:rPr>
          <w:b/>
          <w:bCs/>
        </w:rPr>
        <w:t xml:space="preserve">Sustained Structure Score.</w:t>
      </w:r>
      <w:r>
        <w:t xml:space="preserve"> </w:t>
      </w:r>
      <w:r>
        <w:t xml:space="preserve">SSS declined monotonically across conditions: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0.751</w:t>
      </w:r>
      <w:r>
        <w:t xml:space="preserve"> </w:t>
      </w:r>
      <w:r>
        <w:t xml:space="preserve">(unconstrained),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0.468 (3B),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0.340 (3A). The SSS gradient is the inverse</w:t>
      </w:r>
      <w:r>
        <w:t xml:space="preserve"> </w:t>
      </w:r>
      <w:r>
        <w:t xml:space="preserve">of the query rate gradient. Because SSS is the product of type entropy and</w:t>
      </w:r>
      <w:r>
        <w:t xml:space="preserve"> </w:t>
      </w:r>
      <w:r>
        <w:t xml:space="preserve">query–response coupling, lower SSS under constrained conditions indicates that elevated</w:t>
      </w:r>
      <w:r>
        <w:t xml:space="preserve"> </w:t>
      </w:r>
      <w:r>
        <w:t xml:space="preserve">QUERY output was not accompanied by the reciprocal RESPOND signal structure that</w:t>
      </w:r>
      <w:r>
        <w:t xml:space="preserve"> </w:t>
      </w:r>
      <w:r>
        <w:t xml:space="preserve">produces communicative coupling. Agents in constrained conditions generated more QUERY</w:t>
      </w:r>
      <w:r>
        <w:t xml:space="preserve"> </w:t>
      </w:r>
      <w:r>
        <w:t xml:space="preserve">signals but did not receive proportionally more RESPOND signals, reducing the</w:t>
      </w:r>
      <w:r>
        <w:t xml:space="preserve"> </w:t>
      </w:r>
      <w:r>
        <w:t xml:space="preserve">entropy–coupling product.</w:t>
      </w:r>
    </w:p>
    <w:p>
      <w:pPr>
        <w:pStyle w:val="BodyText"/>
      </w:pPr>
      <w:r>
        <w:rPr>
          <w:b/>
          <w:bCs/>
        </w:rPr>
        <w:t xml:space="preserve">Exploitation Loop Rate.</w:t>
      </w:r>
      <w:r>
        <w:t xml:space="preserve"> </w:t>
      </w:r>
      <w:r>
        <w:t xml:space="preserve">ELR was 0.000 across all 30 seeds in all three conditions.</w:t>
      </w:r>
      <w:r>
        <w:t xml:space="preserve"> </w:t>
      </w:r>
      <w:r>
        <w:t xml:space="preserve">No epoch in any run recorded query rate below the 0.05 collapse threshold. This finding</w:t>
      </w:r>
      <w:r>
        <w:t xml:space="preserve"> </w:t>
      </w:r>
      <w:r>
        <w:t xml:space="preserve">replicates the P2 pattern and reflects the same operationalization gap documented in that</w:t>
      </w:r>
      <w:r>
        <w:t xml:space="preserve"> </w:t>
      </w:r>
      <w:r>
        <w:t xml:space="preserve">study: the environment does not contain a depletable resource pool, so agents have no</w:t>
      </w:r>
      <w:r>
        <w:t xml:space="preserve"> </w:t>
      </w:r>
      <w:r>
        <w:t xml:space="preserve">energetic incentive to sustain a non-querying exploitation loop. ELR remains</w:t>
      </w:r>
      <w:r>
        <w:t xml:space="preserve"> </w:t>
      </w:r>
      <w:r>
        <w:t xml:space="preserve">non-evaluable under the current task architecture. See Section 3.7 for deviation note.</w:t>
      </w:r>
    </w:p>
    <w:p>
      <w:pPr>
        <w:pStyle w:val="BodyText"/>
      </w:pPr>
      <w:r>
        <w:rPr>
          <w:b/>
          <w:bCs/>
        </w:rPr>
        <w:t xml:space="preserve">Penalty fired rate.</w:t>
      </w:r>
      <w:r>
        <w:t xml:space="preserve"> </w:t>
      </w:r>
      <w:r>
        <w:t xml:space="preserve">In p3b_constrained, PFR was tightly clustered around 0.520 (range</w:t>
      </w:r>
      <w:r>
        <w:t xml:space="preserve"> </w:t>
      </w:r>
      <w:r>
        <w:t xml:space="preserve">0.518–0.520), indicating that the pre-committed hidden schedule fired in approximately</w:t>
      </w:r>
      <w:r>
        <w:t xml:space="preserve"> </w:t>
      </w:r>
      <w:r>
        <w:t xml:space="preserve">52% of epochs as designed and that exploitation crossed the threshold with sufficient</w:t>
      </w:r>
      <w:r>
        <w:t xml:space="preserve"> </w:t>
      </w:r>
      <w:r>
        <w:t xml:space="preserve">frequency across all seeds to engage the enforcement mechanism consistently. In</w:t>
      </w:r>
      <w:r>
        <w:t xml:space="preserve"> </w:t>
      </w:r>
      <w:r>
        <w:t xml:space="preserve">p3a_constrained, PFR was effectively 1.000 (range 0.998–1.000), confirming that the</w:t>
      </w:r>
      <w:r>
        <w:t xml:space="preserve"> </w:t>
      </w:r>
      <w:r>
        <w:t xml:space="preserve">exploit threshold was crossed in nearly every epoch. The gap in effective enforcement</w:t>
      </w:r>
      <w:r>
        <w:t xml:space="preserve"> </w:t>
      </w:r>
      <w:r>
        <w:t xml:space="preserve">frequency between 3B (52%) and 3A (~100%) reflects the difference in enforcement</w:t>
      </w:r>
      <w:r>
        <w:t xml:space="preserve"> </w:t>
      </w:r>
      <w:r>
        <w:t xml:space="preserve">structure: 3B fires only on scheduled epochs regardless of exploitation state, whereas</w:t>
      </w:r>
      <w:r>
        <w:t xml:space="preserve"> </w:t>
      </w:r>
      <w:r>
        <w:t xml:space="preserve">3A fires whenever exploitation occurs and the probabilistic draw is positive.</w:t>
      </w:r>
    </w:p>
    <w:bookmarkEnd w:id="31"/>
    <w:bookmarkStart w:id="33" w:name="deviations-from-preregistration"/>
    <w:p>
      <w:pPr>
        <w:pStyle w:val="Heading3"/>
      </w:pPr>
      <w:r>
        <w:t xml:space="preserve">3.7 Deviations from Preregistration</w:t>
      </w:r>
    </w:p>
    <w:p>
      <w:pPr>
        <w:pStyle w:val="FirstParagraph"/>
      </w:pPr>
      <w:r>
        <w:rPr>
          <w:b/>
          <w:bCs/>
        </w:rPr>
        <w:t xml:space="preserve">Deviation 1 — Analysis window mismatch (resolved before deposit).</w:t>
      </w:r>
      <w:r>
        <w:t xml:space="preserve"> </w:t>
      </w:r>
      <w:r>
        <w:t xml:space="preserve">The initial</w:t>
      </w:r>
      <w:r>
        <w:t xml:space="preserve"> </w:t>
      </w:r>
      <w:r>
        <w:t xml:space="preserve">analysis script (</w:t>
      </w:r>
      <w:r>
        <w:rPr>
          <w:rStyle w:val="VerbatimChar"/>
        </w:rPr>
        <w:t xml:space="preserve">analyze_p3_confirmatory.py</w:t>
      </w:r>
      <w:r>
        <w:t xml:space="preserve">) computed the primary metric over the</w:t>
      </w:r>
      <w:r>
        <w:t xml:space="preserve"> </w:t>
      </w:r>
      <w:r>
        <w:t xml:space="preserve">final 20 epochs rather than the preregistered final 100 epochs (400–499). This mismatch</w:t>
      </w:r>
      <w:r>
        <w:t xml:space="preserve"> </w:t>
      </w:r>
      <w:r>
        <w:t xml:space="preserve">was identified prior to drafting and prior to any deposit of results. A corrected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analyze_p3_100epoch.py</w:t>
      </w:r>
      <w:r>
        <w:t xml:space="preserve">) was prepared and run to produce the primary confirmatory</w:t>
      </w:r>
      <w:r>
        <w:t xml:space="preserve"> </w:t>
      </w:r>
      <w:r>
        <w:t xml:space="preserve">results reported in this section. The 20-epoch window is retained as a sensitivity check</w:t>
      </w:r>
      <w:r>
        <w:t xml:space="preserve"> </w:t>
      </w:r>
      <w:r>
        <w:t xml:space="preserve">only (Section 3.7.1). Both windows produce the same directional outcome: H1 inverted at</w:t>
      </w:r>
      <w:r>
        <w:t xml:space="preserve"> </w:t>
      </w:r>
      <w:r>
        <w:t xml:space="preserve">large effect, H2 confirmed. The 100-epoch window is the operative preregistered result.</w:t>
      </w:r>
    </w:p>
    <w:p>
      <w:pPr>
        <w:pStyle w:val="BodyText"/>
      </w:pPr>
      <w:r>
        <w:rPr>
          <w:b/>
          <w:bCs/>
        </w:rPr>
        <w:t xml:space="preserve">Deviation 2 — ELR operationalization gap (inherited from P2).</w:t>
      </w:r>
      <w:r>
        <w:t xml:space="preserve"> </w:t>
      </w:r>
      <w:r>
        <w:t xml:space="preserve">Exploitation Loop Rate</w:t>
      </w:r>
      <w:r>
        <w:t xml:space="preserve"> </w:t>
      </w:r>
      <w:r>
        <w:t xml:space="preserve">was preregistered as a secondary hypothesis metric. As in Protocol 2, ELR = 0.000 across</w:t>
      </w:r>
      <w:r>
        <w:t xml:space="preserve"> </w:t>
      </w:r>
      <w:r>
        <w:t xml:space="preserve">all conditions because the task environment contains no depletable resource target. The</w:t>
      </w:r>
      <w:r>
        <w:t xml:space="preserve"> </w:t>
      </w:r>
      <w:r>
        <w:t xml:space="preserve">metric is non-evaluable under the current architecture. This gap does not affect the</w:t>
      </w:r>
      <w:r>
        <w:t xml:space="preserve"> </w:t>
      </w:r>
      <w:r>
        <w:t xml:space="preserve">primary confirmatory analysis or the interpretation of H1 and H2.</w:t>
      </w:r>
    </w:p>
    <w:p>
      <w:pPr>
        <w:pStyle w:val="BodyText"/>
      </w:pPr>
      <w:r>
        <w:rPr>
          <w:b/>
          <w:bCs/>
        </w:rPr>
        <w:t xml:space="preserve">No other deviations from the preregistered design, parameter set, run order, or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 plan were recorded.</w:t>
      </w:r>
    </w:p>
    <w:bookmarkStart w:id="32" w:name="Xaafc1198a62c48ebdb33bc246e0357fe662d1ca"/>
    <w:p>
      <w:pPr>
        <w:pStyle w:val="Heading4"/>
      </w:pPr>
      <w:r>
        <w:t xml:space="preserve">3.7.1 Sensitivity Check: 20-Epoch Window (Post-hoc, Not Primary)</w:t>
      </w:r>
    </w:p>
    <w:p>
      <w:pPr>
        <w:pStyle w:val="FirstParagraph"/>
      </w:pPr>
      <w:r>
        <w:t xml:space="preserve">For completeness, the original 20-epoch window (epochs 480–499) is reported here as a</w:t>
      </w:r>
      <w:r>
        <w:t xml:space="preserve"> </w:t>
      </w:r>
      <w:r>
        <w:t xml:space="preserve">post-hoc sensitivity check. Results were fully consistent with the primary 100-epoch</w:t>
      </w:r>
      <w:r>
        <w:t xml:space="preserve"> </w:t>
      </w:r>
      <w:r>
        <w:t xml:space="preserve">analysis: mean query rates were 0.322 (unconstrained), 0.545 (3B), and 0.675 (3A).</w:t>
      </w:r>
      <w:r>
        <w:t xml:space="preserve"> </w:t>
      </w:r>
      <w:r>
        <w:t xml:space="preserve">H1: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= 100.0,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.9999,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+2.22 (inverted). H2: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= 79.0,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.016,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+1.18 (confirmed). Direction, statistical decision, and ordinal ranking are</w:t>
      </w:r>
      <w:r>
        <w:t xml:space="preserve"> </w:t>
      </w:r>
      <w:r>
        <w:t xml:space="preserve">identical to the primary analysis. The 20-epoch window is not the operative confirmatory</w:t>
      </w:r>
      <w:r>
        <w:t xml:space="preserve"> </w:t>
      </w:r>
      <w:r>
        <w:t xml:space="preserve">window and is presented for audit purposes only.</w:t>
      </w:r>
    </w:p>
    <w:bookmarkEnd w:id="32"/>
    <w:bookmarkEnd w:id="33"/>
    <w:bookmarkStart w:id="34" w:name="post-hoc-interpretation"/>
    <w:p>
      <w:pPr>
        <w:pStyle w:val="Heading3"/>
      </w:pPr>
      <w:r>
        <w:t xml:space="preserve">3.8 Post-hoc Interpretation</w:t>
      </w:r>
    </w:p>
    <w:p>
      <w:pPr>
        <w:pStyle w:val="FirstParagraph"/>
      </w:pPr>
      <w:r>
        <w:rPr>
          <w:i/>
          <w:iCs/>
        </w:rPr>
        <w:t xml:space="preserve">This subsection is clearly labeled post-hoc. It does not form part of the confirmatory</w:t>
      </w:r>
      <w:r>
        <w:rPr>
          <w:i/>
          <w:iCs/>
        </w:rPr>
        <w:t xml:space="preserve"> </w:t>
      </w:r>
      <w:r>
        <w:rPr>
          <w:i/>
          <w:iCs/>
        </w:rPr>
        <w:t xml:space="preserve">analysis. No adjustment to the preregistered analysis plan was made.</w:t>
      </w:r>
    </w:p>
    <w:p>
      <w:pPr>
        <w:pStyle w:val="BodyText"/>
      </w:pPr>
      <w:r>
        <w:t xml:space="preserve">The preregistration designated the H1 inverted outcome as requiring full reporting with</w:t>
      </w:r>
      <w:r>
        <w:t xml:space="preserve"> </w:t>
      </w:r>
      <w:r>
        <w:t xml:space="preserve">post-hoc exploration. The following interpretation is offered as the most parsimonious</w:t>
      </w:r>
      <w:r>
        <w:t xml:space="preserve"> </w:t>
      </w:r>
      <w:r>
        <w:t xml:space="preserve">account consistent with the data, not as a confirmed mechanistic claim.</w:t>
      </w:r>
    </w:p>
    <w:p>
      <w:pPr>
        <w:pStyle w:val="BodyText"/>
      </w:pPr>
      <w:r>
        <w:t xml:space="preserve">The H1 inversion — in which hidden-schedule enforcement substantially elevated query</w:t>
      </w:r>
      <w:r>
        <w:t xml:space="preserve"> </w:t>
      </w:r>
      <w:r>
        <w:t xml:space="preserve">rates relative to unconstrained baseline — is consistent with query inflation as rational</w:t>
      </w:r>
      <w:r>
        <w:t xml:space="preserve"> </w:t>
      </w:r>
      <w:r>
        <w:t xml:space="preserve">hedging under enforcement uncertainty. Under the p3b regime, agents could not determine</w:t>
      </w:r>
      <w:r>
        <w:t xml:space="preserve"> </w:t>
      </w:r>
      <w:r>
        <w:t xml:space="preserve">which epochs carried enforcement penalties. QUERY signals, in the Protocol 3 task</w:t>
      </w:r>
      <w:r>
        <w:t xml:space="preserve"> </w:t>
      </w:r>
      <w:r>
        <w:t xml:space="preserve">architecture, are the agent-level action most directly tied to gathering environmental</w:t>
      </w:r>
      <w:r>
        <w:t xml:space="preserve"> </w:t>
      </w:r>
      <w:r>
        <w:t xml:space="preserve">information. The inflation of QUERY rate under opacity may therefore reflect agents</w:t>
      </w:r>
      <w:r>
        <w:t xml:space="preserve"> </w:t>
      </w:r>
      <w:r>
        <w:t xml:space="preserve">increasing information-seeking behavior when the penalty landscape is unlocatable, rather</w:t>
      </w:r>
      <w:r>
        <w:t xml:space="preserve"> </w:t>
      </w:r>
      <w:r>
        <w:t xml:space="preserve">than reducing exploitation as predicted. Under this interpretation, QUERY functions as a</w:t>
      </w:r>
      <w:r>
        <w:t xml:space="preserve"> </w:t>
      </w:r>
      <w:r>
        <w:t xml:space="preserve">probe or risk-reduction behavior, not as a marker of genuine interrogative compliance.</w:t>
      </w:r>
    </w:p>
    <w:p>
      <w:pPr>
        <w:pStyle w:val="BodyText"/>
      </w:pPr>
      <w:r>
        <w:t xml:space="preserve">The H2 result is consistent with this framing: stochastic enforcement (3A), which fires</w:t>
      </w:r>
      <w:r>
        <w:t xml:space="preserve"> </w:t>
      </w:r>
      <w:r>
        <w:t xml:space="preserve">with probability 0.5 on every exploitation event rather than on a hidden fixed schedule,</w:t>
      </w:r>
      <w:r>
        <w:t xml:space="preserve"> </w:t>
      </w:r>
      <w:r>
        <w:t xml:space="preserve">produced still-higher query rates than hidden-schedule enforcement (3B). Greater</w:t>
      </w:r>
      <w:r>
        <w:t xml:space="preserve"> </w:t>
      </w:r>
      <w:r>
        <w:t xml:space="preserve">enforcement uncertainty correlated with greater query inflation across both constrained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Protocol 3 did not directly test mechanism. The hedging interpretation is not confirmed</w:t>
      </w:r>
      <w:r>
        <w:t xml:space="preserve"> </w:t>
      </w:r>
      <w:r>
        <w:t xml:space="preserve">by this dataset alone. Discriminating between hedging and alternative explanations</w:t>
      </w:r>
      <w:r>
        <w:t xml:space="preserve"> </w:t>
      </w:r>
      <w:r>
        <w:t xml:space="preserve">— including regime disruption from the P2 query-flooding equilibrium, or penalty-gradient</w:t>
      </w:r>
      <w:r>
        <w:t xml:space="preserve"> </w:t>
      </w:r>
      <w:r>
        <w:t xml:space="preserve">distortion of the reward signal — requires trajectory analysis and penalty-alignment</w:t>
      </w:r>
      <w:r>
        <w:t xml:space="preserve"> </w:t>
      </w:r>
      <w:r>
        <w:t xml:space="preserve">correlation, which are designated for follow-up analysis outside the scope of this</w:t>
      </w:r>
      <w:r>
        <w:t xml:space="preserve"> </w:t>
      </w:r>
      <w:r>
        <w:t xml:space="preserve">confirmatory report.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discussion"/>
    <w:p>
      <w:pPr>
        <w:pStyle w:val="Heading2"/>
      </w:pPr>
      <w:r>
        <w:t xml:space="preserve">4. Discussion</w:t>
      </w:r>
    </w:p>
    <w:bookmarkStart w:id="36" w:name="summary"/>
    <w:p>
      <w:pPr>
        <w:pStyle w:val="Heading3"/>
      </w:pPr>
      <w:r>
        <w:t xml:space="preserve">4.1 Summary</w:t>
      </w:r>
    </w:p>
    <w:p>
      <w:pPr>
        <w:pStyle w:val="FirstParagraph"/>
      </w:pPr>
      <w:r>
        <w:t xml:space="preserve">Protocol 3 tested whether hiding the enforcement schedule of an ethical constraint would</w:t>
      </w:r>
      <w:r>
        <w:t xml:space="preserve"> </w:t>
      </w:r>
      <w:r>
        <w:t xml:space="preserve">disrupt the query-inflation pattern identified in Protocol 2. The primary hypothesis was</w:t>
      </w:r>
      <w:r>
        <w:t xml:space="preserve"> </w:t>
      </w:r>
      <w:r>
        <w:t xml:space="preserve">not confirmed: agents under hidden-schedule enforcement (p3b_constrained) did not produce</w:t>
      </w:r>
      <w:r>
        <w:t xml:space="preserve"> </w:t>
      </w:r>
      <w:r>
        <w:t xml:space="preserve">lower query rates than unconstrained agents. The result was inverted. Both constrained conditions produced substantially higher mean</w:t>
      </w:r>
      <w:r>
        <w:t xml:space="preserve"> </w:t>
      </w:r>
      <w:r>
        <w:t xml:space="preserve">query rates than the unconstrained baseline; all 10 3B seeds exceeded the unconstrained</w:t>
      </w:r>
      <w:r>
        <w:t xml:space="preserve"> </w:t>
      </w:r>
      <w:r>
        <w:t xml:space="preserve">mean, and nine of ten 3A seeds exceeded the 3B mean. Effect sizes were large (</w:t>
      </w:r>
      <w:r>
        <w:rPr>
          <w:i/>
          <w:iCs/>
        </w:rPr>
        <w:t xml:space="preserve">d</w:t>
      </w:r>
      <w:r>
        <w:t xml:space="preserve"> </w:t>
      </w:r>
      <w:r>
        <w:t xml:space="preserve">= +3.23</w:t>
      </w:r>
      <w:r>
        <w:t xml:space="preserve"> </w:t>
      </w:r>
      <w:r>
        <w:t xml:space="preserve">for 3B vs. unconstrained). The control hypothesis was confirmed: stochastic enforcement</w:t>
      </w:r>
      <w:r>
        <w:t xml:space="preserve"> </w:t>
      </w:r>
      <w:r>
        <w:t xml:space="preserve">produced higher query rates than hidden-schedule enforcement (</w:t>
      </w:r>
      <w:r>
        <w:rPr>
          <w:i/>
          <w:iCs/>
        </w:rPr>
        <w:t xml:space="preserve">U</w:t>
      </w:r>
      <w:r>
        <w:t xml:space="preserve"> </w:t>
      </w:r>
      <w:r>
        <w:t xml:space="preserve">= 74.0,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.038,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+0.82), establishing a reliable ordering: unconstrained &lt; hidden-schedule &lt;</w:t>
      </w:r>
      <w:r>
        <w:t xml:space="preserve"> </w:t>
      </w:r>
      <w:r>
        <w:t xml:space="preserve">stochastic.</w:t>
      </w:r>
    </w:p>
    <w:p>
      <w:pPr>
        <w:pStyle w:val="BodyText"/>
      </w:pPr>
      <w:r>
        <w:t xml:space="preserve">These two results — the H1 inversion and the H2 confirmation — do not pull in opposite</w:t>
      </w:r>
      <w:r>
        <w:t xml:space="preserve"> </w:t>
      </w:r>
      <w:r>
        <w:t xml:space="preserve">directions. They are jointly consistent with a single pattern that is the central finding</w:t>
      </w:r>
      <w:r>
        <w:t xml:space="preserve"> </w:t>
      </w:r>
      <w:r>
        <w:t xml:space="preserve">of Protocol 3.</w:t>
      </w:r>
    </w:p>
    <w:bookmarkEnd w:id="36"/>
    <w:bookmarkStart w:id="37" w:name="Xbcc4e6dfc3e678a845117f43092acc8f77d7ecb"/>
    <w:p>
      <w:pPr>
        <w:pStyle w:val="Heading3"/>
      </w:pPr>
      <w:r>
        <w:t xml:space="preserve">4.2 Behavioral Amplification Without Structural Improvement</w:t>
      </w:r>
    </w:p>
    <w:p>
      <w:pPr>
        <w:pStyle w:val="FirstParagraph"/>
      </w:pPr>
      <w:r>
        <w:t xml:space="preserve">The critical observation is not that query rates increased under enforcement opacity. It</w:t>
      </w:r>
      <w:r>
        <w:t xml:space="preserve"> </w:t>
      </w:r>
      <w:r>
        <w:t xml:space="preserve">is that query rates increased</w:t>
      </w:r>
      <w:r>
        <w:t xml:space="preserve"> </w:t>
      </w:r>
      <w:r>
        <w:rPr>
          <w:i/>
          <w:iCs/>
        </w:rPr>
        <w:t xml:space="preserve">while sustained communicative structure declined</w:t>
      </w:r>
      <w:r>
        <w:t xml:space="preserve">. Mean SSS</w:t>
      </w:r>
      <w:r>
        <w:t xml:space="preserve"> </w:t>
      </w:r>
      <w:r>
        <w:t xml:space="preserve">over epochs 400–499 followed the inverse of the query-rate ordering: unconstrained</w:t>
      </w:r>
      <w:r>
        <w:t xml:space="preserve"> </w:t>
      </w:r>
      <w:r>
        <w:t xml:space="preserve">(</w:t>
      </w:r>
      <w:r>
        <w:rPr>
          <w:i/>
          <w:iCs/>
        </w:rPr>
        <w:t xml:space="preserve">M</w:t>
      </w:r>
      <w:r>
        <w:t xml:space="preserve"> </w:t>
      </w:r>
      <w:r>
        <w:t xml:space="preserve">= 0.751) &gt; p3b_constrained (</w:t>
      </w:r>
      <w:r>
        <w:rPr>
          <w:i/>
          <w:iCs/>
        </w:rPr>
        <w:t xml:space="preserve">M</w:t>
      </w:r>
      <w:r>
        <w:t xml:space="preserve"> </w:t>
      </w:r>
      <w:r>
        <w:t xml:space="preserve">= 0.468) &gt; p3a_constrained (</w:t>
      </w:r>
      <w:r>
        <w:rPr>
          <w:i/>
          <w:iCs/>
        </w:rPr>
        <w:t xml:space="preserve">M</w:t>
      </w:r>
      <w:r>
        <w:t xml:space="preserve"> </w:t>
      </w:r>
      <w:r>
        <w:t xml:space="preserve">= 0.340). Greater</w:t>
      </w:r>
      <w:r>
        <w:t xml:space="preserve"> </w:t>
      </w:r>
      <w:r>
        <w:t xml:space="preserve">enforcement uncertainty was associated with more QUERY output and less structural</w:t>
      </w:r>
      <w:r>
        <w:t xml:space="preserve"> </w:t>
      </w:r>
      <w:r>
        <w:t xml:space="preserve">coherence, monotonically, across both conditions and all 10 seeds.</w:t>
      </w:r>
    </w:p>
    <w:p>
      <w:pPr>
        <w:pStyle w:val="BodyText"/>
      </w:pPr>
      <w:r>
        <w:t xml:space="preserve">SSS is the product of type entropy and query–response coupling. A high SSS requires not</w:t>
      </w:r>
      <w:r>
        <w:t xml:space="preserve"> </w:t>
      </w:r>
      <w:r>
        <w:t xml:space="preserve">only that agents produce diverse signal types but that QUERY signals are reciprocated with</w:t>
      </w:r>
      <w:r>
        <w:t xml:space="preserve"> </w:t>
      </w:r>
      <w:r>
        <w:t xml:space="preserve">RESPOND signals — that the communication is coupled, not type-dominant. The SSS decline</w:t>
      </w:r>
      <w:r>
        <w:t xml:space="preserve"> </w:t>
      </w:r>
      <w:r>
        <w:t xml:space="preserve">under constrained conditions indicates that elevated QUERY output was not accompanied by</w:t>
      </w:r>
      <w:r>
        <w:t xml:space="preserve"> </w:t>
      </w:r>
      <w:r>
        <w:t xml:space="preserve">the reciprocal RESPOND structure that would constitute functional communicative coupling.</w:t>
      </w:r>
      <w:r>
        <w:t xml:space="preserve"> </w:t>
      </w:r>
      <w:r>
        <w:t xml:space="preserve">Agents generated more queries; the queries did not produce proportionally more responses.</w:t>
      </w:r>
    </w:p>
    <w:p>
      <w:pPr>
        <w:pStyle w:val="BodyText"/>
      </w:pPr>
      <w:r>
        <w:t xml:space="preserve">This dissociation — rising query rate, falling SSS — is the Protocol 3 result. Enforcement</w:t>
      </w:r>
      <w:r>
        <w:t xml:space="preserve"> </w:t>
      </w:r>
      <w:r>
        <w:t xml:space="preserve">opacity changed agent behavior, but the change did not improve the communicative structure</w:t>
      </w:r>
      <w:r>
        <w:t xml:space="preserve"> </w:t>
      </w:r>
      <w:r>
        <w:t xml:space="preserve">the constraint was designed to protect. It produced behavioral amplification without</w:t>
      </w:r>
      <w:r>
        <w:t xml:space="preserve"> </w:t>
      </w:r>
      <w:r>
        <w:t xml:space="preserve">structural improvement. This dissociation is visible in Figure 2: the final-window</w:t>
      </w:r>
      <w:r>
        <w:t xml:space="preserve"> </w:t>
      </w:r>
      <w:r>
        <w:t xml:space="preserve">query-rate distributions rise from unconstrained to 3B to 3A, while the SSS distributions</w:t>
      </w:r>
      <w:r>
        <w:t xml:space="preserve"> </w:t>
      </w:r>
      <w:r>
        <w:t xml:space="preserve">fall across the same ordering.</w:t>
      </w:r>
    </w:p>
    <w:p>
      <w:pPr>
        <w:pStyle w:val="BodyText"/>
      </w:pPr>
      <w:r>
        <w:t xml:space="preserve">This pattern is distinct from the Protocol 2 finding but shares its functional</w:t>
      </w:r>
      <w:r>
        <w:t xml:space="preserve"> </w:t>
      </w:r>
      <w:r>
        <w:t xml:space="preserve">consequence. In Protocol 2, agents under deterministic enforcement learned the penalty</w:t>
      </w:r>
      <w:r>
        <w:t xml:space="preserve"> </w:t>
      </w:r>
      <w:r>
        <w:t xml:space="preserve">boundary and flooded QUERY output to satisfy the constrained metric at its edge. In</w:t>
      </w:r>
      <w:r>
        <w:t xml:space="preserve"> </w:t>
      </w:r>
      <w:r>
        <w:t xml:space="preserve">Protocol 3, agents under opaque enforcement inflated QUERY output under conditions where</w:t>
      </w:r>
      <w:r>
        <w:t xml:space="preserve"> </w:t>
      </w:r>
      <w:r>
        <w:t xml:space="preserve">the penalty boundary was not locatable. The surface behavior — elevated QUERY rate — is</w:t>
      </w:r>
      <w:r>
        <w:t xml:space="preserve"> </w:t>
      </w:r>
      <w:r>
        <w:t xml:space="preserve">similar in both protocols. The structural outcome is the same: SSS in the constrained</w:t>
      </w:r>
      <w:r>
        <w:t xml:space="preserve"> </w:t>
      </w:r>
      <w:r>
        <w:t xml:space="preserve">condition falls below the unconstrained baseline in Protocol 2, and SSS in both</w:t>
      </w:r>
      <w:r>
        <w:t xml:space="preserve"> </w:t>
      </w:r>
      <w:r>
        <w:t xml:space="preserve">constrained conditions falls below the unconstrained baseline in Protocol 3. Across two</w:t>
      </w:r>
      <w:r>
        <w:t xml:space="preserve"> </w:t>
      </w:r>
      <w:r>
        <w:t xml:space="preserve">different enforcement regimes, elevated query output did not constitute a move toward</w:t>
      </w:r>
      <w:r>
        <w:t xml:space="preserve"> </w:t>
      </w:r>
      <w:r>
        <w:t xml:space="preserve">genuine interrogative compliance.</w:t>
      </w:r>
    </w:p>
    <w:bookmarkEnd w:id="37"/>
    <w:bookmarkStart w:id="38" w:name="what-the-h2-confirmation-adds"/>
    <w:p>
      <w:pPr>
        <w:pStyle w:val="Heading3"/>
      </w:pPr>
      <w:r>
        <w:t xml:space="preserve">4.3 What the H2 Confirmation Adds</w:t>
      </w:r>
    </w:p>
    <w:p>
      <w:pPr>
        <w:pStyle w:val="FirstParagraph"/>
      </w:pPr>
      <w:r>
        <w:t xml:space="preserve">The confirmation of H2 (p3a &gt; p3b,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.038) is not merely a control result. It</w:t>
      </w:r>
      <w:r>
        <w:t xml:space="preserve"> </w:t>
      </w:r>
      <w:r>
        <w:t xml:space="preserve">establishes that enforcement structure — specifically, the degree of uncertainty about</w:t>
      </w:r>
      <w:r>
        <w:t xml:space="preserve"> </w:t>
      </w:r>
      <w:r>
        <w:t xml:space="preserve">when enforcement fires — produces a reliable gradient in query behavior. Stochastic</w:t>
      </w:r>
      <w:r>
        <w:t xml:space="preserve"> </w:t>
      </w:r>
      <w:r>
        <w:t xml:space="preserve">enforcement, which fires on exploitation events with fixed probability regardless of</w:t>
      </w:r>
      <w:r>
        <w:t xml:space="preserve"> </w:t>
      </w:r>
      <w:r>
        <w:t xml:space="preserve">epoch, created more query inflation than hidden-schedule enforcement, which fires on a</w:t>
      </w:r>
      <w:r>
        <w:t xml:space="preserve"> </w:t>
      </w:r>
      <w:r>
        <w:t xml:space="preserve">fixed set of epochs regardless of exploitation state. More uncertainty produced more</w:t>
      </w:r>
      <w:r>
        <w:t xml:space="preserve"> </w:t>
      </w:r>
      <w:r>
        <w:t xml:space="preserve">query output.</w:t>
      </w:r>
    </w:p>
    <w:p>
      <w:pPr>
        <w:pStyle w:val="BodyText"/>
      </w:pPr>
      <w:r>
        <w:t xml:space="preserve">This gradient is informative about what agents were responding to. In p3b, the penalty</w:t>
      </w:r>
      <w:r>
        <w:t xml:space="preserve"> </w:t>
      </w:r>
      <w:r>
        <w:t xml:space="preserve">schedule is epoch-indexed: enforcement fires on certain epochs, not in response to</w:t>
      </w:r>
      <w:r>
        <w:t xml:space="preserve"> </w:t>
      </w:r>
      <w:r>
        <w:t xml:space="preserve">specific agent actions within those epochs. An agent that increased QUERY output would</w:t>
      </w:r>
      <w:r>
        <w:t xml:space="preserve"> </w:t>
      </w:r>
      <w:r>
        <w:t xml:space="preserve">receive no reliable signal linking that increase to penalty reduction, because the</w:t>
      </w:r>
      <w:r>
        <w:t xml:space="preserve"> </w:t>
      </w:r>
      <w:r>
        <w:t xml:space="preserve">schedule operates on epochs, not on exploitation rates within epochs. In p3a, the penalty</w:t>
      </w:r>
      <w:r>
        <w:t xml:space="preserve"> </w:t>
      </w:r>
      <w:r>
        <w:t xml:space="preserve">fires in direct response to exploitation events: each exploitation crossing the threshold</w:t>
      </w:r>
      <w:r>
        <w:t xml:space="preserve"> </w:t>
      </w:r>
      <w:r>
        <w:t xml:space="preserve">draws a penalty with probability 0.5. An agent that reduced exploitation — by increasing</w:t>
      </w:r>
      <w:r>
        <w:t xml:space="preserve"> </w:t>
      </w:r>
      <w:r>
        <w:t xml:space="preserve">QUERY output and thereby staying below the threshold — would receive a stochastic but</w:t>
      </w:r>
      <w:r>
        <w:t xml:space="preserve"> </w:t>
      </w:r>
      <w:r>
        <w:t xml:space="preserve">action-contingent reduction in penalty exposure. The p3a architecture creates a partial</w:t>
      </w:r>
      <w:r>
        <w:t xml:space="preserve"> </w:t>
      </w:r>
      <w:r>
        <w:t xml:space="preserve">gradient linking QUERY behavior to enforcement relief; p3b does not.</w:t>
      </w:r>
    </w:p>
    <w:p>
      <w:pPr>
        <w:pStyle w:val="BodyText"/>
      </w:pPr>
      <w:r>
        <w:t xml:space="preserve">The fact that p3a &gt; p3b in query rate is consistent with agents in p3a responding to this</w:t>
      </w:r>
      <w:r>
        <w:t xml:space="preserve"> </w:t>
      </w:r>
      <w:r>
        <w:t xml:space="preserve">partial gradient. It suggests that the query inflation under constrained conditions is not</w:t>
      </w:r>
      <w:r>
        <w:t xml:space="preserve"> </w:t>
      </w:r>
      <w:r>
        <w:t xml:space="preserve">purely noise or undirected output: agents appear to be responding to the enforcement</w:t>
      </w:r>
      <w:r>
        <w:t xml:space="preserve"> </w:t>
      </w:r>
      <w:r>
        <w:t xml:space="preserve">structure in a way that tracks its contingency. This makes the behavioral amplification</w:t>
      </w:r>
      <w:r>
        <w:t xml:space="preserve"> </w:t>
      </w:r>
      <w:r>
        <w:t xml:space="preserve">harder to attribute to random entropy increase and more consistent with an adaptive</w:t>
      </w:r>
      <w:r>
        <w:t xml:space="preserve"> </w:t>
      </w:r>
      <w:r>
        <w:t xml:space="preserve">response — albeit one that does not produce structural improvement.</w:t>
      </w:r>
    </w:p>
    <w:bookmarkEnd w:id="38"/>
    <w:bookmarkStart w:id="39" w:name="relation-to-protocol-2"/>
    <w:p>
      <w:pPr>
        <w:pStyle w:val="Heading3"/>
      </w:pPr>
      <w:r>
        <w:t xml:space="preserve">4.4 Relation to Protocol 2</w:t>
      </w:r>
    </w:p>
    <w:p>
      <w:pPr>
        <w:pStyle w:val="FirstParagraph"/>
      </w:pPr>
      <w:r>
        <w:t xml:space="preserve">Protocol 2 and Protocol 3 used the same exploit threshold (3) and ethical tax rate (2.0),</w:t>
      </w:r>
      <w:r>
        <w:t xml:space="preserve"> </w:t>
      </w:r>
      <w:r>
        <w:t xml:space="preserve">differing only in enforcement structure: deterministic in P2, hidden-schedule or</w:t>
      </w:r>
      <w:r>
        <w:t xml:space="preserve"> </w:t>
      </w:r>
      <w:r>
        <w:t xml:space="preserve">stochastic in P3. Comparing the unconstrained baselines across protocols provides a</w:t>
      </w:r>
      <w:r>
        <w:t xml:space="preserve"> </w:t>
      </w:r>
      <w:r>
        <w:t xml:space="preserve">rough cross-protocol anchor. The P3 unconstrained mean query rate (0.286) is in a</w:t>
      </w:r>
      <w:r>
        <w:t xml:space="preserve"> </w:t>
      </w:r>
      <w:r>
        <w:t xml:space="preserve">plausible range relative to P2’s unconstrained condition, consistent with the same</w:t>
      </w:r>
      <w:r>
        <w:t xml:space="preserve"> </w:t>
      </w:r>
      <w:r>
        <w:t xml:space="preserve">underlying harness and task architecture. The constrained conditions in P3 (3B: 0.587; 3A: 0.669) both exceed the P2 constrained</w:t>
      </w:r>
      <w:r>
        <w:t xml:space="preserve"> </w:t>
      </w:r>
      <w:r>
        <w:t xml:space="preserve">condition in query rate. SSS comparison across protocols is not included here; the P2</w:t>
      </w:r>
      <w:r>
        <w:t xml:space="preserve"> </w:t>
      </w:r>
      <w:r>
        <w:t xml:space="preserve">and P3 constrained conditions differ in enforcement structure in ways that complicate</w:t>
      </w:r>
      <w:r>
        <w:t xml:space="preserve"> </w:t>
      </w:r>
      <w:r>
        <w:t xml:space="preserve">direct SSS comparison, and the cross-protocol analysis is not preregistered.</w:t>
      </w:r>
    </w:p>
    <w:p>
      <w:pPr>
        <w:pStyle w:val="BodyText"/>
      </w:pPr>
      <w:r>
        <w:t xml:space="preserve">The cross-protocol comparison is not part of the preregistered analysis and should be</w:t>
      </w:r>
      <w:r>
        <w:t xml:space="preserve"> </w:t>
      </w:r>
      <w:r>
        <w:t xml:space="preserve">interpreted cautiously: Protocol 2 and Protocol 3 were run as separate campaigns with</w:t>
      </w:r>
      <w:r>
        <w:t xml:space="preserve"> </w:t>
      </w:r>
      <w:r>
        <w:t xml:space="preserve">independent random seeds, and between-protocol comparisons are not controlled for seed</w:t>
      </w:r>
      <w:r>
        <w:t xml:space="preserve"> </w:t>
      </w:r>
      <w:r>
        <w:t xml:space="preserve">variation. Nevertheless, the direction is consistent. Both deterministic enforcement (P2)</w:t>
      </w:r>
      <w:r>
        <w:t xml:space="preserve"> </w:t>
      </w:r>
      <w:r>
        <w:t xml:space="preserve">and opaque enforcement (P3) produced conditions in which elevated QUERY rates were</w:t>
      </w:r>
      <w:r>
        <w:t xml:space="preserve"> </w:t>
      </w:r>
      <w:r>
        <w:t xml:space="preserve">accompanied by reduced structural coherence relative to unconstrained baseline. The</w:t>
      </w:r>
      <w:r>
        <w:t xml:space="preserve"> </w:t>
      </w:r>
      <w:r>
        <w:t xml:space="preserve">mechanism that produced this pattern appears to differ — boundary exploitation in P2</w:t>
      </w:r>
      <w:r>
        <w:t xml:space="preserve"> </w:t>
      </w:r>
      <w:r>
        <w:t xml:space="preserve">versus uncertainty-driven amplification in P3 — but the functional outcome (behavioral</w:t>
      </w:r>
      <w:r>
        <w:t xml:space="preserve"> </w:t>
      </w:r>
      <w:r>
        <w:t xml:space="preserve">metric elevated, structural coherence reduced) is replicated across enforcement regimes.</w:t>
      </w:r>
    </w:p>
    <w:bookmarkEnd w:id="39"/>
    <w:bookmarkStart w:id="40" w:name="mechanism-remains-open"/>
    <w:p>
      <w:pPr>
        <w:pStyle w:val="Heading3"/>
      </w:pPr>
      <w:r>
        <w:t xml:space="preserve">4.5 Mechanism Remains Open</w:t>
      </w:r>
    </w:p>
    <w:p>
      <w:pPr>
        <w:pStyle w:val="FirstParagraph"/>
      </w:pPr>
      <w:r>
        <w:t xml:space="preserve">The post-hoc interpretation offered in Section 3.8 — query inflation as rational hedging</w:t>
      </w:r>
      <w:r>
        <w:t xml:space="preserve"> </w:t>
      </w:r>
      <w:r>
        <w:t xml:space="preserve">under enforcement uncertainty — is consistent with the data but not confirmed by this</w:t>
      </w:r>
      <w:r>
        <w:t xml:space="preserve"> </w:t>
      </w:r>
      <w:r>
        <w:t xml:space="preserve">dataset alone. Three candidate mechanisms remain live.</w:t>
      </w:r>
    </w:p>
    <w:p>
      <w:pPr>
        <w:pStyle w:val="BodyText"/>
      </w:pPr>
      <w:r>
        <w:rPr>
          <w:i/>
          <w:iCs/>
        </w:rPr>
        <w:t xml:space="preserve">Hedging.</w:t>
      </w:r>
      <w:r>
        <w:t xml:space="preserve"> </w:t>
      </w:r>
      <w:r>
        <w:t xml:space="preserve">Agents increase QUERY output as an information-seeking or risk-reduction</w:t>
      </w:r>
      <w:r>
        <w:t xml:space="preserve"> </w:t>
      </w:r>
      <w:r>
        <w:t xml:space="preserve">behavior when they cannot locate the penalty boundary. QUERY signals, in the Protocol 3</w:t>
      </w:r>
      <w:r>
        <w:t xml:space="preserve"> </w:t>
      </w:r>
      <w:r>
        <w:t xml:space="preserve">task architecture, are the agent action most directly tied to environmental probing. Under</w:t>
      </w:r>
      <w:r>
        <w:t xml:space="preserve"> </w:t>
      </w:r>
      <w:r>
        <w:t xml:space="preserve">this account, the query inflation reflects a rational uncertainty response, not</w:t>
      </w:r>
      <w:r>
        <w:t xml:space="preserve"> </w:t>
      </w:r>
      <w:r>
        <w:t xml:space="preserve">exploitation of a detectable boundary.</w:t>
      </w:r>
    </w:p>
    <w:p>
      <w:pPr>
        <w:pStyle w:val="BodyText"/>
      </w:pPr>
      <w:r>
        <w:rPr>
          <w:i/>
          <w:iCs/>
        </w:rPr>
        <w:t xml:space="preserve">Regime disruption.</w:t>
      </w:r>
      <w:r>
        <w:t xml:space="preserve"> </w:t>
      </w:r>
      <w:r>
        <w:t xml:space="preserve">The hidden-schedule enforcement destabilized the P2-style</w:t>
      </w:r>
      <w:r>
        <w:t xml:space="preserve"> </w:t>
      </w:r>
      <w:r>
        <w:t xml:space="preserve">query-flooding equilibrium — in which agents had learned to maintain a specific query</w:t>
      </w:r>
      <w:r>
        <w:t xml:space="preserve"> </w:t>
      </w:r>
      <w:r>
        <w:t xml:space="preserve">rate near the exploitation threshold — and pushed agents into a higher-query regime that</w:t>
      </w:r>
      <w:r>
        <w:t xml:space="preserve"> </w:t>
      </w:r>
      <w:r>
        <w:t xml:space="preserve">was not strategically optimized but was also not structurally organized. Under this</w:t>
      </w:r>
      <w:r>
        <w:t xml:space="preserve"> </w:t>
      </w:r>
      <w:r>
        <w:t xml:space="preserve">account, the query inflation is a destabilization artifact rather than a new equilibrium.</w:t>
      </w:r>
    </w:p>
    <w:p>
      <w:pPr>
        <w:pStyle w:val="BodyText"/>
      </w:pPr>
      <w:r>
        <w:rPr>
          <w:i/>
          <w:iCs/>
        </w:rPr>
        <w:t xml:space="preserve">Penalty-gradient distortion.</w:t>
      </w:r>
      <w:r>
        <w:t xml:space="preserve"> </w:t>
      </w:r>
      <w:r>
        <w:t xml:space="preserve">The ethical tax, when it fires, adds cost to signal</w:t>
      </w:r>
      <w:r>
        <w:t xml:space="preserve"> </w:t>
      </w:r>
      <w:r>
        <w:t xml:space="preserve">emission. Under stochastic or epoch-indexed enforcement, the gradient signal from</w:t>
      </w:r>
      <w:r>
        <w:t xml:space="preserve"> </w:t>
      </w:r>
      <w:r>
        <w:t xml:space="preserve">penalty costs is noisy and temporally irregular. Agents whose reward signal is</w:t>
      </w:r>
      <w:r>
        <w:t xml:space="preserve"> </w:t>
      </w:r>
      <w:r>
        <w:t xml:space="preserve">periodically disrupted by enforcement costs may increase signal output as a compensatory</w:t>
      </w:r>
      <w:r>
        <w:t xml:space="preserve"> </w:t>
      </w:r>
      <w:r>
        <w:t xml:space="preserve">response to reward variance, rather than as a direct response to the constraint’s</w:t>
      </w:r>
      <w:r>
        <w:t xml:space="preserve"> </w:t>
      </w:r>
      <w:r>
        <w:t xml:space="preserve">behavioral intent.</w:t>
      </w:r>
    </w:p>
    <w:p>
      <w:pPr>
        <w:pStyle w:val="BodyText"/>
      </w:pPr>
      <w:r>
        <w:t xml:space="preserve">These accounts are not mutually exclusive. Discriminating among them requires trajectory</w:t>
      </w:r>
      <w:r>
        <w:t xml:space="preserve"> </w:t>
      </w:r>
      <w:r>
        <w:t xml:space="preserve">analysis — epoch-by-epoch query rate and exploitation rate time series aligned with</w:t>
      </w:r>
      <w:r>
        <w:t xml:space="preserve"> </w:t>
      </w:r>
      <w:r>
        <w:t xml:space="preserve">realized enforcement events — and penalty-alignment correlation, examining whether</w:t>
      </w:r>
      <w:r>
        <w:t xml:space="preserve"> </w:t>
      </w:r>
      <w:r>
        <w:t xml:space="preserve">per-seed query rate variance tracks the density or distribution of enforcement epochs.</w:t>
      </w:r>
      <w:r>
        <w:t xml:space="preserve"> </w:t>
      </w:r>
      <w:r>
        <w:t xml:space="preserve">Both analyses are feasible with the existing data and are the designated next steps for</w:t>
      </w:r>
      <w:r>
        <w:t xml:space="preserve"> </w:t>
      </w:r>
      <w:r>
        <w:t xml:space="preserve">this research program. The confirmatory results reported here are not conditional on</w:t>
      </w:r>
      <w:r>
        <w:t xml:space="preserve"> </w:t>
      </w:r>
      <w:r>
        <w:t xml:space="preserve">mechanism resolution; the preregistered hypotheses concern query rate outcomes, not</w:t>
      </w:r>
      <w:r>
        <w:t xml:space="preserve"> </w:t>
      </w:r>
      <w:r>
        <w:t xml:space="preserve">mechanistic explanation.</w:t>
      </w:r>
    </w:p>
    <w:bookmarkEnd w:id="40"/>
    <w:bookmarkStart w:id="41" w:name="limitations"/>
    <w:p>
      <w:pPr>
        <w:pStyle w:val="Heading3"/>
      </w:pPr>
      <w:r>
        <w:t xml:space="preserve">4.6 Limitations</w:t>
      </w:r>
    </w:p>
    <w:p>
      <w:pPr>
        <w:pStyle w:val="FirstParagraph"/>
      </w:pPr>
      <w:r>
        <w:rPr>
          <w:b/>
          <w:bCs/>
        </w:rPr>
        <w:t xml:space="preserve">Sample size.</w:t>
      </w:r>
      <w:r>
        <w:t xml:space="preserve"> </w:t>
      </w:r>
      <w:r>
        <w:t xml:space="preserve">Each condition contains 10 seeds. Mann-Whitney U tests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 have</w:t>
      </w:r>
      <w:r>
        <w:t xml:space="preserve"> </w:t>
      </w:r>
      <w:r>
        <w:t xml:space="preserve">limited power to detect small effects. The H1 inversion was detected at very large effect</w:t>
      </w:r>
      <w:r>
        <w:t xml:space="preserve"> </w:t>
      </w:r>
      <w:r>
        <w:t xml:space="preserve">size (</w:t>
      </w:r>
      <w:r>
        <w:rPr>
          <w:i/>
          <w:iCs/>
        </w:rPr>
        <w:t xml:space="preserve">d</w:t>
      </w:r>
      <w:r>
        <w:t xml:space="preserve"> </w:t>
      </w:r>
      <w:r>
        <w:t xml:space="preserve">= +3.23) and the H2 confirmation at medium effect size (</w:t>
      </w:r>
      <w:r>
        <w:rPr>
          <w:i/>
          <w:iCs/>
        </w:rPr>
        <w:t xml:space="preserve">d</w:t>
      </w:r>
      <w:r>
        <w:t xml:space="preserve"> </w:t>
      </w:r>
      <w:r>
        <w:t xml:space="preserve">= +0.82), so both</w:t>
      </w:r>
      <w:r>
        <w:t xml:space="preserve"> </w:t>
      </w:r>
      <w:r>
        <w:t xml:space="preserve">primary results are unlikely to be artifacts of low power. However, secondary metrics and</w:t>
      </w:r>
      <w:r>
        <w:t xml:space="preserve"> </w:t>
      </w:r>
      <w:r>
        <w:t xml:space="preserve">cross-condition comparisons should be interpreted conservatively at this sample size.</w:t>
      </w:r>
    </w:p>
    <w:p>
      <w:pPr>
        <w:pStyle w:val="BodyText"/>
      </w:pPr>
      <w:r>
        <w:rPr>
          <w:b/>
          <w:bCs/>
        </w:rPr>
        <w:t xml:space="preserve">ELR non-evaluability.</w:t>
      </w:r>
      <w:r>
        <w:t xml:space="preserve"> </w:t>
      </w:r>
      <w:r>
        <w:t xml:space="preserve">Exploitation Loop Rate was preregistered as a secondary metric</w:t>
      </w:r>
      <w:r>
        <w:t xml:space="preserve"> </w:t>
      </w:r>
      <w:r>
        <w:t xml:space="preserve">but could not be evaluated because no seed in any condition produced a run with sustained</w:t>
      </w:r>
      <w:r>
        <w:t xml:space="preserve"> </w:t>
      </w:r>
      <w:r>
        <w:t xml:space="preserve">near-zero query rates. This operationalization gap, inherited from Protocol 2, reflects a</w:t>
      </w:r>
      <w:r>
        <w:t xml:space="preserve"> </w:t>
      </w:r>
      <w:r>
        <w:t xml:space="preserve">property of the task architecture: the environment contains no depletable resource target</w:t>
      </w:r>
      <w:r>
        <w:t xml:space="preserve"> </w:t>
      </w:r>
      <w:r>
        <w:t xml:space="preserve">that would incentivize agents to abandon querying entirely. ELR remains a theoretically</w:t>
      </w:r>
      <w:r>
        <w:t xml:space="preserve"> </w:t>
      </w:r>
      <w:r>
        <w:t xml:space="preserve">motivated metric whose operationalization requires a different task design, such as one in</w:t>
      </w:r>
      <w:r>
        <w:t xml:space="preserve"> </w:t>
      </w:r>
      <w:r>
        <w:t xml:space="preserve">which a resource target declines in value with repeated access.</w:t>
      </w:r>
    </w:p>
    <w:p>
      <w:pPr>
        <w:pStyle w:val="BodyText"/>
      </w:pPr>
      <w:r>
        <w:rPr>
          <w:b/>
          <w:bCs/>
        </w:rPr>
        <w:t xml:space="preserve">Simulation scope.</w:t>
      </w:r>
      <w:r>
        <w:t xml:space="preserve"> </w:t>
      </w:r>
      <w:r>
        <w:t xml:space="preserve">All results are drawn from a single multi-agent simulation</w:t>
      </w:r>
      <w:r>
        <w:t xml:space="preserve"> </w:t>
      </w:r>
      <w:r>
        <w:t xml:space="preserve">architecture (depth = 1, 3 agents, 20×20 grid, energy-constrained navigation). The</w:t>
      </w:r>
      <w:r>
        <w:t xml:space="preserve"> </w:t>
      </w:r>
      <w:r>
        <w:t xml:space="preserve">generalizability of these findings to different architectures, task types, or agent scales</w:t>
      </w:r>
      <w:r>
        <w:t xml:space="preserve"> </w:t>
      </w:r>
      <w:r>
        <w:t xml:space="preserve">is unknown. The simulation was designed to isolate the enforcement opacity manipulation</w:t>
      </w:r>
      <w:r>
        <w:t xml:space="preserve"> </w:t>
      </w:r>
      <w:r>
        <w:t xml:space="preserve">with all other parameters held constant; it was not designed to maximize ecological</w:t>
      </w:r>
      <w:r>
        <w:t xml:space="preserve"> </w:t>
      </w:r>
      <w:r>
        <w:t xml:space="preserve">validity. The findings should be understood as evidence about how this class of agent</w:t>
      </w:r>
      <w:r>
        <w:t xml:space="preserve"> </w:t>
      </w:r>
      <w:r>
        <w:t xml:space="preserve">responds to this class of enforcement structure, not as a claim about multi-agent systems</w:t>
      </w:r>
      <w:r>
        <w:t xml:space="preserve"> </w:t>
      </w:r>
      <w:r>
        <w:t xml:space="preserve">in general.</w:t>
      </w:r>
    </w:p>
    <w:p>
      <w:pPr>
        <w:pStyle w:val="BodyText"/>
      </w:pPr>
      <w:r>
        <w:rPr>
          <w:b/>
          <w:bCs/>
        </w:rPr>
        <w:t xml:space="preserve">Mechanism.</w:t>
      </w:r>
      <w:r>
        <w:t xml:space="preserve"> </w:t>
      </w:r>
      <w:r>
        <w:t xml:space="preserve">As noted in Section 4.5, the behavioral pattern reported here is</w:t>
      </w:r>
      <w:r>
        <w:t xml:space="preserve"> </w:t>
      </w:r>
      <w:r>
        <w:t xml:space="preserve">consistent with multiple mechanistic accounts. The confirmatory analysis does not</w:t>
      </w:r>
      <w:r>
        <w:t xml:space="preserve"> </w:t>
      </w:r>
      <w:r>
        <w:t xml:space="preserve">distinguish among them. Causal claims about why query behavior was amplified under</w:t>
      </w:r>
      <w:r>
        <w:t xml:space="preserve"> </w:t>
      </w:r>
      <w:r>
        <w:t xml:space="preserve">enforcement opacity are not warranted by the current data.</w:t>
      </w:r>
    </w:p>
    <w:bookmarkEnd w:id="41"/>
    <w:bookmarkStart w:id="42" w:name="implications-and-next-steps"/>
    <w:p>
      <w:pPr>
        <w:pStyle w:val="Heading3"/>
      </w:pPr>
      <w:r>
        <w:t xml:space="preserve">4.7 Implications and Next Steps</w:t>
      </w:r>
    </w:p>
    <w:p>
      <w:pPr>
        <w:pStyle w:val="FirstParagraph"/>
      </w:pPr>
      <w:r>
        <w:t xml:space="preserve">Protocol 3 contributes one specific, preregistered result to the constraint-ethics</w:t>
      </w:r>
      <w:r>
        <w:t xml:space="preserve"> </w:t>
      </w:r>
      <w:r>
        <w:t xml:space="preserve">research program: enforcement opacity — whether implemented as a hidden epoch schedule or</w:t>
      </w:r>
      <w:r>
        <w:t xml:space="preserve"> </w:t>
      </w:r>
      <w:r>
        <w:t xml:space="preserve">as a stochastic firing rule — did not reduce query inflation relative to unconstrained</w:t>
      </w:r>
      <w:r>
        <w:t xml:space="preserve"> </w:t>
      </w:r>
      <w:r>
        <w:t xml:space="preserve">baseline, and was associated with lower sustained communicative structure despite higher</w:t>
      </w:r>
      <w:r>
        <w:t xml:space="preserve"> </w:t>
      </w:r>
      <w:r>
        <w:t xml:space="preserve">query output. The constraint changed what agents did, but the change did not constitute</w:t>
      </w:r>
      <w:r>
        <w:t xml:space="preserve"> </w:t>
      </w:r>
      <w:r>
        <w:t xml:space="preserve">an improvement in the behavioral function the constraint was designed to protect.</w:t>
      </w:r>
    </w:p>
    <w:p>
      <w:pPr>
        <w:pStyle w:val="BodyText"/>
      </w:pPr>
      <w:r>
        <w:t xml:space="preserve">This result does not, by itself, license strong claims about the limits of constraint</w:t>
      </w:r>
      <w:r>
        <w:t xml:space="preserve"> </w:t>
      </w:r>
      <w:r>
        <w:t xml:space="preserve">design in general. A single enforcement opacity manipulation, tested in one simulation</w:t>
      </w:r>
      <w:r>
        <w:t xml:space="preserve"> </w:t>
      </w:r>
      <w:r>
        <w:t xml:space="preserve">architecture at one parameter setting, is insufficient to generalize to the broad class of</w:t>
      </w:r>
      <w:r>
        <w:t xml:space="preserve"> </w:t>
      </w:r>
      <w:r>
        <w:t xml:space="preserve">regulatory approaches. What the result does establish, within the scope of this</w:t>
      </w:r>
      <w:r>
        <w:t xml:space="preserve"> </w:t>
      </w:r>
      <w:r>
        <w:t xml:space="preserve">experiment, is that removing the learnability of the enforcement boundary did not restore</w:t>
      </w:r>
      <w:r>
        <w:t xml:space="preserve"> </w:t>
      </w:r>
      <w:r>
        <w:t xml:space="preserve">genuine compliance. Agents adapted to the new enforcement structure in ways that</w:t>
      </w:r>
      <w:r>
        <w:t xml:space="preserve"> </w:t>
      </w:r>
      <w:r>
        <w:t xml:space="preserve">superficially satisfied the constrained metric while degrading the underlying coordination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The immediate next steps are trajectory analysis and penalty-alignment correlation of the</w:t>
      </w:r>
      <w:r>
        <w:t xml:space="preserve"> </w:t>
      </w:r>
      <w:r>
        <w:t xml:space="preserve">existing Protocol 3 data, to characterize the temporal dynamics of query inflation and</w:t>
      </w:r>
      <w:r>
        <w:t xml:space="preserve"> </w:t>
      </w:r>
      <w:r>
        <w:t xml:space="preserve">its relationship to realized enforcement events. These analyses will inform the</w:t>
      </w:r>
      <w:r>
        <w:t xml:space="preserve"> </w:t>
      </w:r>
      <w:r>
        <w:t xml:space="preserve">mechanistic interpretation and may narrow the set of live explanations before the next</w:t>
      </w:r>
      <w:r>
        <w:t xml:space="preserve"> </w:t>
      </w:r>
      <w:r>
        <w:t xml:space="preserve">experimental stage. Broader synthesis across Protocols 2 through 5 — including the null</w:t>
      </w:r>
      <w:r>
        <w:t xml:space="preserve"> </w:t>
      </w:r>
      <w:r>
        <w:t xml:space="preserve">results from architectural complexity (Protocol 4) and welfare coupling (Protocol 5) — is</w:t>
      </w:r>
      <w:r>
        <w:t xml:space="preserve"> </w:t>
      </w:r>
      <w:r>
        <w:t xml:space="preserve">reserved for a program-level paper that can integrate findings across enforcement regimes,</w:t>
      </w:r>
      <w:r>
        <w:t xml:space="preserve"> </w:t>
      </w:r>
      <w:r>
        <w:t xml:space="preserve">architectural manipulations, and reward structures.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Tisler, B. (2026a).</w:t>
      </w:r>
      <w:r>
        <w:t xml:space="preserve"> </w:t>
      </w:r>
      <w:r>
        <w:rPr>
          <w:i/>
          <w:iCs/>
        </w:rPr>
        <w:t xml:space="preserve">Protocol 2 Confirmatory Campaign Build Report — constraint-ethics-necessity</w:t>
      </w:r>
      <w:r>
        <w:t xml:space="preserve">. Quantum Inquiry. Zenodo. https://doi.org/10.5281/zenodo.18975095</w:t>
      </w:r>
    </w:p>
    <w:p>
      <w:pPr>
        <w:pStyle w:val="BodyText"/>
      </w:pPr>
      <w:r>
        <w:t xml:space="preserve">Tisler, B. (2026b).</w:t>
      </w:r>
      <w:r>
        <w:t xml:space="preserve"> </w:t>
      </w:r>
      <w:r>
        <w:rPr>
          <w:i/>
          <w:iCs/>
        </w:rPr>
        <w:t xml:space="preserve">Protocol 3 preregistration: Enforcement opacity and the limits of</w:t>
      </w:r>
      <w:r>
        <w:rPr>
          <w:i/>
          <w:iCs/>
        </w:rPr>
        <w:t xml:space="preserve"> </w:t>
      </w:r>
      <w:r>
        <w:rPr>
          <w:i/>
          <w:iCs/>
        </w:rPr>
        <w:t xml:space="preserve">regulatory constraint design</w:t>
      </w:r>
      <w:r>
        <w:t xml:space="preserve">. Zenodo. https://doi.org/10.5281/zenodo.19096602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status: Complete. References updated to cite Build Report (DOI 10.5281/zenodo.18975095) for Protocol 2 results.</w:t>
      </w:r>
      <w:r>
        <w:br/>
      </w:r>
      <w:r>
        <w:rPr>
          <w:i/>
          <w:iCs/>
        </w:rPr>
        <w:t xml:space="preserve">Figures: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docs/figures/figure1_p3_query_trajectories.png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docs/figures/figure2_p3_final_window.png</w:t>
      </w:r>
      <w:r>
        <w:br/>
      </w:r>
      <w:r>
        <w:rPr>
          <w:i/>
          <w:iCs/>
        </w:rPr>
        <w:t xml:space="preserve">Figure script: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backend/generate_p3_figures.py</w:t>
      </w:r>
      <w:r>
        <w:br/>
      </w:r>
      <w:r>
        <w:rPr>
          <w:i/>
          <w:iCs/>
        </w:rPr>
        <w:t xml:space="preserve">Analysis code: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backend/analyze_p3_100epoch.py</w:t>
      </w:r>
      <w:r>
        <w:br/>
      </w: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backend/data/p3_{unconstrained,b_constrained,a_constrained}/seed_{0-9}/</w:t>
      </w:r>
      <w:r>
        <w:br/>
      </w:r>
      <w:r>
        <w:rPr>
          <w:i/>
          <w:iCs/>
        </w:rPr>
        <w:t xml:space="preserve">Preregistration: DOI 10.5281/zenodo.19096602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2026-05-20T15:33:26Z</dcterms:created>
  <dcterms:modified xsi:type="dcterms:W3CDTF">2026-05-20T15:33:26Z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