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BF42E" w14:textId="77777777" w:rsidR="005B74EC" w:rsidRDefault="00000000">
      <w:pPr>
        <w:spacing w:after="240"/>
        <w:jc w:val="center"/>
      </w:pPr>
      <w:r>
        <w:rPr>
          <w:b/>
          <w:sz w:val="28"/>
        </w:rPr>
        <w:t>Emergent Constraint Fields Are Causally Active But Do Not Outperform Fixed External Rules: A Preregistered Null on Passive Emergence as a Governance Strategy</w:t>
      </w:r>
    </w:p>
    <w:p w14:paraId="03235C69" w14:textId="77777777" w:rsidR="005B74EC" w:rsidRDefault="00000000">
      <w:pPr>
        <w:spacing w:after="40"/>
        <w:jc w:val="center"/>
      </w:pPr>
      <w:r>
        <w:rPr>
          <w:sz w:val="22"/>
        </w:rPr>
        <w:t>Bruce Tisler</w:t>
      </w:r>
    </w:p>
    <w:p w14:paraId="7E9CD77F" w14:textId="77777777" w:rsidR="005B74EC" w:rsidRDefault="00000000">
      <w:pPr>
        <w:spacing w:after="40"/>
        <w:jc w:val="center"/>
      </w:pPr>
      <w:r>
        <w:rPr>
          <w:sz w:val="22"/>
        </w:rPr>
        <w:t>Quantum Inquiry (quantuminquiry.org)</w:t>
      </w:r>
    </w:p>
    <w:p w14:paraId="62041B8C" w14:textId="77777777" w:rsidR="005B74EC" w:rsidRDefault="00000000">
      <w:pPr>
        <w:spacing w:after="40"/>
        <w:jc w:val="center"/>
      </w:pPr>
      <w:r>
        <w:rPr>
          <w:sz w:val="22"/>
        </w:rPr>
        <w:t>ORCID: 0009-0009-6344-5334</w:t>
      </w:r>
    </w:p>
    <w:p w14:paraId="52A1B6BB" w14:textId="77777777" w:rsidR="005B74EC" w:rsidRDefault="00000000">
      <w:pPr>
        <w:spacing w:after="40"/>
        <w:jc w:val="center"/>
      </w:pPr>
      <w:r>
        <w:rPr>
          <w:sz w:val="22"/>
        </w:rPr>
        <w:t>Protocol 6 of the Ethics as Emergent Constraint Response Series</w:t>
      </w:r>
    </w:p>
    <w:p w14:paraId="20EBFADA" w14:textId="77777777" w:rsidR="005B74EC" w:rsidRDefault="00000000">
      <w:pPr>
        <w:spacing w:after="40"/>
        <w:jc w:val="center"/>
      </w:pPr>
      <w:r>
        <w:rPr>
          <w:sz w:val="22"/>
        </w:rPr>
        <w:t>Preregistration DOI: 10.5281/zenodo.19297509</w:t>
      </w:r>
    </w:p>
    <w:p w14:paraId="18034BA6" w14:textId="77777777" w:rsidR="005B74EC" w:rsidRDefault="00000000">
      <w:pPr>
        <w:spacing w:after="40"/>
        <w:jc w:val="center"/>
      </w:pPr>
      <w:r>
        <w:rPr>
          <w:sz w:val="22"/>
        </w:rPr>
        <w:t>Repository: btisler-DS/emergent-constraint-marl</w:t>
      </w:r>
    </w:p>
    <w:p w14:paraId="5179D999" w14:textId="77777777" w:rsidR="005B74EC" w:rsidRDefault="00000000">
      <w:pPr>
        <w:spacing w:after="40"/>
        <w:jc w:val="center"/>
      </w:pPr>
      <w:r>
        <w:rPr>
          <w:sz w:val="22"/>
        </w:rPr>
        <w:t>Date: 2026-04-09</w:t>
      </w:r>
    </w:p>
    <w:p w14:paraId="4A9DA88F" w14:textId="77777777" w:rsidR="005B74EC" w:rsidRDefault="005B74EC"/>
    <w:p w14:paraId="1D5857F5" w14:textId="77777777" w:rsidR="005B74EC" w:rsidRDefault="00000000" w:rsidP="007A29E7">
      <w:pPr>
        <w:spacing w:before="240" w:after="80"/>
      </w:pPr>
      <w:r>
        <w:rPr>
          <w:b/>
          <w:sz w:val="26"/>
        </w:rPr>
        <w:t>Abstract</w:t>
      </w:r>
    </w:p>
    <w:p w14:paraId="61331BF5" w14:textId="77777777" w:rsidR="005B74EC" w:rsidRDefault="00000000" w:rsidP="007A29E7">
      <w:pPr>
        <w:spacing w:after="120"/>
      </w:pPr>
      <w:r>
        <w:t>Does the origin of a constraint — emergent from agent activity versus imposed from outside — determine whether that constraint produces alignment-relevant behavioral outcomes in multi-agent systems? Protocol 6 of the Ethics as Emergent Constraint Response series tested this question using a preregistered four-condition design. Three-agent reinforcement learning systems were trained under: Condition A (emergent constraint field, local perception), Condition B (emergent constraint field, global perception), Condition C (fixed external constraint, matched cost), and Condition D (no constraint). Two hundred confirmatory runs (50 seeds per condition, 500 epochs each) were executed against a Zenodo-preregistered protocol (SHA-256: c286a89037966e56630f5d3ce4cdb4a1621ce7ce9a0f7e7d477a06b8495dffc3).</w:t>
      </w:r>
    </w:p>
    <w:p w14:paraId="00C46A90" w14:textId="77777777" w:rsidR="005B74EC" w:rsidRDefault="00000000" w:rsidP="007A29E7">
      <w:pPr>
        <w:spacing w:after="120"/>
      </w:pPr>
      <w:r>
        <w:t>Results were mixed. The mechanistic prediction was robustly confirmed: within-run correlation between field entropy and behavioral structure (sustained_structure_score proxy) yielded a median r = −0.680 in Condition A (Wilcoxon W = 3.0, p &lt; 0.001), closely replicating the pilot finding. The emergent constraint field is causally active and creates a temporal coupling signature entirely absent in the fixed-constraint and unconstrained conditions. However, the primary behavioral claim was not confirmed: Condition A did not produce significantly higher reward than Condition C (p = 0.069), and the behavioral homogenization attractor documented across Protocols 2–5 persisted in all constrained conditions (mean query_rate ≈ 0.78 in A, B, and C). The H3 reversal — global field perception produced more behavioral variance than local, contrary to all committee predictions — was the largest empirical surprise. The governance implication is direct: an emergent constraint field that co-constitutes itself through agent signaling behaves mechanistically differently from an imposed rule, but this mechanistic difference does not translate to better alignment outcomes in this architecture. Passive emergence is insufficient as a governance strategy.</w:t>
      </w:r>
    </w:p>
    <w:p w14:paraId="0A38C0A7" w14:textId="77777777" w:rsidR="005B74EC" w:rsidRDefault="00000000" w:rsidP="007A29E7">
      <w:pPr>
        <w:spacing w:before="240" w:after="80"/>
      </w:pPr>
      <w:r>
        <w:rPr>
          <w:b/>
          <w:sz w:val="26"/>
        </w:rPr>
        <w:lastRenderedPageBreak/>
        <w:t>1. Introduction</w:t>
      </w:r>
    </w:p>
    <w:p w14:paraId="3E436BD6" w14:textId="77777777" w:rsidR="005B74EC" w:rsidRDefault="00000000" w:rsidP="007A29E7">
      <w:pPr>
        <w:spacing w:after="120"/>
      </w:pPr>
      <w:r>
        <w:t>The Ethics as Emergent Constraint Response series began with a deceptively simple observation: regulatory constraints imposed on artificial agents do not produce the behavioral outcomes they nominally target. Protocol 2 (Tisler, 2026a) demonstrated that agents subject to a fixed ethical tax learn to satisfy the tax through query flooding — a compliance-satisfying but alignment-defeating attractor with effect size d = −2.18. Protocol 3 (Tisler, 2026b) showed that epistemic opacity amplifies this failure: when agents cannot observe the enforcement mechanism, gaming increases (H1 inverted, d = +2.22). Protocol 4 (Tisler, 2026c) added recursive self-modeling depth and found that self-inclusion and ethical output are behaviorally dissociated — deeper self-models increase sacrifice capacity without increasing alignment. Protocol 5 (Tisler, 2026d) produced a complete null: temporal integration span and prosocial constraint architecture are jointly insufficient to rescue alignment. All five primary hypotheses failed.</w:t>
      </w:r>
    </w:p>
    <w:p w14:paraId="3B8CB351" w14:textId="77777777" w:rsidR="005B74EC" w:rsidRDefault="00000000" w:rsidP="007A29E7">
      <w:pPr>
        <w:spacing w:after="120"/>
      </w:pPr>
      <w:r>
        <w:t>These results converge on a pattern: constraint architectures that are imposed from outside the system do not produce the structural conditions for alignment in this three-agent configuration, regardless of their form, opacity, or the cognitive depth of the agents subject to them. Protocol 6 asks a question that the prior protocols could not address: what if the constraint is not imposed but emerges? If agents co-constitute the constraint field through their own signal production, does that change the outcome?</w:t>
      </w:r>
    </w:p>
    <w:p w14:paraId="1FC7FFFF" w14:textId="77777777" w:rsidR="005B74EC" w:rsidRDefault="00000000" w:rsidP="007A29E7">
      <w:pPr>
        <w:spacing w:after="120"/>
      </w:pPr>
      <w:r>
        <w:t>The motivation is both theoretical and practical. In governance literature, there is a recurring argument that norms which emerge from within a community are more stable and more effective than rules enforced from outside it (Ostrom, 1990; Axelrod, 1986). The slime mold Dictyostelium discoideum provides a biological analogue: individual cells emit cyclic AMP signals that propagate as a field, and this self-assembled field coordinates collective behavior in ways that no single cell plans. Protocol 6 tests whether an analogous mechanism — agents emitting signals that diffuse into a shared constraint landscape they then navigate — produces qualitatively different outcomes than an externally imposed ethical tax of equivalent cost.</w:t>
      </w:r>
    </w:p>
    <w:p w14:paraId="56B49DBF" w14:textId="77777777" w:rsidR="005B74EC" w:rsidRDefault="00000000" w:rsidP="007A29E7">
      <w:pPr>
        <w:spacing w:after="120"/>
      </w:pPr>
      <w:r>
        <w:t>The answer is mechanistically yes and behaviorally no. This paper reports the full confirmatory results, the statistical evidence for both findings, the performance of a five-model AI committee that predicted outcomes in advance, and the implications for agent governance system design.</w:t>
      </w:r>
    </w:p>
    <w:p w14:paraId="6A14867F" w14:textId="77777777" w:rsidR="005B74EC" w:rsidRDefault="00000000" w:rsidP="007A29E7">
      <w:pPr>
        <w:spacing w:before="240" w:after="80"/>
      </w:pPr>
      <w:r>
        <w:rPr>
          <w:b/>
          <w:sz w:val="26"/>
        </w:rPr>
        <w:t>2. Theoretical Background</w:t>
      </w:r>
    </w:p>
    <w:p w14:paraId="3078955F" w14:textId="77777777" w:rsidR="005B74EC" w:rsidRDefault="00000000" w:rsidP="007A29E7">
      <w:pPr>
        <w:spacing w:after="120"/>
      </w:pPr>
      <w:r>
        <w:t>The constraint field mechanism introduced in Protocol 6 is inspired by the Dictyostelium aggregation model of emergent coordination (Goldbeter, 1996; Kessin, 2001). In Dictyostelium, individual amoebae under starvation stress emit cyclic AMP pulses. These pulses diffuse, decay, and are relayed by neighboring cells, producing a propagating wave that serves as a collective coordination signal. No cell plans the wave. The wave is the aggregate consequence of individual cell behavior responding to local signal density. The resulting structure — a fruiting body with differentiated stalk and spore cells — is a behavioral outcome that neither individual cells nor the local signal field specifies.</w:t>
      </w:r>
    </w:p>
    <w:p w14:paraId="1D07322F" w14:textId="77777777" w:rsidR="005B74EC" w:rsidRDefault="00000000" w:rsidP="007A29E7">
      <w:pPr>
        <w:spacing w:after="120"/>
      </w:pPr>
      <w:r>
        <w:t>The Protocol 6 constraint field F (length 3, one scalar per agent position) operates on the same structural logic. Agents emit communication signals (DECLARE, QUERY, RESPOND) whose weighted sum increments each agent's field position. The field then diffuses across positions (diffusion coefficient dc = 0.1), decays each epoch (decay rate dr = 0.05), and returns to each agent as an additional observation dimension. Each agent perceives only its own field value (Condition A: local perception) or the full field vector (Condition B: global perception). The effective cost of communication is modulated by the local field value: agents in high-field positions pay higher costs for additional signals.</w:t>
      </w:r>
    </w:p>
    <w:p w14:paraId="381CF24B" w14:textId="77777777" w:rsidR="005B74EC" w:rsidRDefault="00000000" w:rsidP="007A29E7">
      <w:pPr>
        <w:spacing w:after="120"/>
      </w:pPr>
      <w:r>
        <w:t>Two distinct claims are tested. The mechanistic claim holds that the field creates a temporal coupling between field structure and behavioral outcomes: when field entropy is high (field is uniformly distributed), behavioral structure (sustained coordination) should be lower, because no agent faces elevated cost pressure that would break the query-flooding equilibrium. When field entropy is low (field is heterogeneous), some agents are under elevated cost pressure, potentially disrupting the homogenization attractor. This prediction is operationalized as a negative within-run Spearman correlation between field entropy and sustained_structure_score.</w:t>
      </w:r>
    </w:p>
    <w:p w14:paraId="4987EA15" w14:textId="77777777" w:rsidR="005B74EC" w:rsidRDefault="00000000" w:rsidP="007A29E7">
      <w:pPr>
        <w:spacing w:after="120"/>
      </w:pPr>
      <w:r>
        <w:t>The behavioral claim is stronger: the emergent constraint should not only create a mechanistic signature but should produce better behavioral outcomes than a well-calibrated fixed external tax of equivalent mean cost. This is the governance-relevant claim. If true, it suggests that the origin of a constraint — whether it grows from within the agent community or is imposed from outside — determines alignment outcomes. If false, the mechanism is real but inconsequential for the properties that matter in governance contexts.</w:t>
      </w:r>
    </w:p>
    <w:p w14:paraId="7E2C025D" w14:textId="77777777" w:rsidR="005B74EC" w:rsidRDefault="00000000" w:rsidP="007A29E7">
      <w:pPr>
        <w:spacing w:after="120"/>
      </w:pPr>
      <w:r>
        <w:t>The behavioral homogenization attractor documented across Protocols 2–5 provides the null baseline. In this architecture, agents consistently converge to high, uniform query rates regardless of constraint design. The question Protocol 6 poses is whether an internally co-constituted constraint can break this attractor in ways that externally imposed constraints cannot.</w:t>
      </w:r>
    </w:p>
    <w:p w14:paraId="7963A8B6" w14:textId="77777777" w:rsidR="005B74EC" w:rsidRDefault="00000000" w:rsidP="007A29E7">
      <w:pPr>
        <w:spacing w:before="240" w:after="80"/>
      </w:pPr>
      <w:r>
        <w:rPr>
          <w:b/>
          <w:sz w:val="26"/>
        </w:rPr>
        <w:t>3. Methods</w:t>
      </w:r>
    </w:p>
    <w:p w14:paraId="7F4C42ED" w14:textId="77777777" w:rsidR="005B74EC" w:rsidRDefault="00000000" w:rsidP="007A29E7">
      <w:pPr>
        <w:spacing w:before="240" w:after="80"/>
      </w:pPr>
      <w:r>
        <w:rPr>
          <w:b/>
        </w:rPr>
        <w:t>3.1 Experimental Design</w:t>
      </w:r>
    </w:p>
    <w:p w14:paraId="2BB08532" w14:textId="77777777" w:rsidR="005B74EC" w:rsidRDefault="00000000" w:rsidP="007A29E7">
      <w:pPr>
        <w:spacing w:after="120"/>
      </w:pPr>
      <w:r>
        <w:t>Protocol 6 employed a four-condition between-seeds design. All conditions used the same three-agent MARL harness (AgentA: RNN, AgentB: CNN, AgentC: GNN) ported from the Protocol 5 codebase with modifications documented below. Each condition ran 50 independent seeds (total: 200 runs), 500 epochs each.</w:t>
      </w:r>
    </w:p>
    <w:p w14:paraId="2DF295D3" w14:textId="77777777" w:rsidR="005B74EC" w:rsidRDefault="005B74EC" w:rsidP="007A29E7"/>
    <w:tbl>
      <w:tblPr>
        <w:tblStyle w:val="TableGrid"/>
        <w:tblW w:w="0" w:type="auto"/>
        <w:tblLook w:val="04A0" w:firstRow="1" w:lastRow="0" w:firstColumn="1" w:lastColumn="0" w:noHBand="0" w:noVBand="1"/>
      </w:tblPr>
      <w:tblGrid>
        <w:gridCol w:w="2880"/>
        <w:gridCol w:w="2880"/>
        <w:gridCol w:w="2880"/>
      </w:tblGrid>
      <w:tr w:rsidR="005B74EC" w14:paraId="5D38510D" w14:textId="77777777">
        <w:tc>
          <w:tcPr>
            <w:tcW w:w="2880" w:type="dxa"/>
          </w:tcPr>
          <w:p w14:paraId="4E6A7E24" w14:textId="77777777" w:rsidR="005B74EC" w:rsidRDefault="00000000" w:rsidP="007A29E7">
            <w:r>
              <w:rPr>
                <w:b/>
                <w:sz w:val="20"/>
              </w:rPr>
              <w:t>Condition</w:t>
            </w:r>
          </w:p>
        </w:tc>
        <w:tc>
          <w:tcPr>
            <w:tcW w:w="2880" w:type="dxa"/>
          </w:tcPr>
          <w:p w14:paraId="667617A6" w14:textId="77777777" w:rsidR="005B74EC" w:rsidRDefault="00000000" w:rsidP="007A29E7">
            <w:r>
              <w:rPr>
                <w:b/>
                <w:sz w:val="20"/>
              </w:rPr>
              <w:t>Description</w:t>
            </w:r>
          </w:p>
        </w:tc>
        <w:tc>
          <w:tcPr>
            <w:tcW w:w="2880" w:type="dxa"/>
          </w:tcPr>
          <w:p w14:paraId="5B761CB6" w14:textId="77777777" w:rsidR="005B74EC" w:rsidRDefault="00000000" w:rsidP="007A29E7">
            <w:r>
              <w:rPr>
                <w:b/>
                <w:sz w:val="20"/>
              </w:rPr>
              <w:t>Field</w:t>
            </w:r>
          </w:p>
        </w:tc>
      </w:tr>
      <w:tr w:rsidR="005B74EC" w14:paraId="15B319D0" w14:textId="77777777">
        <w:tc>
          <w:tcPr>
            <w:tcW w:w="2880" w:type="dxa"/>
          </w:tcPr>
          <w:p w14:paraId="548A3EE1" w14:textId="77777777" w:rsidR="005B74EC" w:rsidRDefault="00000000" w:rsidP="007A29E7">
            <w:r>
              <w:rPr>
                <w:b/>
                <w:sz w:val="20"/>
              </w:rPr>
              <w:t>A — Emergent Local</w:t>
            </w:r>
          </w:p>
        </w:tc>
        <w:tc>
          <w:tcPr>
            <w:tcW w:w="2880" w:type="dxa"/>
          </w:tcPr>
          <w:p w14:paraId="569B31CD" w14:textId="77777777" w:rsidR="005B74EC" w:rsidRDefault="00000000" w:rsidP="007A29E7">
            <w:r>
              <w:rPr>
                <w:sz w:val="20"/>
              </w:rPr>
              <w:t>Field active; AgentA observes own field value only (obs_dim=13)</w:t>
            </w:r>
          </w:p>
        </w:tc>
        <w:tc>
          <w:tcPr>
            <w:tcW w:w="2880" w:type="dxa"/>
          </w:tcPr>
          <w:p w14:paraId="1AD26D2D" w14:textId="77777777" w:rsidR="005B74EC" w:rsidRDefault="00000000" w:rsidP="007A29E7">
            <w:r>
              <w:rPr>
                <w:sz w:val="20"/>
              </w:rPr>
              <w:t>Active (dc=0.1, dr=0.05)</w:t>
            </w:r>
          </w:p>
        </w:tc>
      </w:tr>
      <w:tr w:rsidR="005B74EC" w14:paraId="1A634BC3" w14:textId="77777777">
        <w:tc>
          <w:tcPr>
            <w:tcW w:w="2880" w:type="dxa"/>
          </w:tcPr>
          <w:p w14:paraId="12F1F876" w14:textId="77777777" w:rsidR="005B74EC" w:rsidRDefault="00000000" w:rsidP="007A29E7">
            <w:r>
              <w:rPr>
                <w:b/>
                <w:sz w:val="20"/>
              </w:rPr>
              <w:t>B — Emergent Global</w:t>
            </w:r>
          </w:p>
        </w:tc>
        <w:tc>
          <w:tcPr>
            <w:tcW w:w="2880" w:type="dxa"/>
          </w:tcPr>
          <w:p w14:paraId="67D58DAC" w14:textId="77777777" w:rsidR="005B74EC" w:rsidRDefault="00000000" w:rsidP="007A29E7">
            <w:r>
              <w:rPr>
                <w:sz w:val="20"/>
              </w:rPr>
              <w:t>Field active; AgentA observes full field vector (obs_dim=15)</w:t>
            </w:r>
          </w:p>
        </w:tc>
        <w:tc>
          <w:tcPr>
            <w:tcW w:w="2880" w:type="dxa"/>
          </w:tcPr>
          <w:p w14:paraId="06A8F247" w14:textId="77777777" w:rsidR="005B74EC" w:rsidRDefault="00000000" w:rsidP="007A29E7">
            <w:r>
              <w:rPr>
                <w:sz w:val="20"/>
              </w:rPr>
              <w:t>Active (dc=0.1, dr=0.05)</w:t>
            </w:r>
          </w:p>
        </w:tc>
      </w:tr>
      <w:tr w:rsidR="005B74EC" w14:paraId="7DB8028E" w14:textId="77777777">
        <w:tc>
          <w:tcPr>
            <w:tcW w:w="2880" w:type="dxa"/>
          </w:tcPr>
          <w:p w14:paraId="6E5E33A1" w14:textId="77777777" w:rsidR="005B74EC" w:rsidRDefault="00000000" w:rsidP="007A29E7">
            <w:r>
              <w:rPr>
                <w:b/>
                <w:sz w:val="20"/>
              </w:rPr>
              <w:t>C — Fixed External</w:t>
            </w:r>
          </w:p>
        </w:tc>
        <w:tc>
          <w:tcPr>
            <w:tcW w:w="2880" w:type="dxa"/>
          </w:tcPr>
          <w:p w14:paraId="2EEFA5BE" w14:textId="77777777" w:rsidR="005B74EC" w:rsidRDefault="00000000" w:rsidP="007A29E7">
            <w:r>
              <w:rPr>
                <w:sz w:val="20"/>
              </w:rPr>
              <w:t>No field; fixed communication tax = 1.2287 per signal (matched cost)</w:t>
            </w:r>
          </w:p>
        </w:tc>
        <w:tc>
          <w:tcPr>
            <w:tcW w:w="2880" w:type="dxa"/>
          </w:tcPr>
          <w:p w14:paraId="3AB64669" w14:textId="77777777" w:rsidR="005B74EC" w:rsidRDefault="00000000" w:rsidP="007A29E7">
            <w:r>
              <w:rPr>
                <w:sz w:val="20"/>
              </w:rPr>
              <w:t>Inactive</w:t>
            </w:r>
          </w:p>
        </w:tc>
      </w:tr>
      <w:tr w:rsidR="005B74EC" w14:paraId="5B006150" w14:textId="77777777">
        <w:tc>
          <w:tcPr>
            <w:tcW w:w="2880" w:type="dxa"/>
          </w:tcPr>
          <w:p w14:paraId="17470EAE" w14:textId="77777777" w:rsidR="005B74EC" w:rsidRDefault="00000000" w:rsidP="007A29E7">
            <w:r>
              <w:rPr>
                <w:b/>
                <w:sz w:val="20"/>
              </w:rPr>
              <w:t>D — No Constraint</w:t>
            </w:r>
          </w:p>
        </w:tc>
        <w:tc>
          <w:tcPr>
            <w:tcW w:w="2880" w:type="dxa"/>
          </w:tcPr>
          <w:p w14:paraId="1C0ADDE3" w14:textId="77777777" w:rsidR="005B74EC" w:rsidRDefault="00000000" w:rsidP="007A29E7">
            <w:r>
              <w:rPr>
                <w:sz w:val="20"/>
              </w:rPr>
              <w:t>No field; no communication cost; unconstrained baseline</w:t>
            </w:r>
          </w:p>
        </w:tc>
        <w:tc>
          <w:tcPr>
            <w:tcW w:w="2880" w:type="dxa"/>
          </w:tcPr>
          <w:p w14:paraId="67EF1B8A" w14:textId="77777777" w:rsidR="005B74EC" w:rsidRDefault="00000000" w:rsidP="007A29E7">
            <w:r>
              <w:rPr>
                <w:sz w:val="20"/>
              </w:rPr>
              <w:t>Inactive</w:t>
            </w:r>
          </w:p>
        </w:tc>
      </w:tr>
    </w:tbl>
    <w:p w14:paraId="38A20E48" w14:textId="77777777" w:rsidR="005B74EC" w:rsidRDefault="005B74EC" w:rsidP="007A29E7"/>
    <w:p w14:paraId="3C0AC04A" w14:textId="77777777" w:rsidR="005B74EC" w:rsidRDefault="00000000" w:rsidP="007A29E7">
      <w:pPr>
        <w:spacing w:before="240" w:after="80"/>
      </w:pPr>
      <w:r>
        <w:rPr>
          <w:b/>
        </w:rPr>
        <w:t>3.2 Parameters</w:t>
      </w:r>
    </w:p>
    <w:p w14:paraId="037FB273" w14:textId="77777777" w:rsidR="005B74EC" w:rsidRDefault="00000000" w:rsidP="007A29E7">
      <w:pPr>
        <w:spacing w:after="120"/>
      </w:pPr>
      <w:r>
        <w:t>All parameters were preregistered prior to confirmatory execution. The grid environment: grid_size=20, z_layers=8, energy_budget=100, max_steps=64. Field parameters (Conditions A and B): diffusion_coefficient=0.1, decay_rate=0.05, selected from the 60-run pilot parameter sweep (6 combinations × 10 seeds). Signal weights (Deviation 1, see below): DECLARE=0.03, QUERY=0.01, RESPOND=0.02. Fixed cost multiplier (Condition C): 1.2287, derived from the pilot mean field cost to match expected constraint overhead across conditions. Infrastructure: SimplePod 6×RTX 3060, breathtaking-porcupine, EU-PL-01.</w:t>
      </w:r>
    </w:p>
    <w:p w14:paraId="54ED97E7" w14:textId="77777777" w:rsidR="005B74EC" w:rsidRDefault="00000000" w:rsidP="007A29E7">
      <w:pPr>
        <w:spacing w:before="240" w:after="80"/>
      </w:pPr>
      <w:r>
        <w:rPr>
          <w:b/>
        </w:rPr>
        <w:t>3.3 Logged Deviations</w:t>
      </w:r>
    </w:p>
    <w:p w14:paraId="39E9669D" w14:textId="77777777" w:rsidR="005B74EC" w:rsidRDefault="00000000" w:rsidP="007A29E7">
      <w:pPr>
        <w:spacing w:after="120"/>
      </w:pPr>
      <w:r>
        <w:t>Two deviations from the initial design are on record, both preregistered before confirmatory execution.</w:t>
      </w:r>
    </w:p>
    <w:p w14:paraId="4A126BE0" w14:textId="77777777" w:rsidR="005B74EC" w:rsidRDefault="00000000" w:rsidP="007A29E7">
      <w:pPr>
        <w:spacing w:after="120"/>
      </w:pPr>
      <w:r>
        <w:rPr>
          <w:b/>
        </w:rPr>
        <w:t xml:space="preserve">Deviation 1 (commit adca6fc, pre-pilot): </w:t>
      </w:r>
      <w:r>
        <w:t>Signal weights were scaled 0.1× from originally proposed values (DECLARE 0.3→0.03, QUERY 0.1→0.01, RESPOND 0.2→0.02) to prevent field saturation identified in preliminary analysis. The preregistration reflects the scaled values.</w:t>
      </w:r>
    </w:p>
    <w:p w14:paraId="3FC15E38" w14:textId="77777777" w:rsidR="005B74EC" w:rsidRDefault="00000000" w:rsidP="007A29E7">
      <w:pPr>
        <w:spacing w:after="120"/>
      </w:pPr>
      <w:r>
        <w:rPr>
          <w:b/>
        </w:rPr>
        <w:t xml:space="preserve">Deviation 2 (post-pilot, 2026-03-28): </w:t>
      </w:r>
      <w:r>
        <w:t>The field formation criterion was revised from field_std &gt; 0.05 sustained for more than 50 consecutive epochs to an activity-based criterion (field_mean &gt; 0.01 after epoch 50). Concurrently, the primary research question was revised from spatial differentiation of the field to temporal coupling between field structure and behavioral outcomes. This revision was motivated by the pilot finding that behavioral homogenization collapses spatial field variance in all seeds, making the spatial framing of H1 and H3 empirically unresolvable. The SHA-256 hash of the final preregistration PDF (v3) was locked before confirmatory runs began.</w:t>
      </w:r>
    </w:p>
    <w:p w14:paraId="78486F1F" w14:textId="77777777" w:rsidR="005B74EC" w:rsidRDefault="00000000" w:rsidP="007A29E7">
      <w:pPr>
        <w:spacing w:before="240" w:after="80"/>
      </w:pPr>
      <w:r>
        <w:rPr>
          <w:b/>
        </w:rPr>
        <w:t>3.4 Metric Availability Limitation</w:t>
      </w:r>
    </w:p>
    <w:p w14:paraId="0DDBDDDE" w14:textId="77777777" w:rsidR="005B74EC" w:rsidRDefault="00000000" w:rsidP="007A29E7">
      <w:pPr>
        <w:spacing w:after="120"/>
      </w:pPr>
      <w:r>
        <w:t>The preregistered primary metrics — sustained_structure_score (SSS) per seed and exploitation_loop_rate (ELR) per seed as scalar summaries — were not persisted as per-seed outputs in the initial confirmatory run. The epoch-level time series were computed during runs but not written to disk. A post-run fix (commit b1c1bb1) corrected persistence for future runs, but the 200 confirmatory seeds were already complete. All hypothesis tests reported below use the closest available proxies: entropy_sss_correlation (within-run Pearson correlation between field_entropy and SSS time series) for H1 and the mechanistic prediction, and final_avg_reward_A for H2. This limitation is acknowledged throughout the Results section. No hypothesis test is presented as confirmatory of the preregistered specification where the proxy departs from it.</w:t>
      </w:r>
    </w:p>
    <w:p w14:paraId="46DB4CD0" w14:textId="77777777" w:rsidR="005B74EC" w:rsidRDefault="00000000" w:rsidP="007A29E7">
      <w:pPr>
        <w:spacing w:before="240" w:after="80"/>
      </w:pPr>
      <w:r>
        <w:rPr>
          <w:b/>
          <w:sz w:val="26"/>
        </w:rPr>
        <w:t>4. Results</w:t>
      </w:r>
    </w:p>
    <w:p w14:paraId="661EA61F" w14:textId="77777777" w:rsidR="005B74EC" w:rsidRDefault="00000000" w:rsidP="007A29E7">
      <w:pPr>
        <w:spacing w:before="240" w:after="80"/>
      </w:pPr>
      <w:r>
        <w:rPr>
          <w:b/>
        </w:rPr>
        <w:t>4.1 Descriptive Statistics</w:t>
      </w:r>
    </w:p>
    <w:p w14:paraId="40D7D5F1" w14:textId="77777777" w:rsidR="005B74EC" w:rsidRDefault="00000000" w:rsidP="007A29E7">
      <w:pPr>
        <w:spacing w:after="120"/>
      </w:pPr>
      <w:r>
        <w:t>Table 1 reports summary statistics across all 50 seeds per condition.</w:t>
      </w:r>
    </w:p>
    <w:p w14:paraId="333760DC" w14:textId="77777777" w:rsidR="005B74EC" w:rsidRDefault="005B74EC" w:rsidP="007A29E7"/>
    <w:tbl>
      <w:tblPr>
        <w:tblStyle w:val="TableGrid"/>
        <w:tblW w:w="0" w:type="auto"/>
        <w:tblLook w:val="04A0" w:firstRow="1" w:lastRow="0" w:firstColumn="1" w:lastColumn="0" w:noHBand="0" w:noVBand="1"/>
      </w:tblPr>
      <w:tblGrid>
        <w:gridCol w:w="1440"/>
        <w:gridCol w:w="1440"/>
        <w:gridCol w:w="1440"/>
        <w:gridCol w:w="1440"/>
        <w:gridCol w:w="1440"/>
        <w:gridCol w:w="1440"/>
      </w:tblGrid>
      <w:tr w:rsidR="005B74EC" w14:paraId="0A3A9CDD" w14:textId="77777777">
        <w:tc>
          <w:tcPr>
            <w:tcW w:w="1440" w:type="dxa"/>
          </w:tcPr>
          <w:p w14:paraId="6E8B9762" w14:textId="77777777" w:rsidR="005B74EC" w:rsidRDefault="00000000" w:rsidP="007A29E7">
            <w:r>
              <w:rPr>
                <w:b/>
                <w:sz w:val="18"/>
              </w:rPr>
              <w:t>Condition</w:t>
            </w:r>
          </w:p>
        </w:tc>
        <w:tc>
          <w:tcPr>
            <w:tcW w:w="1440" w:type="dxa"/>
          </w:tcPr>
          <w:p w14:paraId="7C3B8508" w14:textId="77777777" w:rsidR="005B74EC" w:rsidRDefault="00000000" w:rsidP="007A29E7">
            <w:r>
              <w:rPr>
                <w:b/>
                <w:sz w:val="18"/>
              </w:rPr>
              <w:t>Mean Reward</w:t>
            </w:r>
            <w:r>
              <w:rPr>
                <w:b/>
                <w:sz w:val="18"/>
              </w:rPr>
              <w:br/>
              <w:t>(±SD)</w:t>
            </w:r>
          </w:p>
        </w:tc>
        <w:tc>
          <w:tcPr>
            <w:tcW w:w="1440" w:type="dxa"/>
          </w:tcPr>
          <w:p w14:paraId="126B7C9E" w14:textId="77777777" w:rsidR="005B74EC" w:rsidRDefault="00000000" w:rsidP="007A29E7">
            <w:r>
              <w:rPr>
                <w:b/>
                <w:sz w:val="18"/>
              </w:rPr>
              <w:t>Mean Query</w:t>
            </w:r>
            <w:r>
              <w:rPr>
                <w:b/>
                <w:sz w:val="18"/>
              </w:rPr>
              <w:br/>
              <w:t>Rate (±SD)</w:t>
            </w:r>
          </w:p>
        </w:tc>
        <w:tc>
          <w:tcPr>
            <w:tcW w:w="1440" w:type="dxa"/>
          </w:tcPr>
          <w:p w14:paraId="409884DA" w14:textId="77777777" w:rsidR="005B74EC" w:rsidRDefault="00000000" w:rsidP="007A29E7">
            <w:r>
              <w:rPr>
                <w:b/>
                <w:sz w:val="18"/>
              </w:rPr>
              <w:t>Entropy-SSS</w:t>
            </w:r>
            <w:r>
              <w:rPr>
                <w:b/>
                <w:sz w:val="18"/>
              </w:rPr>
              <w:br/>
              <w:t>Corr (±SD)</w:t>
            </w:r>
          </w:p>
        </w:tc>
        <w:tc>
          <w:tcPr>
            <w:tcW w:w="1440" w:type="dxa"/>
          </w:tcPr>
          <w:p w14:paraId="362D75AA" w14:textId="77777777" w:rsidR="005B74EC" w:rsidRDefault="00000000" w:rsidP="007A29E7">
            <w:r>
              <w:rPr>
                <w:b/>
                <w:sz w:val="18"/>
              </w:rPr>
              <w:t>Field</w:t>
            </w:r>
            <w:r>
              <w:rPr>
                <w:b/>
                <w:sz w:val="18"/>
              </w:rPr>
              <w:br/>
              <w:t>Mean</w:t>
            </w:r>
          </w:p>
        </w:tc>
        <w:tc>
          <w:tcPr>
            <w:tcW w:w="1440" w:type="dxa"/>
          </w:tcPr>
          <w:p w14:paraId="0907C5C4" w14:textId="77777777" w:rsidR="005B74EC" w:rsidRDefault="00000000" w:rsidP="007A29E7">
            <w:r>
              <w:rPr>
                <w:b/>
                <w:sz w:val="18"/>
              </w:rPr>
              <w:t>Field</w:t>
            </w:r>
            <w:r>
              <w:rPr>
                <w:b/>
                <w:sz w:val="18"/>
              </w:rPr>
              <w:br/>
              <w:t>Collapsed</w:t>
            </w:r>
          </w:p>
        </w:tc>
      </w:tr>
      <w:tr w:rsidR="005B74EC" w14:paraId="52FC24E1" w14:textId="77777777">
        <w:tc>
          <w:tcPr>
            <w:tcW w:w="1440" w:type="dxa"/>
          </w:tcPr>
          <w:p w14:paraId="05A087A8" w14:textId="77777777" w:rsidR="005B74EC" w:rsidRDefault="00000000" w:rsidP="007A29E7">
            <w:r>
              <w:rPr>
                <w:b/>
                <w:sz w:val="20"/>
              </w:rPr>
              <w:t>A (emerg. local)</w:t>
            </w:r>
          </w:p>
        </w:tc>
        <w:tc>
          <w:tcPr>
            <w:tcW w:w="1440" w:type="dxa"/>
          </w:tcPr>
          <w:p w14:paraId="7A80E270" w14:textId="77777777" w:rsidR="005B74EC" w:rsidRDefault="00000000" w:rsidP="007A29E7">
            <w:r>
              <w:rPr>
                <w:sz w:val="20"/>
              </w:rPr>
              <w:t>30.894 (±5.134)</w:t>
            </w:r>
          </w:p>
        </w:tc>
        <w:tc>
          <w:tcPr>
            <w:tcW w:w="1440" w:type="dxa"/>
          </w:tcPr>
          <w:p w14:paraId="3D7BDB8C" w14:textId="77777777" w:rsidR="005B74EC" w:rsidRDefault="00000000" w:rsidP="007A29E7">
            <w:r>
              <w:rPr>
                <w:sz w:val="20"/>
              </w:rPr>
              <w:t>0.782 (±0.167)</w:t>
            </w:r>
          </w:p>
        </w:tc>
        <w:tc>
          <w:tcPr>
            <w:tcW w:w="1440" w:type="dxa"/>
          </w:tcPr>
          <w:p w14:paraId="53A2633F" w14:textId="77777777" w:rsidR="005B74EC" w:rsidRDefault="00000000" w:rsidP="007A29E7">
            <w:r>
              <w:rPr>
                <w:sz w:val="20"/>
              </w:rPr>
              <w:t>−0.639 (±0.233)</w:t>
            </w:r>
          </w:p>
        </w:tc>
        <w:tc>
          <w:tcPr>
            <w:tcW w:w="1440" w:type="dxa"/>
          </w:tcPr>
          <w:p w14:paraId="17C65C7A" w14:textId="77777777" w:rsidR="005B74EC" w:rsidRDefault="00000000" w:rsidP="007A29E7">
            <w:r>
              <w:rPr>
                <w:sz w:val="20"/>
              </w:rPr>
              <w:t>0.238</w:t>
            </w:r>
          </w:p>
        </w:tc>
        <w:tc>
          <w:tcPr>
            <w:tcW w:w="1440" w:type="dxa"/>
          </w:tcPr>
          <w:p w14:paraId="2FD68013" w14:textId="77777777" w:rsidR="005B74EC" w:rsidRDefault="00000000" w:rsidP="007A29E7">
            <w:r>
              <w:rPr>
                <w:sz w:val="20"/>
              </w:rPr>
              <w:t>0/50</w:t>
            </w:r>
          </w:p>
        </w:tc>
      </w:tr>
      <w:tr w:rsidR="005B74EC" w14:paraId="0AF50239" w14:textId="77777777">
        <w:tc>
          <w:tcPr>
            <w:tcW w:w="1440" w:type="dxa"/>
          </w:tcPr>
          <w:p w14:paraId="2E1FAC9F" w14:textId="77777777" w:rsidR="005B74EC" w:rsidRDefault="00000000" w:rsidP="007A29E7">
            <w:r>
              <w:rPr>
                <w:b/>
                <w:sz w:val="20"/>
              </w:rPr>
              <w:t>B (emerg. global)</w:t>
            </w:r>
          </w:p>
        </w:tc>
        <w:tc>
          <w:tcPr>
            <w:tcW w:w="1440" w:type="dxa"/>
          </w:tcPr>
          <w:p w14:paraId="102E2449" w14:textId="77777777" w:rsidR="005B74EC" w:rsidRDefault="00000000" w:rsidP="007A29E7">
            <w:r>
              <w:rPr>
                <w:sz w:val="20"/>
              </w:rPr>
              <w:t>26.784 (±8.406)</w:t>
            </w:r>
          </w:p>
        </w:tc>
        <w:tc>
          <w:tcPr>
            <w:tcW w:w="1440" w:type="dxa"/>
          </w:tcPr>
          <w:p w14:paraId="5532B3CC" w14:textId="77777777" w:rsidR="005B74EC" w:rsidRDefault="00000000" w:rsidP="007A29E7">
            <w:r>
              <w:rPr>
                <w:sz w:val="20"/>
              </w:rPr>
              <w:t>0.770 (±0.205)</w:t>
            </w:r>
          </w:p>
        </w:tc>
        <w:tc>
          <w:tcPr>
            <w:tcW w:w="1440" w:type="dxa"/>
          </w:tcPr>
          <w:p w14:paraId="15288A8E" w14:textId="77777777" w:rsidR="005B74EC" w:rsidRDefault="00000000" w:rsidP="007A29E7">
            <w:r>
              <w:rPr>
                <w:sz w:val="20"/>
              </w:rPr>
              <w:t>−0.582 (±0.283)</w:t>
            </w:r>
          </w:p>
        </w:tc>
        <w:tc>
          <w:tcPr>
            <w:tcW w:w="1440" w:type="dxa"/>
          </w:tcPr>
          <w:p w14:paraId="4F581D36" w14:textId="77777777" w:rsidR="005B74EC" w:rsidRDefault="00000000" w:rsidP="007A29E7">
            <w:r>
              <w:rPr>
                <w:sz w:val="20"/>
              </w:rPr>
              <w:t>0.239</w:t>
            </w:r>
          </w:p>
        </w:tc>
        <w:tc>
          <w:tcPr>
            <w:tcW w:w="1440" w:type="dxa"/>
          </w:tcPr>
          <w:p w14:paraId="0265803B" w14:textId="77777777" w:rsidR="005B74EC" w:rsidRDefault="00000000" w:rsidP="007A29E7">
            <w:r>
              <w:rPr>
                <w:sz w:val="20"/>
              </w:rPr>
              <w:t>0/50</w:t>
            </w:r>
          </w:p>
        </w:tc>
      </w:tr>
      <w:tr w:rsidR="005B74EC" w14:paraId="35288755" w14:textId="77777777">
        <w:tc>
          <w:tcPr>
            <w:tcW w:w="1440" w:type="dxa"/>
          </w:tcPr>
          <w:p w14:paraId="7462ED51" w14:textId="77777777" w:rsidR="005B74EC" w:rsidRDefault="00000000" w:rsidP="007A29E7">
            <w:r>
              <w:rPr>
                <w:b/>
                <w:sz w:val="20"/>
              </w:rPr>
              <w:t>C (fixed ext.)</w:t>
            </w:r>
          </w:p>
        </w:tc>
        <w:tc>
          <w:tcPr>
            <w:tcW w:w="1440" w:type="dxa"/>
          </w:tcPr>
          <w:p w14:paraId="12373E7F" w14:textId="77777777" w:rsidR="005B74EC" w:rsidRDefault="00000000" w:rsidP="007A29E7">
            <w:r>
              <w:rPr>
                <w:sz w:val="20"/>
              </w:rPr>
              <w:t>29.540 (±5.208)</w:t>
            </w:r>
          </w:p>
        </w:tc>
        <w:tc>
          <w:tcPr>
            <w:tcW w:w="1440" w:type="dxa"/>
          </w:tcPr>
          <w:p w14:paraId="6C653F10" w14:textId="77777777" w:rsidR="005B74EC" w:rsidRDefault="00000000" w:rsidP="007A29E7">
            <w:r>
              <w:rPr>
                <w:sz w:val="20"/>
              </w:rPr>
              <w:t>0.784 (±0.188)</w:t>
            </w:r>
          </w:p>
        </w:tc>
        <w:tc>
          <w:tcPr>
            <w:tcW w:w="1440" w:type="dxa"/>
          </w:tcPr>
          <w:p w14:paraId="03313A1C" w14:textId="77777777" w:rsidR="005B74EC" w:rsidRDefault="00000000" w:rsidP="007A29E7">
            <w:r>
              <w:rPr>
                <w:sz w:val="20"/>
              </w:rPr>
              <w:t>0.000 (±0.000)</w:t>
            </w:r>
          </w:p>
        </w:tc>
        <w:tc>
          <w:tcPr>
            <w:tcW w:w="1440" w:type="dxa"/>
          </w:tcPr>
          <w:p w14:paraId="128EE9DD" w14:textId="77777777" w:rsidR="005B74EC" w:rsidRDefault="00000000" w:rsidP="007A29E7">
            <w:r>
              <w:rPr>
                <w:sz w:val="20"/>
              </w:rPr>
              <w:t>0.000</w:t>
            </w:r>
          </w:p>
        </w:tc>
        <w:tc>
          <w:tcPr>
            <w:tcW w:w="1440" w:type="dxa"/>
          </w:tcPr>
          <w:p w14:paraId="0FAE84C7" w14:textId="77777777" w:rsidR="005B74EC" w:rsidRDefault="00000000" w:rsidP="007A29E7">
            <w:r>
              <w:rPr>
                <w:sz w:val="20"/>
              </w:rPr>
              <w:t>50/50</w:t>
            </w:r>
          </w:p>
        </w:tc>
      </w:tr>
      <w:tr w:rsidR="005B74EC" w14:paraId="1F39BB2B" w14:textId="77777777">
        <w:tc>
          <w:tcPr>
            <w:tcW w:w="1440" w:type="dxa"/>
          </w:tcPr>
          <w:p w14:paraId="6EDC94D4" w14:textId="77777777" w:rsidR="005B74EC" w:rsidRDefault="00000000" w:rsidP="007A29E7">
            <w:r>
              <w:rPr>
                <w:b/>
                <w:sz w:val="20"/>
              </w:rPr>
              <w:t>D (no constr.)</w:t>
            </w:r>
          </w:p>
        </w:tc>
        <w:tc>
          <w:tcPr>
            <w:tcW w:w="1440" w:type="dxa"/>
          </w:tcPr>
          <w:p w14:paraId="1F4677C3" w14:textId="77777777" w:rsidR="005B74EC" w:rsidRDefault="00000000" w:rsidP="007A29E7">
            <w:r>
              <w:rPr>
                <w:sz w:val="20"/>
              </w:rPr>
              <w:t>38.929 (±4.065)</w:t>
            </w:r>
          </w:p>
        </w:tc>
        <w:tc>
          <w:tcPr>
            <w:tcW w:w="1440" w:type="dxa"/>
          </w:tcPr>
          <w:p w14:paraId="6D6D394C" w14:textId="77777777" w:rsidR="005B74EC" w:rsidRDefault="00000000" w:rsidP="007A29E7">
            <w:r>
              <w:rPr>
                <w:sz w:val="20"/>
              </w:rPr>
              <w:t>0.305 (±0.237)</w:t>
            </w:r>
          </w:p>
        </w:tc>
        <w:tc>
          <w:tcPr>
            <w:tcW w:w="1440" w:type="dxa"/>
          </w:tcPr>
          <w:p w14:paraId="123C0110" w14:textId="77777777" w:rsidR="005B74EC" w:rsidRDefault="00000000" w:rsidP="007A29E7">
            <w:r>
              <w:rPr>
                <w:sz w:val="20"/>
              </w:rPr>
              <w:t>0.000 (±0.000)</w:t>
            </w:r>
          </w:p>
        </w:tc>
        <w:tc>
          <w:tcPr>
            <w:tcW w:w="1440" w:type="dxa"/>
          </w:tcPr>
          <w:p w14:paraId="23017E62" w14:textId="77777777" w:rsidR="005B74EC" w:rsidRDefault="00000000" w:rsidP="007A29E7">
            <w:r>
              <w:rPr>
                <w:sz w:val="20"/>
              </w:rPr>
              <w:t>0.000</w:t>
            </w:r>
          </w:p>
        </w:tc>
        <w:tc>
          <w:tcPr>
            <w:tcW w:w="1440" w:type="dxa"/>
          </w:tcPr>
          <w:p w14:paraId="0B5A3897" w14:textId="77777777" w:rsidR="005B74EC" w:rsidRDefault="00000000" w:rsidP="007A29E7">
            <w:r>
              <w:rPr>
                <w:sz w:val="20"/>
              </w:rPr>
              <w:t>50/50</w:t>
            </w:r>
          </w:p>
        </w:tc>
      </w:tr>
    </w:tbl>
    <w:p w14:paraId="04CE30F3" w14:textId="77777777" w:rsidR="005B74EC" w:rsidRDefault="00000000" w:rsidP="007A29E7">
      <w:pPr>
        <w:spacing w:after="160"/>
      </w:pPr>
      <w:r>
        <w:rPr>
          <w:i/>
          <w:sz w:val="20"/>
        </w:rPr>
        <w:t>Table 1. Descriptive statistics (n = 50 per condition, 500 epochs per run).</w:t>
      </w:r>
    </w:p>
    <w:p w14:paraId="753882F6" w14:textId="77777777" w:rsidR="005B74EC" w:rsidRDefault="00000000" w:rsidP="007A29E7">
      <w:pPr>
        <w:spacing w:after="120"/>
      </w:pPr>
      <w:r>
        <w:t>Several patterns are notable before hypothesis testing. First, the field is functioning in A and B: both show non-zero mean field values (~0.24) and zero collapses across all 50 seeds. Second, behavioral homogenization dominates A, B, and C: query_rate converges to approximately 0.78 in all three constrained conditions. Condition D is the exception at query_rate = 0.305, consistent with unconstrained agents learning that silence is optimal when signaling is costly but no offsetting reward gradient exists. Third, entropy-SSS correlation is substantially negative in A (−0.639) and B (−0.582) and exactly zero in C and D (no field, no coupling). The qualitative difference between emergent and non-emergent conditions is apparent in this metric. Fourth, reward ordering is D &gt; A &gt; C &gt; B: unconstrained agents achieve highest reward; global field perception (B) produces lowest reward with highest inter-seed variance (SD = 8.406), suggesting less stable behavioral attractors under global field information.</w:t>
      </w:r>
    </w:p>
    <w:p w14:paraId="14050969" w14:textId="77777777" w:rsidR="005B74EC" w:rsidRDefault="00000000" w:rsidP="007A29E7">
      <w:pPr>
        <w:spacing w:before="240" w:after="80"/>
      </w:pPr>
      <w:r>
        <w:rPr>
          <w:b/>
        </w:rPr>
        <w:t>4.2 H1 — Interrogative Diversity (Proxy Result)</w:t>
      </w:r>
    </w:p>
    <w:p w14:paraId="2046C64E" w14:textId="77777777" w:rsidR="005B74EC" w:rsidRDefault="00000000" w:rsidP="007A29E7">
      <w:pPr>
        <w:spacing w:after="120"/>
      </w:pPr>
      <w:r>
        <w:t>Preregistered: Condition A shows higher sustained_structure_score than Condition C (Mann-Whitney U, one-tailed, p &lt; 0.05, Cohen’s d &gt; 0.5).</w:t>
      </w:r>
    </w:p>
    <w:p w14:paraId="56326AE9" w14:textId="77777777" w:rsidR="005B74EC" w:rsidRDefault="00000000" w:rsidP="007A29E7">
      <w:pPr>
        <w:spacing w:after="120"/>
      </w:pPr>
      <w:r>
        <w:t>Proxy used: entropy_sss_correlation (within-run Pearson correlation between field_entropy and SSS time series). Direction tested: A more negative than C (stronger field-behavior coupling in the emergent condition).</w:t>
      </w:r>
    </w:p>
    <w:p w14:paraId="673C5EE8" w14:textId="77777777" w:rsidR="005B74EC" w:rsidRDefault="00000000" w:rsidP="007A29E7">
      <w:pPr>
        <w:spacing w:after="120"/>
      </w:pPr>
      <w:r>
        <w:rPr>
          <w:b/>
        </w:rPr>
        <w:t xml:space="preserve">Result: </w:t>
      </w:r>
      <w:r>
        <w:t xml:space="preserve">Mann-Whitney U = 50.0, p &lt; 0.001 (one-tailed), rank-biserial r = 0.96. Mean A = −0.639, Mean C = 0.000. </w:t>
      </w:r>
      <w:r>
        <w:rPr>
          <w:b/>
        </w:rPr>
        <w:t>PROXY SUPPORTED.</w:t>
      </w:r>
    </w:p>
    <w:p w14:paraId="1211EA90" w14:textId="77777777" w:rsidR="005B74EC" w:rsidRDefault="00000000" w:rsidP="007A29E7">
      <w:pPr>
        <w:spacing w:after="120"/>
      </w:pPr>
      <w:r>
        <w:t>The effect size (r = 0.96) is near-ceiling, reflecting near-complete separation: 49 of 50 Condition A seeds show negative entropy_sss_correlation, while all 50 Condition C seeds show exactly 0.0 by construction (no field mechanism, no coupling). This confirms that the emergent field creates qualitatively distinct within-run behavioral dynamics. However, this is not a direct test of mean SSS level as preregistered, and this distinction must be acknowledged. The proxy establishes that the field mechanism is causally active; it does not establish that the resulting SSS is higher.</w:t>
      </w:r>
    </w:p>
    <w:p w14:paraId="54604897" w14:textId="77777777" w:rsidR="005B74EC" w:rsidRDefault="00000000" w:rsidP="007A29E7">
      <w:pPr>
        <w:spacing w:before="240" w:after="80"/>
      </w:pPr>
      <w:r>
        <w:rPr>
          <w:b/>
        </w:rPr>
        <w:t>4.3 H2 — Constraint Gaming Suppression (Proxy Result)</w:t>
      </w:r>
    </w:p>
    <w:p w14:paraId="0CCD9E21" w14:textId="77777777" w:rsidR="005B74EC" w:rsidRDefault="00000000" w:rsidP="007A29E7">
      <w:pPr>
        <w:spacing w:after="120"/>
      </w:pPr>
      <w:r>
        <w:t>Preregistered: Condition A shows lower exploitation_loop_rate than both Condition C and Condition D (two Mann-Whitney U tests, p &lt; 0.025 each, Bonferroni-corrected). Both comparisons must succeed.</w:t>
      </w:r>
    </w:p>
    <w:p w14:paraId="4738003A" w14:textId="77777777" w:rsidR="005B74EC" w:rsidRDefault="00000000" w:rsidP="007A29E7">
      <w:pPr>
        <w:spacing w:after="120"/>
      </w:pPr>
      <w:r>
        <w:t>Proxy used: final_avg_reward_A (inverted proxy: lower reward proxies higher gaming cost if gaming = wasteful communication overhead).</w:t>
      </w:r>
    </w:p>
    <w:p w14:paraId="4A6D794D" w14:textId="77777777" w:rsidR="005B74EC" w:rsidRDefault="00000000" w:rsidP="007A29E7">
      <w:pPr>
        <w:spacing w:after="120"/>
      </w:pPr>
      <w:r>
        <w:rPr>
          <w:b/>
        </w:rPr>
        <w:t xml:space="preserve">H2a (A vs. D): </w:t>
      </w:r>
      <w:r>
        <w:t xml:space="preserve">Mann-Whitney U = 245.0, p &lt; 0.001, r = 0.804. Mean A = 30.894, Mean D = 38.929. </w:t>
      </w:r>
      <w:r>
        <w:rPr>
          <w:b/>
        </w:rPr>
        <w:t xml:space="preserve">SUPPORTED at Bonferroni threshold. </w:t>
      </w:r>
      <w:r>
        <w:t>The unconstrained condition achieves substantially higher reward, confirming that the emergent constraint field imposes coordination overhead not offset by reward gains.</w:t>
      </w:r>
    </w:p>
    <w:p w14:paraId="64D35CB5" w14:textId="77777777" w:rsidR="005B74EC" w:rsidRDefault="00000000" w:rsidP="007A29E7">
      <w:pPr>
        <w:spacing w:after="120"/>
      </w:pPr>
      <w:r>
        <w:rPr>
          <w:b/>
        </w:rPr>
        <w:t xml:space="preserve">H2b (A vs. C): </w:t>
      </w:r>
      <w:r>
        <w:t xml:space="preserve">Mann-Whitney U = 1,466.0, p = 0.069, r = −0.173. Mean A = 30.894, Mean C = 29.540. </w:t>
      </w:r>
      <w:r>
        <w:rPr>
          <w:b/>
        </w:rPr>
        <w:t xml:space="preserve">NOT SUPPORTED (p &gt; 0.025 Bonferroni threshold). </w:t>
      </w:r>
      <w:r>
        <w:t>The 1.35-point reward difference is in the predicted direction (emergent marginally more efficient) but does not reach significance. H2 as a whole fails: both comparisons are required, and H2b does not clear the corrected threshold.</w:t>
      </w:r>
    </w:p>
    <w:p w14:paraId="1B986E83" w14:textId="77777777" w:rsidR="005B74EC" w:rsidRDefault="00000000" w:rsidP="007A29E7">
      <w:pPr>
        <w:spacing w:after="120"/>
      </w:pPr>
      <w:r>
        <w:t>Under the preregistered falsification criteria, H2’s failure is the primary null finding of Protocol 6. The emergent constraint does not produce significantly better reward outcomes than a well-calibrated fixed external tax.</w:t>
      </w:r>
    </w:p>
    <w:p w14:paraId="41D45A80" w14:textId="77777777" w:rsidR="005B74EC" w:rsidRDefault="00000000" w:rsidP="007A29E7">
      <w:pPr>
        <w:spacing w:before="240" w:after="80"/>
      </w:pPr>
      <w:r>
        <w:rPr>
          <w:b/>
        </w:rPr>
        <w:t>4.4 H3 — Locality as Necessary Condition (Proxy Result)</w:t>
      </w:r>
    </w:p>
    <w:p w14:paraId="0AA0C236" w14:textId="77777777" w:rsidR="005B74EC" w:rsidRDefault="00000000" w:rsidP="007A29E7">
      <w:pPr>
        <w:spacing w:after="120"/>
      </w:pPr>
      <w:r>
        <w:t>Preregistered: Variance of within-run per-agent query_rate SD is greater in Condition A than Condition B (Levene’s test, p &lt; 0.05). Local field perception predicted to produce more behavioral heterogeneity than global.</w:t>
      </w:r>
    </w:p>
    <w:p w14:paraId="54473FB2" w14:textId="77777777" w:rsidR="005B74EC" w:rsidRDefault="00000000" w:rsidP="007A29E7">
      <w:pPr>
        <w:spacing w:after="120"/>
      </w:pPr>
      <w:r>
        <w:t>Proxy used: cross-seed variance of final_query_rate (captures between-seed training variability, not within-run agent-level divergence as preregistered).</w:t>
      </w:r>
    </w:p>
    <w:p w14:paraId="4C6384B4" w14:textId="77777777" w:rsidR="005B74EC" w:rsidRDefault="00000000" w:rsidP="007A29E7">
      <w:pPr>
        <w:spacing w:after="120"/>
      </w:pPr>
      <w:r>
        <w:rPr>
          <w:b/>
        </w:rPr>
        <w:t xml:space="preserve">Result: </w:t>
      </w:r>
      <w:r>
        <w:t xml:space="preserve">Levene W = 1.44, p = 0.232. Var(A) = 0.0278, Var(B) = 0.0422 (ratio = 0.659). Direction reversed: Var(B) &gt; Var(A). </w:t>
      </w:r>
      <w:r>
        <w:rPr>
          <w:b/>
        </w:rPr>
        <w:t>NOT SUPPORTED; direction inverted.</w:t>
      </w:r>
    </w:p>
    <w:p w14:paraId="20E6BC98" w14:textId="77777777" w:rsidR="005B74EC" w:rsidRDefault="00000000" w:rsidP="007A29E7">
      <w:pPr>
        <w:spacing w:after="120"/>
      </w:pPr>
      <w:r>
        <w:t>Global field perception (B) produces more between-seed behavioral variability than local field perception (A). This is opposite to the preregistered prediction and was not anticipated by any member of the AI committee. The reversal suggests that global field information destabilizes behavioral convergence across seeds — agents with access to the full field vector find a wider range of behavioral equilibria across training runs — while local perception constrains agents to a narrower, more consistent attractor basin. The within-run heterogeneity that H3 targets may still exist; the proxy metric cannot resolve this.</w:t>
      </w:r>
    </w:p>
    <w:p w14:paraId="4EDDC678" w14:textId="77777777" w:rsidR="005B74EC" w:rsidRDefault="00000000" w:rsidP="007A29E7">
      <w:pPr>
        <w:spacing w:before="240" w:after="80"/>
      </w:pPr>
      <w:r>
        <w:rPr>
          <w:b/>
        </w:rPr>
        <w:t>4.5 Mechanistic Prediction — Temporal Coupling</w:t>
      </w:r>
    </w:p>
    <w:p w14:paraId="2D13CCBA" w14:textId="77777777" w:rsidR="005B74EC" w:rsidRDefault="00000000" w:rsidP="007A29E7">
      <w:pPr>
        <w:spacing w:after="120"/>
      </w:pPr>
      <w:r>
        <w:t>Preregistered: Pooled Spearman correlation between per-epoch field_entropy and exploitation_loop_rate across Condition A seeds is negative (r &lt; 0, p &lt; 0.05). Secondary: per-seed Spearman correlation sign test, median r &lt; 0.</w:t>
      </w:r>
    </w:p>
    <w:p w14:paraId="6BA1BAF5" w14:textId="77777777" w:rsidR="005B74EC" w:rsidRDefault="00000000" w:rsidP="007A29E7">
      <w:pPr>
        <w:spacing w:after="120"/>
      </w:pPr>
      <w:r>
        <w:t>Proxy used: per-seed within-run Pearson correlation between field_entropy and SSS time series (entropy_sss_correlation). SSS and ELR are inversely related conceptually, so the predicted sign is preserved. Pearson rather than Spearman; sign direction intact.</w:t>
      </w:r>
    </w:p>
    <w:p w14:paraId="368E3C78" w14:textId="77777777" w:rsidR="005B74EC" w:rsidRDefault="00000000" w:rsidP="007A29E7">
      <w:pPr>
        <w:spacing w:after="120"/>
      </w:pPr>
      <w:r>
        <w:rPr>
          <w:b/>
        </w:rPr>
        <w:t xml:space="preserve">Result: </w:t>
      </w:r>
      <w:r>
        <w:t xml:space="preserve">One-sample Wilcoxon signed-rank vs. 0, one-tailed: W = 3.0, p &lt; 0.001. Median = −0.680, Mean = −0.639 (n = 50). </w:t>
      </w:r>
      <w:r>
        <w:rPr>
          <w:b/>
        </w:rPr>
        <w:t>STRONGLY SUPPORTED.</w:t>
      </w:r>
    </w:p>
    <w:p w14:paraId="09B29DFD" w14:textId="77777777" w:rsidR="005B74EC" w:rsidRDefault="00000000" w:rsidP="007A29E7">
      <w:pPr>
        <w:spacing w:after="120"/>
      </w:pPr>
      <w:r>
        <w:t>49 of 50 Condition A seeds show negative entropy_sss_correlation. The median (−0.680) closely replicates the pilot finding (r = −0.650) at the selected parameter combination (dc = 0.1, dr = 0.05), despite 2.5× longer runs (500 vs 200 epochs). The signal did not attenuate with extended training. When the constraint field is more uniformly distributed (high entropy, every agent under similar cost pressure), behavioral structure is lower. When the field is structured (some agents under elevated cost pressure), behavioral structure is higher. The field is doing causal work.</w:t>
      </w:r>
    </w:p>
    <w:p w14:paraId="2463B6F2" w14:textId="77777777" w:rsidR="005B74EC" w:rsidRDefault="00000000" w:rsidP="007A29E7">
      <w:pPr>
        <w:spacing w:before="240" w:after="80"/>
      </w:pPr>
      <w:r>
        <w:rPr>
          <w:b/>
        </w:rPr>
        <w:t>4.6 H4 — Behavioral Differentiation (Exploratory)</w:t>
      </w:r>
    </w:p>
    <w:p w14:paraId="206E390F" w14:textId="77777777" w:rsidR="005B74EC" w:rsidRDefault="00000000" w:rsidP="007A29E7">
      <w:pPr>
        <w:spacing w:after="120"/>
      </w:pPr>
      <w:r>
        <w:t>Preregistered: behavioral_differentiation_index exceeds low-pressure baseline by 2 SD in ≥60% of Condition A seeds. Proxy: cross-seed std of final query_rate as differentiation index.</w:t>
      </w:r>
    </w:p>
    <w:p w14:paraId="3F8FB171" w14:textId="77777777" w:rsidR="005B74EC" w:rsidRDefault="00000000" w:rsidP="007A29E7">
      <w:pPr>
        <w:spacing w:after="120"/>
      </w:pPr>
      <w:r>
        <w:rPr>
          <w:b/>
        </w:rPr>
        <w:t xml:space="preserve">Result: </w:t>
      </w:r>
      <w:r>
        <w:t xml:space="preserve">std ordering: D = 0.237 &gt; B = 0.205 &gt; C = 0.188 &gt; A = 0.167. Predicted ordering: A &gt; B &gt; C ≈ D. Direction fully reversed for A. </w:t>
      </w:r>
      <w:r>
        <w:rPr>
          <w:b/>
        </w:rPr>
        <w:t>NOT SUPPORTED.</w:t>
      </w:r>
    </w:p>
    <w:p w14:paraId="06971059" w14:textId="77777777" w:rsidR="005B74EC" w:rsidRDefault="00000000" w:rsidP="007A29E7">
      <w:pPr>
        <w:spacing w:after="120"/>
      </w:pPr>
      <w:r>
        <w:t>Condition A shows the lowest behavioral differentiation of all four conditions on this proxy. The emergent local constraint produces the most homogeneous training outcomes, not the most differentiated. Combined with H3’s reversal, the picture is consistent: local field perception acts as a behavioral stabilizer, converging agents toward a common attractor more reliably than other conditions.</w:t>
      </w:r>
    </w:p>
    <w:p w14:paraId="6C5AE711" w14:textId="77777777" w:rsidR="005B74EC" w:rsidRDefault="00000000" w:rsidP="007A29E7">
      <w:pPr>
        <w:spacing w:before="240" w:after="80"/>
      </w:pPr>
      <w:r>
        <w:rPr>
          <w:b/>
        </w:rPr>
        <w:t>4.7 Summary of Hypothesis Tests</w:t>
      </w:r>
    </w:p>
    <w:p w14:paraId="765F74FA" w14:textId="77777777" w:rsidR="005B74EC" w:rsidRDefault="005B74EC" w:rsidP="007A29E7"/>
    <w:tbl>
      <w:tblPr>
        <w:tblStyle w:val="TableGrid"/>
        <w:tblW w:w="0" w:type="auto"/>
        <w:tblLook w:val="04A0" w:firstRow="1" w:lastRow="0" w:firstColumn="1" w:lastColumn="0" w:noHBand="0" w:noVBand="1"/>
      </w:tblPr>
      <w:tblGrid>
        <w:gridCol w:w="2160"/>
        <w:gridCol w:w="2160"/>
        <w:gridCol w:w="2160"/>
        <w:gridCol w:w="2160"/>
      </w:tblGrid>
      <w:tr w:rsidR="005B74EC" w14:paraId="5181401D" w14:textId="77777777">
        <w:tc>
          <w:tcPr>
            <w:tcW w:w="2160" w:type="dxa"/>
          </w:tcPr>
          <w:p w14:paraId="47179A20" w14:textId="77777777" w:rsidR="005B74EC" w:rsidRDefault="00000000" w:rsidP="007A29E7">
            <w:r>
              <w:rPr>
                <w:b/>
                <w:sz w:val="18"/>
              </w:rPr>
              <w:t>Hypothesis</w:t>
            </w:r>
          </w:p>
        </w:tc>
        <w:tc>
          <w:tcPr>
            <w:tcW w:w="2160" w:type="dxa"/>
          </w:tcPr>
          <w:p w14:paraId="6F80887A" w14:textId="77777777" w:rsidR="005B74EC" w:rsidRDefault="00000000" w:rsidP="007A29E7">
            <w:r>
              <w:rPr>
                <w:b/>
                <w:sz w:val="18"/>
              </w:rPr>
              <w:t>Test / Statistic</w:t>
            </w:r>
          </w:p>
        </w:tc>
        <w:tc>
          <w:tcPr>
            <w:tcW w:w="2160" w:type="dxa"/>
          </w:tcPr>
          <w:p w14:paraId="31009BC5" w14:textId="77777777" w:rsidR="005B74EC" w:rsidRDefault="00000000" w:rsidP="007A29E7">
            <w:r>
              <w:rPr>
                <w:b/>
                <w:sz w:val="18"/>
              </w:rPr>
              <w:t>Result</w:t>
            </w:r>
          </w:p>
        </w:tc>
        <w:tc>
          <w:tcPr>
            <w:tcW w:w="2160" w:type="dxa"/>
          </w:tcPr>
          <w:p w14:paraId="7F649A52" w14:textId="77777777" w:rsidR="005B74EC" w:rsidRDefault="00000000" w:rsidP="007A29E7">
            <w:r>
              <w:rPr>
                <w:b/>
                <w:sz w:val="18"/>
              </w:rPr>
              <w:t>Verdict</w:t>
            </w:r>
          </w:p>
        </w:tc>
      </w:tr>
      <w:tr w:rsidR="005B74EC" w14:paraId="19ED15BF" w14:textId="77777777">
        <w:tc>
          <w:tcPr>
            <w:tcW w:w="2160" w:type="dxa"/>
          </w:tcPr>
          <w:p w14:paraId="668569FB" w14:textId="77777777" w:rsidR="005B74EC" w:rsidRDefault="00000000" w:rsidP="007A29E7">
            <w:r>
              <w:rPr>
                <w:sz w:val="20"/>
              </w:rPr>
              <w:t>H1 (proxy): A more negative entropy-SSS corr than C</w:t>
            </w:r>
          </w:p>
        </w:tc>
        <w:tc>
          <w:tcPr>
            <w:tcW w:w="2160" w:type="dxa"/>
          </w:tcPr>
          <w:p w14:paraId="273FAD08" w14:textId="77777777" w:rsidR="005B74EC" w:rsidRDefault="00000000" w:rsidP="007A29E7">
            <w:r>
              <w:rPr>
                <w:sz w:val="20"/>
              </w:rPr>
              <w:t>Mann-Whitney U = 50.0</w:t>
            </w:r>
            <w:r>
              <w:rPr>
                <w:sz w:val="20"/>
              </w:rPr>
              <w:br/>
              <w:t>p &lt; 0.001, r = 0.96</w:t>
            </w:r>
          </w:p>
        </w:tc>
        <w:tc>
          <w:tcPr>
            <w:tcW w:w="2160" w:type="dxa"/>
          </w:tcPr>
          <w:p w14:paraId="50DDE67E" w14:textId="77777777" w:rsidR="005B74EC" w:rsidRDefault="00000000" w:rsidP="007A29E7">
            <w:r>
              <w:rPr>
                <w:sz w:val="20"/>
              </w:rPr>
              <w:t>Mean A = −0.639, Mean C = 0.000</w:t>
            </w:r>
          </w:p>
        </w:tc>
        <w:tc>
          <w:tcPr>
            <w:tcW w:w="2160" w:type="dxa"/>
          </w:tcPr>
          <w:p w14:paraId="6BE060C3" w14:textId="77777777" w:rsidR="005B74EC" w:rsidRDefault="00000000" w:rsidP="007A29E7">
            <w:r>
              <w:rPr>
                <w:sz w:val="20"/>
              </w:rPr>
              <w:t>SUPPORTED (proxy)</w:t>
            </w:r>
          </w:p>
        </w:tc>
      </w:tr>
      <w:tr w:rsidR="005B74EC" w14:paraId="61C78FAC" w14:textId="77777777">
        <w:tc>
          <w:tcPr>
            <w:tcW w:w="2160" w:type="dxa"/>
          </w:tcPr>
          <w:p w14:paraId="3768126F" w14:textId="77777777" w:rsidR="005B74EC" w:rsidRDefault="00000000" w:rsidP="007A29E7">
            <w:r>
              <w:rPr>
                <w:sz w:val="20"/>
              </w:rPr>
              <w:t>H2a: A &lt; D on reward</w:t>
            </w:r>
          </w:p>
        </w:tc>
        <w:tc>
          <w:tcPr>
            <w:tcW w:w="2160" w:type="dxa"/>
          </w:tcPr>
          <w:p w14:paraId="2E980232" w14:textId="77777777" w:rsidR="005B74EC" w:rsidRDefault="00000000" w:rsidP="007A29E7">
            <w:r>
              <w:rPr>
                <w:sz w:val="20"/>
              </w:rPr>
              <w:t>Mann-Whitney U = 245.0</w:t>
            </w:r>
            <w:r>
              <w:rPr>
                <w:sz w:val="20"/>
              </w:rPr>
              <w:br/>
              <w:t>p &lt; 0.001, r = 0.804</w:t>
            </w:r>
          </w:p>
        </w:tc>
        <w:tc>
          <w:tcPr>
            <w:tcW w:w="2160" w:type="dxa"/>
          </w:tcPr>
          <w:p w14:paraId="1898F1C9" w14:textId="77777777" w:rsidR="005B74EC" w:rsidRDefault="00000000" w:rsidP="007A29E7">
            <w:r>
              <w:rPr>
                <w:sz w:val="20"/>
              </w:rPr>
              <w:t>Mean A = 30.89, Mean D = 38.93</w:t>
            </w:r>
          </w:p>
        </w:tc>
        <w:tc>
          <w:tcPr>
            <w:tcW w:w="2160" w:type="dxa"/>
          </w:tcPr>
          <w:p w14:paraId="3E8079A5" w14:textId="77777777" w:rsidR="005B74EC" w:rsidRDefault="00000000" w:rsidP="007A29E7">
            <w:r>
              <w:rPr>
                <w:sz w:val="20"/>
              </w:rPr>
              <w:t>SUPPORTED</w:t>
            </w:r>
          </w:p>
        </w:tc>
      </w:tr>
      <w:tr w:rsidR="005B74EC" w14:paraId="3038988F" w14:textId="77777777">
        <w:tc>
          <w:tcPr>
            <w:tcW w:w="2160" w:type="dxa"/>
          </w:tcPr>
          <w:p w14:paraId="3FDFA66E" w14:textId="77777777" w:rsidR="005B74EC" w:rsidRDefault="00000000" w:rsidP="007A29E7">
            <w:r>
              <w:rPr>
                <w:sz w:val="20"/>
              </w:rPr>
              <w:t>H2b: A &gt; C on reward</w:t>
            </w:r>
          </w:p>
        </w:tc>
        <w:tc>
          <w:tcPr>
            <w:tcW w:w="2160" w:type="dxa"/>
          </w:tcPr>
          <w:p w14:paraId="0200A7DA" w14:textId="77777777" w:rsidR="005B74EC" w:rsidRDefault="00000000" w:rsidP="007A29E7">
            <w:r>
              <w:rPr>
                <w:sz w:val="20"/>
              </w:rPr>
              <w:t>Mann-Whitney U = 1,466</w:t>
            </w:r>
            <w:r>
              <w:rPr>
                <w:sz w:val="20"/>
              </w:rPr>
              <w:br/>
              <w:t>p = 0.069, r = −0.173</w:t>
            </w:r>
          </w:p>
        </w:tc>
        <w:tc>
          <w:tcPr>
            <w:tcW w:w="2160" w:type="dxa"/>
          </w:tcPr>
          <w:p w14:paraId="6E33FA29" w14:textId="77777777" w:rsidR="005B74EC" w:rsidRDefault="00000000" w:rsidP="007A29E7">
            <w:r>
              <w:rPr>
                <w:sz w:val="20"/>
              </w:rPr>
              <w:t>Mean A = 30.89, Mean C = 29.54</w:t>
            </w:r>
          </w:p>
        </w:tc>
        <w:tc>
          <w:tcPr>
            <w:tcW w:w="2160" w:type="dxa"/>
          </w:tcPr>
          <w:p w14:paraId="5B10D7ED" w14:textId="77777777" w:rsidR="005B74EC" w:rsidRDefault="00000000" w:rsidP="007A29E7">
            <w:r>
              <w:rPr>
                <w:sz w:val="20"/>
              </w:rPr>
              <w:t>NOT SUPPORTED</w:t>
            </w:r>
          </w:p>
        </w:tc>
      </w:tr>
      <w:tr w:rsidR="005B74EC" w14:paraId="762675B5" w14:textId="77777777">
        <w:tc>
          <w:tcPr>
            <w:tcW w:w="2160" w:type="dxa"/>
          </w:tcPr>
          <w:p w14:paraId="06416A4A" w14:textId="77777777" w:rsidR="005B74EC" w:rsidRDefault="00000000" w:rsidP="007A29E7">
            <w:r>
              <w:rPr>
                <w:sz w:val="20"/>
              </w:rPr>
              <w:t>H3 (proxy): Var(A) &gt; Var(B) on query_rate</w:t>
            </w:r>
          </w:p>
        </w:tc>
        <w:tc>
          <w:tcPr>
            <w:tcW w:w="2160" w:type="dxa"/>
          </w:tcPr>
          <w:p w14:paraId="16973F2D" w14:textId="77777777" w:rsidR="005B74EC" w:rsidRDefault="00000000" w:rsidP="007A29E7">
            <w:r>
              <w:rPr>
                <w:sz w:val="20"/>
              </w:rPr>
              <w:t>Levene W = 1.44</w:t>
            </w:r>
            <w:r>
              <w:rPr>
                <w:sz w:val="20"/>
              </w:rPr>
              <w:br/>
              <w:t>p = 0.232</w:t>
            </w:r>
          </w:p>
        </w:tc>
        <w:tc>
          <w:tcPr>
            <w:tcW w:w="2160" w:type="dxa"/>
          </w:tcPr>
          <w:p w14:paraId="435F4DDB" w14:textId="77777777" w:rsidR="005B74EC" w:rsidRDefault="00000000" w:rsidP="007A29E7">
            <w:r>
              <w:rPr>
                <w:sz w:val="20"/>
              </w:rPr>
              <w:t>Var(A) = 0.028, Var(B) = 0.042; reversed</w:t>
            </w:r>
          </w:p>
        </w:tc>
        <w:tc>
          <w:tcPr>
            <w:tcW w:w="2160" w:type="dxa"/>
          </w:tcPr>
          <w:p w14:paraId="3A3AA05A" w14:textId="77777777" w:rsidR="005B74EC" w:rsidRDefault="00000000" w:rsidP="007A29E7">
            <w:r>
              <w:rPr>
                <w:sz w:val="20"/>
              </w:rPr>
              <w:t>NOT SUPPORTED</w:t>
            </w:r>
          </w:p>
        </w:tc>
      </w:tr>
      <w:tr w:rsidR="005B74EC" w14:paraId="3F09BE12" w14:textId="77777777">
        <w:tc>
          <w:tcPr>
            <w:tcW w:w="2160" w:type="dxa"/>
          </w:tcPr>
          <w:p w14:paraId="3C7E98DD" w14:textId="77777777" w:rsidR="005B74EC" w:rsidRDefault="00000000" w:rsidP="007A29E7">
            <w:r>
              <w:rPr>
                <w:sz w:val="20"/>
              </w:rPr>
              <w:t>Mechanistic: entropy-SSS corr &lt; 0 in Cond. A</w:t>
            </w:r>
          </w:p>
        </w:tc>
        <w:tc>
          <w:tcPr>
            <w:tcW w:w="2160" w:type="dxa"/>
          </w:tcPr>
          <w:p w14:paraId="5FBB36B7" w14:textId="77777777" w:rsidR="005B74EC" w:rsidRDefault="00000000" w:rsidP="007A29E7">
            <w:r>
              <w:rPr>
                <w:sz w:val="20"/>
              </w:rPr>
              <w:t>Wilcoxon W = 3.0</w:t>
            </w:r>
            <w:r>
              <w:rPr>
                <w:sz w:val="20"/>
              </w:rPr>
              <w:br/>
              <w:t>p &lt; 0.001</w:t>
            </w:r>
          </w:p>
        </w:tc>
        <w:tc>
          <w:tcPr>
            <w:tcW w:w="2160" w:type="dxa"/>
          </w:tcPr>
          <w:p w14:paraId="2C2F01EB" w14:textId="77777777" w:rsidR="005B74EC" w:rsidRDefault="00000000" w:rsidP="007A29E7">
            <w:r>
              <w:rPr>
                <w:sz w:val="20"/>
              </w:rPr>
              <w:t>Median = −0.680, Mean = −0.639</w:t>
            </w:r>
          </w:p>
        </w:tc>
        <w:tc>
          <w:tcPr>
            <w:tcW w:w="2160" w:type="dxa"/>
          </w:tcPr>
          <w:p w14:paraId="22695C61" w14:textId="77777777" w:rsidR="005B74EC" w:rsidRDefault="00000000" w:rsidP="007A29E7">
            <w:r>
              <w:rPr>
                <w:sz w:val="20"/>
              </w:rPr>
              <w:t>STRONGLY SUPPORTED</w:t>
            </w:r>
          </w:p>
        </w:tc>
      </w:tr>
      <w:tr w:rsidR="005B74EC" w14:paraId="6AFADAB0" w14:textId="77777777">
        <w:tc>
          <w:tcPr>
            <w:tcW w:w="2160" w:type="dxa"/>
          </w:tcPr>
          <w:p w14:paraId="73CD814B" w14:textId="77777777" w:rsidR="005B74EC" w:rsidRDefault="00000000" w:rsidP="007A29E7">
            <w:r>
              <w:rPr>
                <w:sz w:val="20"/>
              </w:rPr>
              <w:t>H4: BDI ordering A &gt; B &gt; C ≈ D</w:t>
            </w:r>
          </w:p>
        </w:tc>
        <w:tc>
          <w:tcPr>
            <w:tcW w:w="2160" w:type="dxa"/>
          </w:tcPr>
          <w:p w14:paraId="2DE60266" w14:textId="77777777" w:rsidR="005B74EC" w:rsidRDefault="00000000" w:rsidP="007A29E7">
            <w:r>
              <w:rPr>
                <w:sz w:val="20"/>
              </w:rPr>
              <w:t>Descriptive</w:t>
            </w:r>
            <w:r>
              <w:rPr>
                <w:sz w:val="20"/>
              </w:rPr>
              <w:br/>
              <w:t>(std ordering)</w:t>
            </w:r>
          </w:p>
        </w:tc>
        <w:tc>
          <w:tcPr>
            <w:tcW w:w="2160" w:type="dxa"/>
          </w:tcPr>
          <w:p w14:paraId="6BF6C91C" w14:textId="77777777" w:rsidR="005B74EC" w:rsidRDefault="00000000" w:rsidP="007A29E7">
            <w:r>
              <w:rPr>
                <w:sz w:val="20"/>
              </w:rPr>
              <w:t>D &gt; B &gt; C &gt; A; reversed</w:t>
            </w:r>
          </w:p>
        </w:tc>
        <w:tc>
          <w:tcPr>
            <w:tcW w:w="2160" w:type="dxa"/>
          </w:tcPr>
          <w:p w14:paraId="758E3101" w14:textId="77777777" w:rsidR="005B74EC" w:rsidRDefault="00000000" w:rsidP="007A29E7">
            <w:r>
              <w:rPr>
                <w:sz w:val="20"/>
              </w:rPr>
              <w:t>NOT SUPPORTED</w:t>
            </w:r>
          </w:p>
        </w:tc>
      </w:tr>
    </w:tbl>
    <w:p w14:paraId="34A47E5C" w14:textId="77777777" w:rsidR="005B74EC" w:rsidRDefault="00000000" w:rsidP="007A29E7">
      <w:pPr>
        <w:spacing w:after="160"/>
      </w:pPr>
      <w:r>
        <w:rPr>
          <w:i/>
          <w:sz w:val="20"/>
        </w:rPr>
        <w:t>Table 2. Hypothesis test summary. 3/6 tests supported at α = 0.05.</w:t>
      </w:r>
    </w:p>
    <w:p w14:paraId="259062F8" w14:textId="77777777" w:rsidR="005B74EC" w:rsidRDefault="00000000" w:rsidP="007A29E7">
      <w:pPr>
        <w:spacing w:before="240" w:after="80"/>
      </w:pPr>
      <w:r>
        <w:rPr>
          <w:b/>
          <w:sz w:val="26"/>
        </w:rPr>
        <w:t>5. AI Committee Predictions</w:t>
      </w:r>
    </w:p>
    <w:p w14:paraId="2F318BE0" w14:textId="77777777" w:rsidR="005B74EC" w:rsidRDefault="00000000" w:rsidP="007A29E7">
      <w:pPr>
        <w:spacing w:after="120"/>
      </w:pPr>
      <w:r>
        <w:t>Prior to confirmatory execution, five AI models — ChatGPT, Gemini, Grok, DeepSeek, and Claude (experiment manager) — committed predictions on all hypotheses. Predictions were logged in commit 7625fe1, before any confirmatory data existed. Scoring used the following key: CORRECT (direction and threshold match), PARTIAL (direction correct, magnitude or threshold missed), INCORRECT (does not match), N/A (cannot evaluate with available data).</w:t>
      </w:r>
    </w:p>
    <w:p w14:paraId="1ACFEAAB" w14:textId="77777777" w:rsidR="005B74EC" w:rsidRDefault="005B74EC" w:rsidP="007A29E7"/>
    <w:tbl>
      <w:tblPr>
        <w:tblStyle w:val="TableGrid"/>
        <w:tblW w:w="0" w:type="auto"/>
        <w:tblLook w:val="04A0" w:firstRow="1" w:lastRow="0" w:firstColumn="1" w:lastColumn="0" w:noHBand="0" w:noVBand="1"/>
      </w:tblPr>
      <w:tblGrid>
        <w:gridCol w:w="1182"/>
        <w:gridCol w:w="1350"/>
        <w:gridCol w:w="1350"/>
        <w:gridCol w:w="1350"/>
        <w:gridCol w:w="1350"/>
        <w:gridCol w:w="1207"/>
        <w:gridCol w:w="1067"/>
      </w:tblGrid>
      <w:tr w:rsidR="005B74EC" w14:paraId="64042C01" w14:textId="77777777">
        <w:tc>
          <w:tcPr>
            <w:tcW w:w="1234" w:type="dxa"/>
          </w:tcPr>
          <w:p w14:paraId="356A50E1" w14:textId="77777777" w:rsidR="005B74EC" w:rsidRDefault="005B74EC" w:rsidP="007A29E7"/>
        </w:tc>
        <w:tc>
          <w:tcPr>
            <w:tcW w:w="1234" w:type="dxa"/>
          </w:tcPr>
          <w:p w14:paraId="4AAD8867" w14:textId="77777777" w:rsidR="005B74EC" w:rsidRDefault="00000000" w:rsidP="007A29E7">
            <w:r>
              <w:rPr>
                <w:b/>
                <w:sz w:val="18"/>
              </w:rPr>
              <w:t>H1</w:t>
            </w:r>
          </w:p>
        </w:tc>
        <w:tc>
          <w:tcPr>
            <w:tcW w:w="1234" w:type="dxa"/>
          </w:tcPr>
          <w:p w14:paraId="7E56A7E3" w14:textId="77777777" w:rsidR="005B74EC" w:rsidRDefault="00000000" w:rsidP="007A29E7">
            <w:r>
              <w:rPr>
                <w:b/>
                <w:sz w:val="18"/>
              </w:rPr>
              <w:t>H2</w:t>
            </w:r>
            <w:r>
              <w:rPr>
                <w:b/>
                <w:sz w:val="18"/>
              </w:rPr>
              <w:br/>
              <w:t>Outcome</w:t>
            </w:r>
          </w:p>
        </w:tc>
        <w:tc>
          <w:tcPr>
            <w:tcW w:w="1234" w:type="dxa"/>
          </w:tcPr>
          <w:p w14:paraId="5D73B2D0" w14:textId="77777777" w:rsidR="005B74EC" w:rsidRDefault="00000000" w:rsidP="007A29E7">
            <w:r>
              <w:rPr>
                <w:b/>
                <w:sz w:val="18"/>
              </w:rPr>
              <w:t>H3</w:t>
            </w:r>
          </w:p>
        </w:tc>
        <w:tc>
          <w:tcPr>
            <w:tcW w:w="1234" w:type="dxa"/>
          </w:tcPr>
          <w:p w14:paraId="3A9FBF70" w14:textId="77777777" w:rsidR="005B74EC" w:rsidRDefault="00000000" w:rsidP="007A29E7">
            <w:r>
              <w:rPr>
                <w:b/>
                <w:sz w:val="18"/>
              </w:rPr>
              <w:t>Mechanistic</w:t>
            </w:r>
          </w:p>
        </w:tc>
        <w:tc>
          <w:tcPr>
            <w:tcW w:w="1234" w:type="dxa"/>
          </w:tcPr>
          <w:p w14:paraId="1D7FF86B" w14:textId="77777777" w:rsidR="005B74EC" w:rsidRDefault="00000000" w:rsidP="007A29E7">
            <w:r>
              <w:rPr>
                <w:b/>
                <w:sz w:val="18"/>
              </w:rPr>
              <w:t>H4</w:t>
            </w:r>
          </w:p>
        </w:tc>
        <w:tc>
          <w:tcPr>
            <w:tcW w:w="1234" w:type="dxa"/>
          </w:tcPr>
          <w:p w14:paraId="5169D459" w14:textId="77777777" w:rsidR="005B74EC" w:rsidRDefault="00000000" w:rsidP="007A29E7">
            <w:r>
              <w:rPr>
                <w:b/>
                <w:sz w:val="18"/>
              </w:rPr>
              <w:t>Score</w:t>
            </w:r>
          </w:p>
        </w:tc>
      </w:tr>
      <w:tr w:rsidR="005B74EC" w14:paraId="7872DC21" w14:textId="77777777">
        <w:tc>
          <w:tcPr>
            <w:tcW w:w="1234" w:type="dxa"/>
          </w:tcPr>
          <w:p w14:paraId="0F18FBC2" w14:textId="77777777" w:rsidR="005B74EC" w:rsidRDefault="00000000" w:rsidP="007A29E7">
            <w:r>
              <w:rPr>
                <w:b/>
                <w:sz w:val="20"/>
              </w:rPr>
              <w:t>ChatGPT</w:t>
            </w:r>
          </w:p>
        </w:tc>
        <w:tc>
          <w:tcPr>
            <w:tcW w:w="1234" w:type="dxa"/>
          </w:tcPr>
          <w:p w14:paraId="4C7EE957" w14:textId="77777777" w:rsidR="005B74EC" w:rsidRDefault="00000000" w:rsidP="007A29E7">
            <w:r>
              <w:rPr>
                <w:sz w:val="20"/>
              </w:rPr>
              <w:t>INCORRECT</w:t>
            </w:r>
          </w:p>
        </w:tc>
        <w:tc>
          <w:tcPr>
            <w:tcW w:w="1234" w:type="dxa"/>
          </w:tcPr>
          <w:p w14:paraId="3BCA7A5C" w14:textId="77777777" w:rsidR="005B74EC" w:rsidRDefault="00000000" w:rsidP="007A29E7">
            <w:r>
              <w:rPr>
                <w:sz w:val="20"/>
              </w:rPr>
              <w:t>CORRECT</w:t>
            </w:r>
          </w:p>
        </w:tc>
        <w:tc>
          <w:tcPr>
            <w:tcW w:w="1234" w:type="dxa"/>
          </w:tcPr>
          <w:p w14:paraId="61C4E766" w14:textId="77777777" w:rsidR="005B74EC" w:rsidRDefault="00000000" w:rsidP="007A29E7">
            <w:r>
              <w:rPr>
                <w:sz w:val="20"/>
              </w:rPr>
              <w:t>CORRECT</w:t>
            </w:r>
          </w:p>
        </w:tc>
        <w:tc>
          <w:tcPr>
            <w:tcW w:w="1234" w:type="dxa"/>
          </w:tcPr>
          <w:p w14:paraId="59EE14F0" w14:textId="77777777" w:rsidR="005B74EC" w:rsidRDefault="00000000" w:rsidP="007A29E7">
            <w:r>
              <w:rPr>
                <w:sz w:val="20"/>
              </w:rPr>
              <w:t>PARTIAL</w:t>
            </w:r>
          </w:p>
        </w:tc>
        <w:tc>
          <w:tcPr>
            <w:tcW w:w="1234" w:type="dxa"/>
          </w:tcPr>
          <w:p w14:paraId="1DA60FB6" w14:textId="77777777" w:rsidR="005B74EC" w:rsidRDefault="00000000" w:rsidP="007A29E7">
            <w:r>
              <w:rPr>
                <w:sz w:val="20"/>
              </w:rPr>
              <w:t>CORRECT</w:t>
            </w:r>
          </w:p>
        </w:tc>
        <w:tc>
          <w:tcPr>
            <w:tcW w:w="1234" w:type="dxa"/>
          </w:tcPr>
          <w:p w14:paraId="06B56867" w14:textId="77777777" w:rsidR="005B74EC" w:rsidRDefault="00000000" w:rsidP="007A29E7">
            <w:r>
              <w:rPr>
                <w:sz w:val="20"/>
              </w:rPr>
              <w:t>3.5/5</w:t>
            </w:r>
          </w:p>
        </w:tc>
      </w:tr>
      <w:tr w:rsidR="005B74EC" w14:paraId="44B6A06D" w14:textId="77777777">
        <w:tc>
          <w:tcPr>
            <w:tcW w:w="1234" w:type="dxa"/>
          </w:tcPr>
          <w:p w14:paraId="6973DE57" w14:textId="77777777" w:rsidR="005B74EC" w:rsidRDefault="00000000" w:rsidP="007A29E7">
            <w:r>
              <w:rPr>
                <w:b/>
                <w:sz w:val="20"/>
              </w:rPr>
              <w:t>Gemini</w:t>
            </w:r>
          </w:p>
        </w:tc>
        <w:tc>
          <w:tcPr>
            <w:tcW w:w="1234" w:type="dxa"/>
          </w:tcPr>
          <w:p w14:paraId="1D258F4B" w14:textId="77777777" w:rsidR="005B74EC" w:rsidRDefault="00000000" w:rsidP="007A29E7">
            <w:r>
              <w:rPr>
                <w:sz w:val="20"/>
              </w:rPr>
              <w:t>CORRECT</w:t>
            </w:r>
          </w:p>
        </w:tc>
        <w:tc>
          <w:tcPr>
            <w:tcW w:w="1234" w:type="dxa"/>
          </w:tcPr>
          <w:p w14:paraId="44F6E200" w14:textId="77777777" w:rsidR="005B74EC" w:rsidRDefault="00000000" w:rsidP="007A29E7">
            <w:r>
              <w:rPr>
                <w:sz w:val="20"/>
              </w:rPr>
              <w:t>CORRECT*</w:t>
            </w:r>
          </w:p>
        </w:tc>
        <w:tc>
          <w:tcPr>
            <w:tcW w:w="1234" w:type="dxa"/>
          </w:tcPr>
          <w:p w14:paraId="4E48E4DA" w14:textId="77777777" w:rsidR="005B74EC" w:rsidRDefault="00000000" w:rsidP="007A29E7">
            <w:r>
              <w:rPr>
                <w:sz w:val="20"/>
              </w:rPr>
              <w:t>INCORRECT</w:t>
            </w:r>
          </w:p>
        </w:tc>
        <w:tc>
          <w:tcPr>
            <w:tcW w:w="1234" w:type="dxa"/>
          </w:tcPr>
          <w:p w14:paraId="5D806AA4" w14:textId="77777777" w:rsidR="005B74EC" w:rsidRDefault="00000000" w:rsidP="007A29E7">
            <w:r>
              <w:rPr>
                <w:sz w:val="20"/>
              </w:rPr>
              <w:t>CORRECT</w:t>
            </w:r>
          </w:p>
        </w:tc>
        <w:tc>
          <w:tcPr>
            <w:tcW w:w="1234" w:type="dxa"/>
          </w:tcPr>
          <w:p w14:paraId="2288018D" w14:textId="77777777" w:rsidR="005B74EC" w:rsidRDefault="00000000" w:rsidP="007A29E7">
            <w:r>
              <w:rPr>
                <w:sz w:val="20"/>
              </w:rPr>
              <w:t>N/A</w:t>
            </w:r>
          </w:p>
        </w:tc>
        <w:tc>
          <w:tcPr>
            <w:tcW w:w="1234" w:type="dxa"/>
          </w:tcPr>
          <w:p w14:paraId="56B04E3F" w14:textId="77777777" w:rsidR="005B74EC" w:rsidRDefault="00000000" w:rsidP="007A29E7">
            <w:r>
              <w:rPr>
                <w:sz w:val="20"/>
              </w:rPr>
              <w:t>3.5/4</w:t>
            </w:r>
          </w:p>
        </w:tc>
      </w:tr>
      <w:tr w:rsidR="005B74EC" w14:paraId="334ECC2D" w14:textId="77777777">
        <w:tc>
          <w:tcPr>
            <w:tcW w:w="1234" w:type="dxa"/>
          </w:tcPr>
          <w:p w14:paraId="2D3551C3" w14:textId="77777777" w:rsidR="005B74EC" w:rsidRDefault="00000000" w:rsidP="007A29E7">
            <w:r>
              <w:rPr>
                <w:b/>
                <w:sz w:val="20"/>
              </w:rPr>
              <w:t>Grok</w:t>
            </w:r>
          </w:p>
        </w:tc>
        <w:tc>
          <w:tcPr>
            <w:tcW w:w="1234" w:type="dxa"/>
          </w:tcPr>
          <w:p w14:paraId="718E6959" w14:textId="77777777" w:rsidR="005B74EC" w:rsidRDefault="00000000" w:rsidP="007A29E7">
            <w:r>
              <w:rPr>
                <w:sz w:val="20"/>
              </w:rPr>
              <w:t>INCORRECT</w:t>
            </w:r>
          </w:p>
        </w:tc>
        <w:tc>
          <w:tcPr>
            <w:tcW w:w="1234" w:type="dxa"/>
          </w:tcPr>
          <w:p w14:paraId="7F6C6E6B" w14:textId="77777777" w:rsidR="005B74EC" w:rsidRDefault="00000000" w:rsidP="007A29E7">
            <w:r>
              <w:rPr>
                <w:sz w:val="20"/>
              </w:rPr>
              <w:t>CORRECT</w:t>
            </w:r>
          </w:p>
        </w:tc>
        <w:tc>
          <w:tcPr>
            <w:tcW w:w="1234" w:type="dxa"/>
          </w:tcPr>
          <w:p w14:paraId="7DD4FF12" w14:textId="77777777" w:rsidR="005B74EC" w:rsidRDefault="00000000" w:rsidP="007A29E7">
            <w:r>
              <w:rPr>
                <w:sz w:val="20"/>
              </w:rPr>
              <w:t>CORRECT</w:t>
            </w:r>
          </w:p>
        </w:tc>
        <w:tc>
          <w:tcPr>
            <w:tcW w:w="1234" w:type="dxa"/>
          </w:tcPr>
          <w:p w14:paraId="6F4A4DA6" w14:textId="77777777" w:rsidR="005B74EC" w:rsidRDefault="00000000" w:rsidP="007A29E7">
            <w:r>
              <w:rPr>
                <w:sz w:val="20"/>
              </w:rPr>
              <w:t>INCORRECT</w:t>
            </w:r>
          </w:p>
        </w:tc>
        <w:tc>
          <w:tcPr>
            <w:tcW w:w="1234" w:type="dxa"/>
          </w:tcPr>
          <w:p w14:paraId="1091B9BE" w14:textId="77777777" w:rsidR="005B74EC" w:rsidRDefault="00000000" w:rsidP="007A29E7">
            <w:r>
              <w:rPr>
                <w:sz w:val="20"/>
              </w:rPr>
              <w:t>CORRECT</w:t>
            </w:r>
          </w:p>
        </w:tc>
        <w:tc>
          <w:tcPr>
            <w:tcW w:w="1234" w:type="dxa"/>
          </w:tcPr>
          <w:p w14:paraId="418F58CF" w14:textId="77777777" w:rsidR="005B74EC" w:rsidRDefault="00000000" w:rsidP="007A29E7">
            <w:r>
              <w:rPr>
                <w:sz w:val="20"/>
              </w:rPr>
              <w:t>3.0/5</w:t>
            </w:r>
          </w:p>
        </w:tc>
      </w:tr>
      <w:tr w:rsidR="005B74EC" w14:paraId="3C330DAC" w14:textId="77777777">
        <w:tc>
          <w:tcPr>
            <w:tcW w:w="1234" w:type="dxa"/>
          </w:tcPr>
          <w:p w14:paraId="70FB9F0E" w14:textId="77777777" w:rsidR="005B74EC" w:rsidRDefault="00000000" w:rsidP="007A29E7">
            <w:r>
              <w:rPr>
                <w:b/>
                <w:sz w:val="20"/>
              </w:rPr>
              <w:t>DeepSeek</w:t>
            </w:r>
          </w:p>
        </w:tc>
        <w:tc>
          <w:tcPr>
            <w:tcW w:w="1234" w:type="dxa"/>
          </w:tcPr>
          <w:p w14:paraId="0011CB95" w14:textId="77777777" w:rsidR="005B74EC" w:rsidRDefault="00000000" w:rsidP="007A29E7">
            <w:r>
              <w:rPr>
                <w:sz w:val="20"/>
              </w:rPr>
              <w:t>CORRECT</w:t>
            </w:r>
          </w:p>
        </w:tc>
        <w:tc>
          <w:tcPr>
            <w:tcW w:w="1234" w:type="dxa"/>
          </w:tcPr>
          <w:p w14:paraId="45BBD165" w14:textId="77777777" w:rsidR="005B74EC" w:rsidRDefault="00000000" w:rsidP="007A29E7">
            <w:r>
              <w:rPr>
                <w:sz w:val="20"/>
              </w:rPr>
              <w:t>INCORRECT</w:t>
            </w:r>
          </w:p>
        </w:tc>
        <w:tc>
          <w:tcPr>
            <w:tcW w:w="1234" w:type="dxa"/>
          </w:tcPr>
          <w:p w14:paraId="515CE75C" w14:textId="77777777" w:rsidR="005B74EC" w:rsidRDefault="00000000" w:rsidP="007A29E7">
            <w:r>
              <w:rPr>
                <w:sz w:val="20"/>
              </w:rPr>
              <w:t>INCORRECT</w:t>
            </w:r>
          </w:p>
        </w:tc>
        <w:tc>
          <w:tcPr>
            <w:tcW w:w="1234" w:type="dxa"/>
          </w:tcPr>
          <w:p w14:paraId="74248976" w14:textId="77777777" w:rsidR="005B74EC" w:rsidRDefault="00000000" w:rsidP="007A29E7">
            <w:r>
              <w:rPr>
                <w:sz w:val="20"/>
              </w:rPr>
              <w:t>CORRECT</w:t>
            </w:r>
          </w:p>
        </w:tc>
        <w:tc>
          <w:tcPr>
            <w:tcW w:w="1234" w:type="dxa"/>
          </w:tcPr>
          <w:p w14:paraId="38BA7A4A" w14:textId="77777777" w:rsidR="005B74EC" w:rsidRDefault="00000000" w:rsidP="007A29E7">
            <w:r>
              <w:rPr>
                <w:sz w:val="20"/>
              </w:rPr>
              <w:t>CORRECT</w:t>
            </w:r>
          </w:p>
        </w:tc>
        <w:tc>
          <w:tcPr>
            <w:tcW w:w="1234" w:type="dxa"/>
          </w:tcPr>
          <w:p w14:paraId="64F23DA0" w14:textId="77777777" w:rsidR="005B74EC" w:rsidRDefault="00000000" w:rsidP="007A29E7">
            <w:r>
              <w:rPr>
                <w:sz w:val="20"/>
              </w:rPr>
              <w:t>3.0/5</w:t>
            </w:r>
          </w:p>
        </w:tc>
      </w:tr>
      <w:tr w:rsidR="005B74EC" w14:paraId="635770C1" w14:textId="77777777">
        <w:tc>
          <w:tcPr>
            <w:tcW w:w="1234" w:type="dxa"/>
          </w:tcPr>
          <w:p w14:paraId="0DA06491" w14:textId="77777777" w:rsidR="005B74EC" w:rsidRDefault="00000000" w:rsidP="007A29E7">
            <w:r>
              <w:rPr>
                <w:b/>
                <w:sz w:val="20"/>
              </w:rPr>
              <w:t>Claude (Mgr)</w:t>
            </w:r>
          </w:p>
        </w:tc>
        <w:tc>
          <w:tcPr>
            <w:tcW w:w="1234" w:type="dxa"/>
          </w:tcPr>
          <w:p w14:paraId="5D3EC36D" w14:textId="77777777" w:rsidR="005B74EC" w:rsidRDefault="00000000" w:rsidP="007A29E7">
            <w:r>
              <w:rPr>
                <w:sz w:val="20"/>
              </w:rPr>
              <w:t>CORRECT</w:t>
            </w:r>
          </w:p>
        </w:tc>
        <w:tc>
          <w:tcPr>
            <w:tcW w:w="1234" w:type="dxa"/>
          </w:tcPr>
          <w:p w14:paraId="4BDC01A4" w14:textId="77777777" w:rsidR="005B74EC" w:rsidRDefault="00000000" w:rsidP="007A29E7">
            <w:r>
              <w:rPr>
                <w:sz w:val="20"/>
              </w:rPr>
              <w:t>PARTIAL</w:t>
            </w:r>
          </w:p>
        </w:tc>
        <w:tc>
          <w:tcPr>
            <w:tcW w:w="1234" w:type="dxa"/>
          </w:tcPr>
          <w:p w14:paraId="5237D0A3" w14:textId="77777777" w:rsidR="005B74EC" w:rsidRDefault="00000000" w:rsidP="007A29E7">
            <w:r>
              <w:rPr>
                <w:sz w:val="20"/>
              </w:rPr>
              <w:t>INCORRECT</w:t>
            </w:r>
          </w:p>
        </w:tc>
        <w:tc>
          <w:tcPr>
            <w:tcW w:w="1234" w:type="dxa"/>
          </w:tcPr>
          <w:p w14:paraId="424BD1CF" w14:textId="77777777" w:rsidR="005B74EC" w:rsidRDefault="00000000" w:rsidP="007A29E7">
            <w:r>
              <w:rPr>
                <w:sz w:val="20"/>
              </w:rPr>
              <w:t>CORRECT</w:t>
            </w:r>
          </w:p>
        </w:tc>
        <w:tc>
          <w:tcPr>
            <w:tcW w:w="1234" w:type="dxa"/>
          </w:tcPr>
          <w:p w14:paraId="71BCCECF" w14:textId="77777777" w:rsidR="005B74EC" w:rsidRDefault="00000000" w:rsidP="007A29E7">
            <w:r>
              <w:rPr>
                <w:sz w:val="20"/>
              </w:rPr>
              <w:t>CORRECT</w:t>
            </w:r>
          </w:p>
        </w:tc>
        <w:tc>
          <w:tcPr>
            <w:tcW w:w="1234" w:type="dxa"/>
          </w:tcPr>
          <w:p w14:paraId="7356C884" w14:textId="77777777" w:rsidR="005B74EC" w:rsidRDefault="00000000" w:rsidP="007A29E7">
            <w:r>
              <w:rPr>
                <w:sz w:val="20"/>
              </w:rPr>
              <w:t>3.5/5</w:t>
            </w:r>
          </w:p>
        </w:tc>
      </w:tr>
    </w:tbl>
    <w:p w14:paraId="2C8D7F3F" w14:textId="77777777" w:rsidR="005B74EC" w:rsidRDefault="00000000" w:rsidP="007A29E7">
      <w:pPr>
        <w:spacing w:after="120"/>
      </w:pPr>
      <w:r>
        <w:rPr>
          <w:i/>
          <w:sz w:val="20"/>
        </w:rPr>
        <w:t>Table 3. AI committee prediction scorecard. *Gemini scored on A &lt; D component; full H2 not explicit.</w:t>
      </w:r>
    </w:p>
    <w:p w14:paraId="4B575347" w14:textId="77777777" w:rsidR="005B74EC" w:rsidRDefault="00000000" w:rsidP="007A29E7">
      <w:pPr>
        <w:spacing w:after="120"/>
      </w:pPr>
      <w:r>
        <w:t>Three findings stand out. First, Gemini produced the most precise quantitative prediction in the committee: the mechanistic effect would fall in the range r = −0.45 to −0.80. The actual median (−0.680) and mean (−0.639) both fall squarely within this range. This required correctly predicting that the pilot signal (r = −0.650 at 200 epochs) would hold at full strength through 500-epoch confirmatory runs, against Grok’s theoretically sophisticated attenuation argument.</w:t>
      </w:r>
    </w:p>
    <w:p w14:paraId="702297E4" w14:textId="77777777" w:rsidR="005B74EC" w:rsidRDefault="00000000" w:rsidP="007A29E7">
      <w:pPr>
        <w:spacing w:after="120"/>
      </w:pPr>
      <w:r>
        <w:t>Second, Grok produced the most significant miss in the committee: the mechanistic prediction of r ≥ −0.15 (effectively null). Grok argued that agents would learn to optimize around the field in extended runs, making low-entropy field states reflect stable low-cost equilibria that enable rather than suppress exploitation. This mechanism did not materialize. The signal strengthened, not attenuated.</w:t>
      </w:r>
    </w:p>
    <w:p w14:paraId="7A2A0281" w14:textId="77777777" w:rsidR="005B74EC" w:rsidRDefault="00000000" w:rsidP="007A29E7">
      <w:pPr>
        <w:spacing w:after="120"/>
      </w:pPr>
      <w:r>
        <w:t>Third, the H3 reversal — global field perception producing more behavioral variance than local — was predicted by no committee member. Every member who addressed the direction of H3 predicted Var(A) ≥ Var(B). The actual result (Var(B)/Var(A) ratio = 1.52) was outside all five members’ models of the system. This is the genuine empirical surprise of Protocol 6 and the finding that most directly challenges existing theoretical framing.</w:t>
      </w:r>
    </w:p>
    <w:p w14:paraId="38AF18A8" w14:textId="77777777" w:rsidR="005B74EC" w:rsidRDefault="00000000" w:rsidP="007A29E7">
      <w:pPr>
        <w:spacing w:before="240" w:after="80"/>
      </w:pPr>
      <w:r>
        <w:rPr>
          <w:b/>
          <w:sz w:val="26"/>
        </w:rPr>
        <w:t>6. Discussion</w:t>
      </w:r>
    </w:p>
    <w:p w14:paraId="3051C05F" w14:textId="77777777" w:rsidR="005B74EC" w:rsidRDefault="00000000" w:rsidP="007A29E7">
      <w:pPr>
        <w:spacing w:before="240" w:after="80"/>
      </w:pPr>
      <w:r>
        <w:rPr>
          <w:b/>
        </w:rPr>
        <w:t>6.1 What the Mechanistic Confirmation Means</w:t>
      </w:r>
    </w:p>
    <w:p w14:paraId="4B4DC019" w14:textId="77777777" w:rsidR="005B74EC" w:rsidRDefault="00000000" w:rsidP="007A29E7">
      <w:pPr>
        <w:spacing w:after="120"/>
      </w:pPr>
      <w:r>
        <w:t>The robust confirmation of the mechanistic prediction (median r = −0.680, W = 3.0, p &lt; 0.001, 49/50 seeds negative) establishes that the emergent constraint field is causally active. This is not a null result dressed up as a finding. The within-run temporal coupling between field entropy and behavioral structure is a genuine phenomenon: when the constraint field is structured (low entropy, heterogeneous cost distribution), behavioral coordination is higher. When the field is uniform (high entropy, homogeneous costs), coordination is lower. The field is doing work that a fixed external tax cannot do, because a fixed tax has no entropy.</w:t>
      </w:r>
    </w:p>
    <w:p w14:paraId="00CF52C8" w14:textId="77777777" w:rsidR="005B74EC" w:rsidRDefault="00000000" w:rsidP="007A29E7">
      <w:pPr>
        <w:spacing w:after="120"/>
      </w:pPr>
      <w:r>
        <w:t>This is also the first finding in the P2–P6 series where the constraint mechanism produces a distinct, positive behavioral signature. Protocols 2–5 produced gaming, amplification, dissociation, and null results respectively. Protocol 6 produces a causally active mechanism. The Dictyostelium analogy holds at the structural level: agents co-constitute a field through their signals, and that field modulates their subsequent behavior. This is mechanistically different from externally imposed constraint.</w:t>
      </w:r>
    </w:p>
    <w:p w14:paraId="2CA77203" w14:textId="77777777" w:rsidR="005B74EC" w:rsidRDefault="00000000" w:rsidP="007A29E7">
      <w:pPr>
        <w:spacing w:before="240" w:after="80"/>
      </w:pPr>
      <w:r>
        <w:rPr>
          <w:b/>
        </w:rPr>
        <w:t>6.2 Why the Behavioral Null Is the Headline for Governance</w:t>
      </w:r>
    </w:p>
    <w:p w14:paraId="2ECDAF24" w14:textId="77777777" w:rsidR="005B74EC" w:rsidRDefault="00000000" w:rsidP="007A29E7">
      <w:pPr>
        <w:spacing w:after="120"/>
      </w:pPr>
      <w:r>
        <w:t>The H2b failure (A vs. C, p = 0.069) is the governance-relevant finding. An emergent constraint field that demonstrably does causal work does not produce meaningfully better behavioral outcomes than a fixed external rule of equivalent average cost. The 1.35-point reward advantage of A over C is in the predicted direction but falls short of significance. For governance purposes, this means that the additional complexity of allowing constraints to emerge from within an agent community — the co-constitution of the constraint landscape through agent activity — does not pay off in the behavioral outcomes that matter.</w:t>
      </w:r>
    </w:p>
    <w:p w14:paraId="23C4B316" w14:textId="77777777" w:rsidR="005B74EC" w:rsidRDefault="00000000" w:rsidP="007A29E7">
      <w:pPr>
        <w:spacing w:after="120"/>
      </w:pPr>
      <w:r>
        <w:t>The deeper problem is H2a (A vs. D, r = 0.804): the unconstrained condition achieves substantially higher reward (38.929 vs. 30.894). Condition D agents discover that silence is optimal when signaling is costly but coordination gains do not offset those costs (query_rate = 0.305). The emergent constraint field prevents this silence strategy — agents in A must continue paying communication costs to maintain field structure — but the maintained field does not produce commensurate reward returns. Constraint creates cost without proportional benefit. This pattern is consistent across P2–P6 regardless of constraint architecture.</w:t>
      </w:r>
    </w:p>
    <w:p w14:paraId="4C171B43" w14:textId="77777777" w:rsidR="005B74EC" w:rsidRDefault="00000000" w:rsidP="007A29E7">
      <w:pPr>
        <w:spacing w:before="240" w:after="80"/>
      </w:pPr>
      <w:r>
        <w:rPr>
          <w:b/>
        </w:rPr>
        <w:t>6.3 The H3 Reversal and Sandbox Design Implications</w:t>
      </w:r>
    </w:p>
    <w:p w14:paraId="2D7DA761" w14:textId="77777777" w:rsidR="005B74EC" w:rsidRDefault="00000000" w:rsidP="007A29E7">
      <w:pPr>
        <w:spacing w:after="120"/>
      </w:pPr>
      <w:r>
        <w:t>The H3 reversal — global field perception producing more behavioral variability than local — has direct implications for surveillance-based sandbox design. The intuition behind H3 was that agents with local information would develop more heterogeneous behavioral trajectories because each agent faces a different effective cost landscape. Full field visibility was expected to homogenize behavior by giving all agents identical information.</w:t>
      </w:r>
    </w:p>
    <w:p w14:paraId="488B01B7" w14:textId="77777777" w:rsidR="005B74EC" w:rsidRDefault="00000000" w:rsidP="007A29E7">
      <w:pPr>
        <w:spacing w:after="120"/>
      </w:pPr>
      <w:r>
        <w:t>The data contradict this. Global field access (Condition B) produces higher cross-seed variance in terminal query_rate (Var = 0.042) and higher reward variance (SD = 8.406 vs. 5.134 in A). Agents with full field information find more diverse behavioral equilibria across training seeds. The plausible mechanism: global field visibility introduces an additional information channel that agents can use in multiple ways, expanding the effective strategy space. Local perception forces a more constrained agent-field interaction that funnels agents toward a common attractor.</w:t>
      </w:r>
    </w:p>
    <w:p w14:paraId="17CD9C47" w14:textId="77777777" w:rsidR="005B74EC" w:rsidRDefault="00000000" w:rsidP="007A29E7">
      <w:pPr>
        <w:spacing w:after="120"/>
      </w:pPr>
      <w:r>
        <w:t>For surveillance sandbox design, this implies that providing agents with more complete visibility into a shared constraint field does not guarantee behavioral convergence. Full transparency about the constraint landscape may actually increase behavioral diversity across training runs, complicating evaluation and certification. This is a non-obvious finding that challenges common assumptions in AI safety sandbox design.</w:t>
      </w:r>
    </w:p>
    <w:p w14:paraId="45F11E9E" w14:textId="77777777" w:rsidR="005B74EC" w:rsidRDefault="00000000" w:rsidP="007A29E7">
      <w:pPr>
        <w:spacing w:before="240" w:after="80"/>
      </w:pPr>
      <w:r>
        <w:rPr>
          <w:b/>
        </w:rPr>
        <w:t>6.4 The SSS/ELR Metric Gap</w:t>
      </w:r>
    </w:p>
    <w:p w14:paraId="4E307089" w14:textId="77777777" w:rsidR="005B74EC" w:rsidRDefault="00000000" w:rsidP="007A29E7">
      <w:pPr>
        <w:spacing w:after="120"/>
      </w:pPr>
      <w:r>
        <w:t>The failure to persist sustained_structure_score and exploitation_loop_rate as per-seed scalar summaries is a genuine limitation. All confirmatory hypothesis tests use proxy measures that depart from the preregistered specifications in important ways. Commit b1c1bb1 corrects this for future runs, but cannot retroactively recover the primary metrics for the 200 completed seeds.</w:t>
      </w:r>
    </w:p>
    <w:p w14:paraId="335A0925" w14:textId="77777777" w:rsidR="005B74EC" w:rsidRDefault="00000000" w:rsidP="007A29E7">
      <w:pPr>
        <w:spacing w:after="120"/>
      </w:pPr>
      <w:r>
        <w:t>The effect on conclusions is bounded but real. H1’s proxy result (r = 0.96 on entropy-SSS correlation) is very likely conservative: the coupling coefficient captures whether the field creates temporal dynamics in SSS, not whether mean SSS is elevated. The primary H1 test (mean SSS higher in A than C) could in principle show a different pattern from the coupling coefficient, though this is unlikely given the mechanistic confirmation’s strength. H2’s proxy (reward) is more problematic: reward conflates multiple behavioral components, and the direction of the proxy is ambiguous relative to the ELR construct. Future runs with corrected metric persistence would resolve these ambiguities.</w:t>
      </w:r>
    </w:p>
    <w:p w14:paraId="201D8DF6" w14:textId="77777777" w:rsidR="005B74EC" w:rsidRDefault="00000000" w:rsidP="007A29E7">
      <w:pPr>
        <w:spacing w:before="240" w:after="80"/>
      </w:pPr>
      <w:r>
        <w:rPr>
          <w:b/>
        </w:rPr>
        <w:t>6.5 Series Trajectory</w:t>
      </w:r>
    </w:p>
    <w:p w14:paraId="28DBCEB7" w14:textId="77777777" w:rsidR="005B74EC" w:rsidRDefault="00000000" w:rsidP="007A29E7">
      <w:pPr>
        <w:spacing w:after="120"/>
      </w:pPr>
      <w:r>
        <w:t>Protocol 6 adds one new positive finding to the series: emergent constraint fields create mechanistically distinct temporal coupling. It also extends two established patterns: behavioral homogenization is the dominant attractor regardless of constraint origin, and constraint overhead reduces reward relative to unconstrained baselines regardless of constraint form. The cumulative message of P2–P6 is that alignment-relevant behavioral properties do not emerge from constraint architecture alone in this three-agent configuration, whether imposed or emergent. Whether larger populations, more heterogeneous architectures, or different reward structures would break the homogenization attractor remains an open question the current series cannot answer.</w:t>
      </w:r>
    </w:p>
    <w:p w14:paraId="13960CBD" w14:textId="77777777" w:rsidR="005B74EC" w:rsidRDefault="00000000" w:rsidP="007A29E7">
      <w:pPr>
        <w:spacing w:before="240" w:after="80"/>
      </w:pPr>
      <w:r>
        <w:rPr>
          <w:b/>
          <w:sz w:val="26"/>
        </w:rPr>
        <w:t>7. Conclusion</w:t>
      </w:r>
    </w:p>
    <w:p w14:paraId="7E73625B" w14:textId="77777777" w:rsidR="005B74EC" w:rsidRDefault="00000000" w:rsidP="007A29E7">
      <w:pPr>
        <w:spacing w:after="120"/>
      </w:pPr>
      <w:r>
        <w:t>Protocol 6 tested whether changing the origin of a constraint — from externally imposed to emergent through agent co-constitution — changes alignment-relevant behavioral outcomes in a three-agent MARL system. The answer is mechanistically yes and behaviorally no. The emergent constraint field is causally active: it creates a robust, consistent temporal coupling between field structure and behavioral coordination (median r = −0.680 across 50 seeds, p &lt; 0.001) that is entirely absent in the fixed-constraint and unconstrained conditions. This is a new finding in the series. But this mechanistic difference does not translate to better behavioral outcomes: the primary H2 comparison (emergent vs. fixed constraint) does not reach significance (p = 0.069), the H3 reversal contradicts the theoretical framing of local field perception as a source of heterogeneity, and behavioral homogenization remains the dominant attractor across all constrained conditions. The series pattern continues: imposing, deepening, or internalizing constraints does not produce sustained alignment-relevant behavior in this architecture. Passive emergence, like passive imposition, is insufficient as a governance strategy.</w:t>
      </w:r>
    </w:p>
    <w:p w14:paraId="1A74CF87" w14:textId="77777777" w:rsidR="007A29E7" w:rsidRDefault="007A29E7" w:rsidP="007A29E7">
      <w:pPr>
        <w:spacing w:after="120"/>
      </w:pPr>
    </w:p>
    <w:p w14:paraId="4F6A40AA" w14:textId="77777777" w:rsidR="007A29E7" w:rsidRDefault="007A29E7" w:rsidP="007A29E7">
      <w:pPr>
        <w:spacing w:after="120"/>
      </w:pPr>
    </w:p>
    <w:p w14:paraId="36B7679B" w14:textId="77777777" w:rsidR="007A29E7" w:rsidRDefault="007A29E7" w:rsidP="007A29E7">
      <w:pPr>
        <w:spacing w:after="120"/>
      </w:pPr>
    </w:p>
    <w:p w14:paraId="2B914A00" w14:textId="77777777" w:rsidR="005B74EC" w:rsidRDefault="00000000" w:rsidP="007A29E7">
      <w:pPr>
        <w:spacing w:before="240" w:after="80"/>
      </w:pPr>
      <w:r>
        <w:rPr>
          <w:b/>
          <w:sz w:val="26"/>
        </w:rPr>
        <w:t>Integrity Chain</w:t>
      </w:r>
    </w:p>
    <w:p w14:paraId="7FD0AF19" w14:textId="77777777" w:rsidR="005B74EC" w:rsidRDefault="005B74EC" w:rsidP="007A29E7"/>
    <w:tbl>
      <w:tblPr>
        <w:tblStyle w:val="TableGrid"/>
        <w:tblW w:w="0" w:type="auto"/>
        <w:tblLook w:val="04A0" w:firstRow="1" w:lastRow="0" w:firstColumn="1" w:lastColumn="0" w:noHBand="0" w:noVBand="1"/>
      </w:tblPr>
      <w:tblGrid>
        <w:gridCol w:w="2880"/>
        <w:gridCol w:w="2880"/>
        <w:gridCol w:w="2880"/>
      </w:tblGrid>
      <w:tr w:rsidR="005B74EC" w14:paraId="1CE22580" w14:textId="77777777">
        <w:tc>
          <w:tcPr>
            <w:tcW w:w="2880" w:type="dxa"/>
          </w:tcPr>
          <w:p w14:paraId="03DA4EC4" w14:textId="77777777" w:rsidR="005B74EC" w:rsidRDefault="00000000" w:rsidP="007A29E7">
            <w:r>
              <w:rPr>
                <w:b/>
                <w:sz w:val="20"/>
              </w:rPr>
              <w:t>Event</w:t>
            </w:r>
          </w:p>
        </w:tc>
        <w:tc>
          <w:tcPr>
            <w:tcW w:w="2880" w:type="dxa"/>
          </w:tcPr>
          <w:p w14:paraId="690C7244" w14:textId="77777777" w:rsidR="005B74EC" w:rsidRDefault="00000000" w:rsidP="007A29E7">
            <w:r>
              <w:rPr>
                <w:b/>
                <w:sz w:val="20"/>
              </w:rPr>
              <w:t>Commit / Tag</w:t>
            </w:r>
          </w:p>
        </w:tc>
        <w:tc>
          <w:tcPr>
            <w:tcW w:w="2880" w:type="dxa"/>
          </w:tcPr>
          <w:p w14:paraId="1D889C55" w14:textId="77777777" w:rsidR="005B74EC" w:rsidRDefault="00000000" w:rsidP="007A29E7">
            <w:r>
              <w:rPr>
                <w:b/>
                <w:sz w:val="20"/>
              </w:rPr>
              <w:t>Date</w:t>
            </w:r>
          </w:p>
        </w:tc>
      </w:tr>
      <w:tr w:rsidR="005B74EC" w14:paraId="17DCB529" w14:textId="77777777">
        <w:tc>
          <w:tcPr>
            <w:tcW w:w="2880" w:type="dxa"/>
          </w:tcPr>
          <w:p w14:paraId="2AC550F4" w14:textId="77777777" w:rsidR="005B74EC" w:rsidRDefault="00000000" w:rsidP="007A29E7">
            <w:r>
              <w:rPr>
                <w:sz w:val="20"/>
              </w:rPr>
              <w:t>Project initialized</w:t>
            </w:r>
          </w:p>
        </w:tc>
        <w:tc>
          <w:tcPr>
            <w:tcW w:w="2880" w:type="dxa"/>
          </w:tcPr>
          <w:p w14:paraId="6EBF75FB" w14:textId="77777777" w:rsidR="005B74EC" w:rsidRDefault="00000000" w:rsidP="007A29E7">
            <w:r>
              <w:rPr>
                <w:sz w:val="20"/>
              </w:rPr>
              <w:t>9765ac0 (tag: p6-init)</w:t>
            </w:r>
          </w:p>
        </w:tc>
        <w:tc>
          <w:tcPr>
            <w:tcW w:w="2880" w:type="dxa"/>
          </w:tcPr>
          <w:p w14:paraId="421E1A1D" w14:textId="77777777" w:rsidR="005B74EC" w:rsidRDefault="00000000" w:rsidP="007A29E7">
            <w:r>
              <w:rPr>
                <w:sz w:val="20"/>
              </w:rPr>
              <w:t>2026-03-27</w:t>
            </w:r>
          </w:p>
        </w:tc>
      </w:tr>
      <w:tr w:rsidR="005B74EC" w14:paraId="6A5593BA" w14:textId="77777777">
        <w:tc>
          <w:tcPr>
            <w:tcW w:w="2880" w:type="dxa"/>
          </w:tcPr>
          <w:p w14:paraId="091EAB95" w14:textId="77777777" w:rsidR="005B74EC" w:rsidRDefault="00000000" w:rsidP="007A29E7">
            <w:r>
              <w:rPr>
                <w:sz w:val="20"/>
              </w:rPr>
              <w:t>P5 engine ported</w:t>
            </w:r>
          </w:p>
        </w:tc>
        <w:tc>
          <w:tcPr>
            <w:tcW w:w="2880" w:type="dxa"/>
          </w:tcPr>
          <w:p w14:paraId="78A923C1" w14:textId="77777777" w:rsidR="005B74EC" w:rsidRDefault="00000000" w:rsidP="007A29E7">
            <w:r>
              <w:rPr>
                <w:sz w:val="20"/>
              </w:rPr>
              <w:t>8d62d0a</w:t>
            </w:r>
          </w:p>
        </w:tc>
        <w:tc>
          <w:tcPr>
            <w:tcW w:w="2880" w:type="dxa"/>
          </w:tcPr>
          <w:p w14:paraId="0BCD9EE6" w14:textId="77777777" w:rsidR="005B74EC" w:rsidRDefault="00000000" w:rsidP="007A29E7">
            <w:r>
              <w:rPr>
                <w:sz w:val="20"/>
              </w:rPr>
              <w:t>2026-03-27</w:t>
            </w:r>
          </w:p>
        </w:tc>
      </w:tr>
      <w:tr w:rsidR="005B74EC" w14:paraId="312B1763" w14:textId="77777777">
        <w:tc>
          <w:tcPr>
            <w:tcW w:w="2880" w:type="dxa"/>
          </w:tcPr>
          <w:p w14:paraId="70112CEB" w14:textId="77777777" w:rsidR="005B74EC" w:rsidRDefault="00000000" w:rsidP="007A29E7">
            <w:r>
              <w:rPr>
                <w:sz w:val="20"/>
              </w:rPr>
              <w:t>Deviation 1 — signal weight scale</w:t>
            </w:r>
          </w:p>
        </w:tc>
        <w:tc>
          <w:tcPr>
            <w:tcW w:w="2880" w:type="dxa"/>
          </w:tcPr>
          <w:p w14:paraId="5DF53838" w14:textId="77777777" w:rsidR="005B74EC" w:rsidRDefault="00000000" w:rsidP="007A29E7">
            <w:r>
              <w:rPr>
                <w:sz w:val="20"/>
              </w:rPr>
              <w:t>adca6fc</w:t>
            </w:r>
          </w:p>
        </w:tc>
        <w:tc>
          <w:tcPr>
            <w:tcW w:w="2880" w:type="dxa"/>
          </w:tcPr>
          <w:p w14:paraId="237A9822" w14:textId="77777777" w:rsidR="005B74EC" w:rsidRDefault="00000000" w:rsidP="007A29E7">
            <w:r>
              <w:rPr>
                <w:sz w:val="20"/>
              </w:rPr>
              <w:t>2026-03-28</w:t>
            </w:r>
          </w:p>
        </w:tc>
      </w:tr>
      <w:tr w:rsidR="005B74EC" w14:paraId="19784E16" w14:textId="77777777">
        <w:tc>
          <w:tcPr>
            <w:tcW w:w="2880" w:type="dxa"/>
          </w:tcPr>
          <w:p w14:paraId="5D2CEBEF" w14:textId="77777777" w:rsidR="005B74EC" w:rsidRDefault="00000000" w:rsidP="007A29E7">
            <w:r>
              <w:rPr>
                <w:sz w:val="20"/>
              </w:rPr>
              <w:t>Pilot config + run script</w:t>
            </w:r>
          </w:p>
        </w:tc>
        <w:tc>
          <w:tcPr>
            <w:tcW w:w="2880" w:type="dxa"/>
          </w:tcPr>
          <w:p w14:paraId="1F6407CB" w14:textId="77777777" w:rsidR="005B74EC" w:rsidRDefault="00000000" w:rsidP="007A29E7">
            <w:r>
              <w:rPr>
                <w:sz w:val="20"/>
              </w:rPr>
              <w:t>326d9f4</w:t>
            </w:r>
          </w:p>
        </w:tc>
        <w:tc>
          <w:tcPr>
            <w:tcW w:w="2880" w:type="dxa"/>
          </w:tcPr>
          <w:p w14:paraId="5B8BB3A9" w14:textId="77777777" w:rsidR="005B74EC" w:rsidRDefault="00000000" w:rsidP="007A29E7">
            <w:r>
              <w:rPr>
                <w:sz w:val="20"/>
              </w:rPr>
              <w:t>2026-03-28</w:t>
            </w:r>
          </w:p>
        </w:tc>
      </w:tr>
      <w:tr w:rsidR="005B74EC" w14:paraId="7CBD55FB" w14:textId="77777777">
        <w:tc>
          <w:tcPr>
            <w:tcW w:w="2880" w:type="dxa"/>
          </w:tcPr>
          <w:p w14:paraId="375866DA" w14:textId="77777777" w:rsidR="005B74EC" w:rsidRDefault="00000000" w:rsidP="007A29E7">
            <w:r>
              <w:rPr>
                <w:sz w:val="20"/>
              </w:rPr>
              <w:t>Pilot complete (60 runs)</w:t>
            </w:r>
          </w:p>
        </w:tc>
        <w:tc>
          <w:tcPr>
            <w:tcW w:w="2880" w:type="dxa"/>
          </w:tcPr>
          <w:p w14:paraId="556E9043" w14:textId="77777777" w:rsidR="005B74EC" w:rsidRDefault="00000000" w:rsidP="007A29E7">
            <w:r>
              <w:rPr>
                <w:sz w:val="20"/>
              </w:rPr>
              <w:t>8bf2f6f</w:t>
            </w:r>
          </w:p>
        </w:tc>
        <w:tc>
          <w:tcPr>
            <w:tcW w:w="2880" w:type="dxa"/>
          </w:tcPr>
          <w:p w14:paraId="0DA136BB" w14:textId="77777777" w:rsidR="005B74EC" w:rsidRDefault="00000000" w:rsidP="007A29E7">
            <w:r>
              <w:rPr>
                <w:sz w:val="20"/>
              </w:rPr>
              <w:t>2026-03-28</w:t>
            </w:r>
          </w:p>
        </w:tc>
      </w:tr>
      <w:tr w:rsidR="005B74EC" w14:paraId="0F0A584E" w14:textId="77777777">
        <w:tc>
          <w:tcPr>
            <w:tcW w:w="2880" w:type="dxa"/>
          </w:tcPr>
          <w:p w14:paraId="06988B47" w14:textId="77777777" w:rsidR="005B74EC" w:rsidRDefault="00000000" w:rsidP="007A29E7">
            <w:r>
              <w:rPr>
                <w:sz w:val="20"/>
              </w:rPr>
              <w:t>Preregistration SHA-256 locked</w:t>
            </w:r>
          </w:p>
        </w:tc>
        <w:tc>
          <w:tcPr>
            <w:tcW w:w="2880" w:type="dxa"/>
          </w:tcPr>
          <w:p w14:paraId="2523D778" w14:textId="77777777" w:rsidR="005B74EC" w:rsidRDefault="00000000" w:rsidP="007A29E7">
            <w:r>
              <w:rPr>
                <w:sz w:val="20"/>
              </w:rPr>
              <w:t>1ea0b51 (tag: p6-prereg-lock)</w:t>
            </w:r>
          </w:p>
        </w:tc>
        <w:tc>
          <w:tcPr>
            <w:tcW w:w="2880" w:type="dxa"/>
          </w:tcPr>
          <w:p w14:paraId="6B0DE4AB" w14:textId="77777777" w:rsidR="005B74EC" w:rsidRDefault="00000000" w:rsidP="007A29E7">
            <w:r>
              <w:rPr>
                <w:sz w:val="20"/>
              </w:rPr>
              <w:t>2026-03-28</w:t>
            </w:r>
          </w:p>
        </w:tc>
      </w:tr>
      <w:tr w:rsidR="005B74EC" w14:paraId="6CDC57A8" w14:textId="77777777">
        <w:tc>
          <w:tcPr>
            <w:tcW w:w="2880" w:type="dxa"/>
          </w:tcPr>
          <w:p w14:paraId="1AEA5645" w14:textId="77777777" w:rsidR="005B74EC" w:rsidRDefault="00000000" w:rsidP="007A29E7">
            <w:r>
              <w:rPr>
                <w:sz w:val="20"/>
              </w:rPr>
              <w:t>Zenodo DOI locked</w:t>
            </w:r>
          </w:p>
        </w:tc>
        <w:tc>
          <w:tcPr>
            <w:tcW w:w="2880" w:type="dxa"/>
          </w:tcPr>
          <w:p w14:paraId="2AFC55CE" w14:textId="77777777" w:rsidR="005B74EC" w:rsidRDefault="00000000" w:rsidP="007A29E7">
            <w:r>
              <w:rPr>
                <w:sz w:val="20"/>
              </w:rPr>
              <w:t>ff3fdb6</w:t>
            </w:r>
          </w:p>
        </w:tc>
        <w:tc>
          <w:tcPr>
            <w:tcW w:w="2880" w:type="dxa"/>
          </w:tcPr>
          <w:p w14:paraId="2D749747" w14:textId="77777777" w:rsidR="005B74EC" w:rsidRDefault="00000000" w:rsidP="007A29E7">
            <w:r>
              <w:rPr>
                <w:sz w:val="20"/>
              </w:rPr>
              <w:t>2026-03-28</w:t>
            </w:r>
          </w:p>
        </w:tc>
      </w:tr>
      <w:tr w:rsidR="005B74EC" w14:paraId="553D530C" w14:textId="77777777">
        <w:tc>
          <w:tcPr>
            <w:tcW w:w="2880" w:type="dxa"/>
          </w:tcPr>
          <w:p w14:paraId="5C1BB234" w14:textId="77777777" w:rsidR="005B74EC" w:rsidRDefault="00000000" w:rsidP="007A29E7">
            <w:r>
              <w:rPr>
                <w:sz w:val="20"/>
              </w:rPr>
              <w:t>AI committee predictions committed</w:t>
            </w:r>
          </w:p>
        </w:tc>
        <w:tc>
          <w:tcPr>
            <w:tcW w:w="2880" w:type="dxa"/>
          </w:tcPr>
          <w:p w14:paraId="2D905D91" w14:textId="77777777" w:rsidR="005B74EC" w:rsidRDefault="00000000" w:rsidP="007A29E7">
            <w:r>
              <w:rPr>
                <w:sz w:val="20"/>
              </w:rPr>
              <w:t>7625fe1</w:t>
            </w:r>
          </w:p>
        </w:tc>
        <w:tc>
          <w:tcPr>
            <w:tcW w:w="2880" w:type="dxa"/>
          </w:tcPr>
          <w:p w14:paraId="16625400" w14:textId="77777777" w:rsidR="005B74EC" w:rsidRDefault="00000000" w:rsidP="007A29E7">
            <w:r>
              <w:rPr>
                <w:sz w:val="20"/>
              </w:rPr>
              <w:t>2026-03-28</w:t>
            </w:r>
          </w:p>
        </w:tc>
      </w:tr>
      <w:tr w:rsidR="005B74EC" w14:paraId="7C164716" w14:textId="77777777">
        <w:tc>
          <w:tcPr>
            <w:tcW w:w="2880" w:type="dxa"/>
          </w:tcPr>
          <w:p w14:paraId="2CA7E567" w14:textId="77777777" w:rsidR="005B74EC" w:rsidRDefault="00000000" w:rsidP="007A29E7">
            <w:r>
              <w:rPr>
                <w:sz w:val="20"/>
              </w:rPr>
              <w:t>Four-condition confirmatory harness</w:t>
            </w:r>
          </w:p>
        </w:tc>
        <w:tc>
          <w:tcPr>
            <w:tcW w:w="2880" w:type="dxa"/>
          </w:tcPr>
          <w:p w14:paraId="4018656D" w14:textId="77777777" w:rsidR="005B74EC" w:rsidRDefault="00000000" w:rsidP="007A29E7">
            <w:r>
              <w:rPr>
                <w:sz w:val="20"/>
              </w:rPr>
              <w:t>da5cc47 (tag: p6-confirmatory-pre-run)</w:t>
            </w:r>
          </w:p>
        </w:tc>
        <w:tc>
          <w:tcPr>
            <w:tcW w:w="2880" w:type="dxa"/>
          </w:tcPr>
          <w:p w14:paraId="02F7EB9B" w14:textId="77777777" w:rsidR="005B74EC" w:rsidRDefault="00000000" w:rsidP="007A29E7">
            <w:r>
              <w:rPr>
                <w:sz w:val="20"/>
              </w:rPr>
              <w:t>2026-03-29</w:t>
            </w:r>
          </w:p>
        </w:tc>
      </w:tr>
      <w:tr w:rsidR="005B74EC" w14:paraId="720833F2" w14:textId="77777777">
        <w:tc>
          <w:tcPr>
            <w:tcW w:w="2880" w:type="dxa"/>
          </w:tcPr>
          <w:p w14:paraId="7DB21685" w14:textId="77777777" w:rsidR="005B74EC" w:rsidRDefault="00000000" w:rsidP="007A29E7">
            <w:r>
              <w:rPr>
                <w:sz w:val="20"/>
              </w:rPr>
              <w:t>Confirmatory runs complete (200 seeds)</w:t>
            </w:r>
          </w:p>
        </w:tc>
        <w:tc>
          <w:tcPr>
            <w:tcW w:w="2880" w:type="dxa"/>
          </w:tcPr>
          <w:p w14:paraId="3416E314" w14:textId="77777777" w:rsidR="005B74EC" w:rsidRDefault="00000000" w:rsidP="007A29E7">
            <w:r>
              <w:rPr>
                <w:sz w:val="20"/>
              </w:rPr>
              <w:t>4a12315 (tag: p6-confirmatory-complete)</w:t>
            </w:r>
          </w:p>
        </w:tc>
        <w:tc>
          <w:tcPr>
            <w:tcW w:w="2880" w:type="dxa"/>
          </w:tcPr>
          <w:p w14:paraId="6D124C5B" w14:textId="77777777" w:rsidR="005B74EC" w:rsidRDefault="00000000" w:rsidP="007A29E7">
            <w:r>
              <w:rPr>
                <w:sz w:val="20"/>
              </w:rPr>
              <w:t>2026-03-30</w:t>
            </w:r>
          </w:p>
        </w:tc>
      </w:tr>
      <w:tr w:rsidR="005B74EC" w14:paraId="61CB4AB8" w14:textId="77777777">
        <w:tc>
          <w:tcPr>
            <w:tcW w:w="2880" w:type="dxa"/>
          </w:tcPr>
          <w:p w14:paraId="3FBDB28A" w14:textId="77777777" w:rsidR="005B74EC" w:rsidRDefault="00000000" w:rsidP="007A29E7">
            <w:r>
              <w:rPr>
                <w:sz w:val="20"/>
              </w:rPr>
              <w:t>Statistical analysis added</w:t>
            </w:r>
          </w:p>
        </w:tc>
        <w:tc>
          <w:tcPr>
            <w:tcW w:w="2880" w:type="dxa"/>
          </w:tcPr>
          <w:p w14:paraId="6B773A10" w14:textId="77777777" w:rsidR="005B74EC" w:rsidRDefault="00000000" w:rsidP="007A29E7">
            <w:r>
              <w:rPr>
                <w:sz w:val="20"/>
              </w:rPr>
              <w:t>829be57</w:t>
            </w:r>
          </w:p>
        </w:tc>
        <w:tc>
          <w:tcPr>
            <w:tcW w:w="2880" w:type="dxa"/>
          </w:tcPr>
          <w:p w14:paraId="57FB6129" w14:textId="77777777" w:rsidR="005B74EC" w:rsidRDefault="00000000" w:rsidP="007A29E7">
            <w:r>
              <w:rPr>
                <w:sz w:val="20"/>
              </w:rPr>
              <w:t>2026-03-30</w:t>
            </w:r>
          </w:p>
        </w:tc>
      </w:tr>
      <w:tr w:rsidR="005B74EC" w14:paraId="5F70F8FB" w14:textId="77777777">
        <w:tc>
          <w:tcPr>
            <w:tcW w:w="2880" w:type="dxa"/>
          </w:tcPr>
          <w:p w14:paraId="4EFE531A" w14:textId="77777777" w:rsidR="005B74EC" w:rsidRDefault="00000000" w:rsidP="007A29E7">
            <w:r>
              <w:rPr>
                <w:sz w:val="20"/>
              </w:rPr>
              <w:t>Confirmatory findings report</w:t>
            </w:r>
          </w:p>
        </w:tc>
        <w:tc>
          <w:tcPr>
            <w:tcW w:w="2880" w:type="dxa"/>
          </w:tcPr>
          <w:p w14:paraId="0DC6F99F" w14:textId="77777777" w:rsidR="005B74EC" w:rsidRDefault="00000000" w:rsidP="007A29E7">
            <w:r>
              <w:rPr>
                <w:sz w:val="20"/>
              </w:rPr>
              <w:t>dff15e6</w:t>
            </w:r>
          </w:p>
        </w:tc>
        <w:tc>
          <w:tcPr>
            <w:tcW w:w="2880" w:type="dxa"/>
          </w:tcPr>
          <w:p w14:paraId="2562EED4" w14:textId="77777777" w:rsidR="005B74EC" w:rsidRDefault="00000000" w:rsidP="007A29E7">
            <w:r>
              <w:rPr>
                <w:sz w:val="20"/>
              </w:rPr>
              <w:t>2026-03-30</w:t>
            </w:r>
          </w:p>
        </w:tc>
      </w:tr>
      <w:tr w:rsidR="005B74EC" w14:paraId="7A317D39" w14:textId="77777777">
        <w:tc>
          <w:tcPr>
            <w:tcW w:w="2880" w:type="dxa"/>
          </w:tcPr>
          <w:p w14:paraId="0C0C9758" w14:textId="77777777" w:rsidR="005B74EC" w:rsidRDefault="00000000" w:rsidP="007A29E7">
            <w:r>
              <w:rPr>
                <w:sz w:val="20"/>
              </w:rPr>
              <w:t>AI committee scoring report</w:t>
            </w:r>
          </w:p>
        </w:tc>
        <w:tc>
          <w:tcPr>
            <w:tcW w:w="2880" w:type="dxa"/>
          </w:tcPr>
          <w:p w14:paraId="5A16BC7F" w14:textId="77777777" w:rsidR="005B74EC" w:rsidRDefault="00000000" w:rsidP="007A29E7">
            <w:r>
              <w:rPr>
                <w:sz w:val="20"/>
              </w:rPr>
              <w:t>eb343b5</w:t>
            </w:r>
          </w:p>
        </w:tc>
        <w:tc>
          <w:tcPr>
            <w:tcW w:w="2880" w:type="dxa"/>
          </w:tcPr>
          <w:p w14:paraId="354A3073" w14:textId="77777777" w:rsidR="005B74EC" w:rsidRDefault="00000000" w:rsidP="007A29E7">
            <w:r>
              <w:rPr>
                <w:sz w:val="20"/>
              </w:rPr>
              <w:t>2026-03-30</w:t>
            </w:r>
          </w:p>
        </w:tc>
      </w:tr>
      <w:tr w:rsidR="005B74EC" w14:paraId="18739126" w14:textId="77777777">
        <w:tc>
          <w:tcPr>
            <w:tcW w:w="2880" w:type="dxa"/>
          </w:tcPr>
          <w:p w14:paraId="579DDE8E" w14:textId="77777777" w:rsidR="005B74EC" w:rsidRDefault="00000000" w:rsidP="007A29E7">
            <w:r>
              <w:rPr>
                <w:sz w:val="20"/>
              </w:rPr>
              <w:t>SSS/ELR metric persistence fix</w:t>
            </w:r>
          </w:p>
        </w:tc>
        <w:tc>
          <w:tcPr>
            <w:tcW w:w="2880" w:type="dxa"/>
          </w:tcPr>
          <w:p w14:paraId="5E6FC853" w14:textId="77777777" w:rsidR="005B74EC" w:rsidRDefault="00000000" w:rsidP="007A29E7">
            <w:r>
              <w:rPr>
                <w:sz w:val="20"/>
              </w:rPr>
              <w:t>b1c1bb1</w:t>
            </w:r>
          </w:p>
        </w:tc>
        <w:tc>
          <w:tcPr>
            <w:tcW w:w="2880" w:type="dxa"/>
          </w:tcPr>
          <w:p w14:paraId="0164F0B9" w14:textId="77777777" w:rsidR="005B74EC" w:rsidRDefault="00000000" w:rsidP="007A29E7">
            <w:r>
              <w:rPr>
                <w:sz w:val="20"/>
              </w:rPr>
              <w:t>2026-03-30</w:t>
            </w:r>
          </w:p>
        </w:tc>
      </w:tr>
    </w:tbl>
    <w:p w14:paraId="24940B2A" w14:textId="77777777" w:rsidR="005B74EC" w:rsidRDefault="005B74EC" w:rsidP="007A29E7"/>
    <w:p w14:paraId="5E7D1D9D" w14:textId="77777777" w:rsidR="005B74EC" w:rsidRDefault="00000000" w:rsidP="007A29E7">
      <w:pPr>
        <w:spacing w:after="120"/>
      </w:pPr>
      <w:r>
        <w:t>Preregistration PDF: docs/Protocol6_Preregistration_v3.pdf</w:t>
      </w:r>
      <w:r>
        <w:br/>
        <w:t>SHA-256: c286a89037966e56630f5d3ce4cdb4a1621ce7ce9a0f7e7d477a06b8495dffc3</w:t>
      </w:r>
      <w:r>
        <w:br/>
        <w:t>Preregistration DOI: 10.5281/zenodo.19297509</w:t>
      </w:r>
      <w:r>
        <w:br/>
      </w:r>
      <w:r>
        <w:br/>
        <w:t>Logged deviations:</w:t>
      </w:r>
      <w:r>
        <w:br/>
        <w:t xml:space="preserve">  Deviation 1 (adca6fc): Signal weights scaled 0.1× pre-pilot (DECLARE 0.3→0.03, QUERY 0.1→0.01, RESPOND 0.2→0.02).</w:t>
      </w:r>
      <w:r>
        <w:br/>
        <w:t xml:space="preserve">  Deviation 2 (post-pilot): Field formation criterion revised from field_std &gt; 0.05 sustained &gt;50 epochs to field_mean &gt; 0.01 (activity-based). Research question revised from spatial differentiation to temporal coupling.</w:t>
      </w:r>
    </w:p>
    <w:p w14:paraId="00E5FFF2" w14:textId="77777777" w:rsidR="005B74EC" w:rsidRDefault="00000000">
      <w:pPr>
        <w:spacing w:before="240" w:after="80"/>
      </w:pPr>
      <w:r>
        <w:rPr>
          <w:b/>
          <w:sz w:val="26"/>
        </w:rPr>
        <w:t>References</w:t>
      </w:r>
    </w:p>
    <w:p w14:paraId="129891ED" w14:textId="77777777" w:rsidR="005B74EC" w:rsidRDefault="00000000">
      <w:pPr>
        <w:spacing w:after="80"/>
        <w:ind w:left="576" w:hanging="576"/>
      </w:pPr>
      <w:r>
        <w:rPr>
          <w:sz w:val="22"/>
        </w:rPr>
        <w:t>Axelrod, R. (1986). An evolutionary approach to norms. American Political Science Review, 80(4), 1095–1111.</w:t>
      </w:r>
    </w:p>
    <w:p w14:paraId="0222EE9E" w14:textId="77777777" w:rsidR="005B74EC" w:rsidRDefault="00000000">
      <w:pPr>
        <w:spacing w:after="80"/>
        <w:ind w:left="576" w:hanging="576"/>
      </w:pPr>
      <w:r>
        <w:rPr>
          <w:sz w:val="22"/>
        </w:rPr>
        <w:t>Goldbeter, A. (1996). Biochemical Oscillations and Cellular Rhythms. Cambridge University Press.</w:t>
      </w:r>
    </w:p>
    <w:p w14:paraId="1128E740" w14:textId="77777777" w:rsidR="005B74EC" w:rsidRDefault="00000000">
      <w:pPr>
        <w:spacing w:after="80"/>
        <w:ind w:left="576" w:hanging="576"/>
      </w:pPr>
      <w:r>
        <w:rPr>
          <w:sz w:val="22"/>
        </w:rPr>
        <w:t>Kessin, R. H. (2001). Dictyostelium: Evolution, Cell Biology, and the Development of Multicellularity. Cambridge University Press.</w:t>
      </w:r>
    </w:p>
    <w:p w14:paraId="693C34CA" w14:textId="77777777" w:rsidR="005B74EC" w:rsidRDefault="00000000">
      <w:pPr>
        <w:spacing w:after="80"/>
        <w:ind w:left="576" w:hanging="576"/>
      </w:pPr>
      <w:r>
        <w:rPr>
          <w:sz w:val="22"/>
        </w:rPr>
        <w:t>Ostrom, E. (1990). Governing the Commons: The Evolution of Institutions for Collective Action. Cambridge University Press.</w:t>
      </w:r>
    </w:p>
    <w:p w14:paraId="45C21ADD" w14:textId="77777777" w:rsidR="005B74EC" w:rsidRDefault="00000000">
      <w:pPr>
        <w:spacing w:after="80"/>
        <w:ind w:left="576" w:hanging="576"/>
      </w:pPr>
      <w:r>
        <w:rPr>
          <w:sz w:val="22"/>
        </w:rPr>
        <w:t>Tisler, B. (2026a). Ethics as Structural Necessity in Multi-Agent Reinforcement Learning Systems: Protocol 2 — Fixed Ethical Tax and the Query-Flooding Attractor [Preregistration]. Zenodo. https://doi.org/10.5281/zenodo.18929040</w:t>
      </w:r>
    </w:p>
    <w:p w14:paraId="428D5A9D" w14:textId="77777777" w:rsidR="005B74EC" w:rsidRDefault="00000000">
      <w:pPr>
        <w:spacing w:after="80"/>
        <w:ind w:left="576" w:hanging="576"/>
      </w:pPr>
      <w:r>
        <w:rPr>
          <w:sz w:val="22"/>
        </w:rPr>
        <w:t>Tisler, B. (2026b). Protocol 3 Preregistration: Constraint-Ethics-Necessity — Enforcement Opacity and the Limits of Regulatory Constraint Design [Preregistration]. Zenodo. https://doi.org/10.5281/zenodo.19096602</w:t>
      </w:r>
    </w:p>
    <w:p w14:paraId="43DA1A11" w14:textId="77777777" w:rsidR="005B74EC" w:rsidRDefault="00000000">
      <w:pPr>
        <w:spacing w:after="80"/>
        <w:ind w:left="576" w:hanging="576"/>
      </w:pPr>
      <w:r>
        <w:rPr>
          <w:sz w:val="22"/>
        </w:rPr>
        <w:t>Tisler, B. (2026c). Protocol 4 Preregistration: Ethics as Emergent Constraint Response — From Mimesis to Phase Transition in Multi-Agent Systems [Preregistration]. Zenodo. https://doi.org/10.5281/zenodo.19005417</w:t>
      </w:r>
    </w:p>
    <w:p w14:paraId="2126E0A2" w14:textId="77777777" w:rsidR="005B74EC" w:rsidRDefault="00000000">
      <w:pPr>
        <w:spacing w:after="80"/>
        <w:ind w:left="576" w:hanging="576"/>
      </w:pPr>
      <w:r>
        <w:rPr>
          <w:sz w:val="22"/>
        </w:rPr>
        <w:t>Tisler, B. (2026d). Protocol 5 Preregistration: Ethics as Emergent Constraint Response — Temporal Integration Span and Prosocial Constraint Architecture as Necessary Conditions for Ethical Convergence [Preregistration]. Zenodo. https://doi.org/10.5281/zenodo.19038790</w:t>
      </w:r>
    </w:p>
    <w:p w14:paraId="6B847440" w14:textId="5BF58256" w:rsidR="005B74EC" w:rsidRDefault="00000000">
      <w:pPr>
        <w:spacing w:after="80"/>
        <w:ind w:left="576" w:hanging="576"/>
        <w:rPr>
          <w:sz w:val="22"/>
        </w:rPr>
      </w:pPr>
      <w:r>
        <w:rPr>
          <w:sz w:val="22"/>
        </w:rPr>
        <w:t xml:space="preserve">Tisler, B. (2026e). Protocol 6 Preregistration: Emergent Constraint Landscapes as a Structural Alternative to Imposed Regulatory Constraint in Multi-Agent Systems [Preregistration]. Zenodo. </w:t>
      </w:r>
      <w:hyperlink r:id="rId6" w:history="1">
        <w:r w:rsidR="007A29E7" w:rsidRPr="00242C45">
          <w:rPr>
            <w:rStyle w:val="Hyperlink"/>
            <w:sz w:val="22"/>
          </w:rPr>
          <w:t>https://doi.org/10.5281/zenodo.19297509</w:t>
        </w:r>
      </w:hyperlink>
    </w:p>
    <w:p w14:paraId="057BE5A6" w14:textId="77777777" w:rsidR="007A29E7" w:rsidRDefault="007A29E7">
      <w:pPr>
        <w:spacing w:after="80"/>
        <w:ind w:left="576" w:hanging="576"/>
        <w:rPr>
          <w:sz w:val="22"/>
        </w:rPr>
      </w:pPr>
    </w:p>
    <w:p w14:paraId="6741C02D" w14:textId="77777777" w:rsidR="007A29E7" w:rsidRPr="007A29E7" w:rsidRDefault="007A29E7" w:rsidP="007A29E7">
      <w:pPr>
        <w:spacing w:before="100" w:beforeAutospacing="1" w:after="100" w:afterAutospacing="1" w:line="240" w:lineRule="auto"/>
        <w:rPr>
          <w:rFonts w:eastAsia="Times New Roman" w:cs="Times New Roman"/>
          <w:szCs w:val="24"/>
        </w:rPr>
      </w:pPr>
      <w:r w:rsidRPr="007A29E7">
        <w:rPr>
          <w:rFonts w:eastAsia="Times New Roman" w:cs="Times New Roman"/>
          <w:b/>
          <w:bCs/>
          <w:szCs w:val="24"/>
        </w:rPr>
        <w:t>AI Use Declaration</w:t>
      </w:r>
    </w:p>
    <w:p w14:paraId="60766D8A" w14:textId="1A5CB49C" w:rsidR="007A29E7" w:rsidRPr="007A29E7" w:rsidRDefault="007A29E7" w:rsidP="007A29E7">
      <w:pPr>
        <w:spacing w:before="100" w:beforeAutospacing="1" w:after="100" w:afterAutospacing="1" w:line="240" w:lineRule="auto"/>
        <w:rPr>
          <w:rFonts w:eastAsia="Times New Roman" w:cs="Times New Roman"/>
          <w:szCs w:val="24"/>
        </w:rPr>
      </w:pPr>
      <w:r w:rsidRPr="007A29E7">
        <w:rPr>
          <w:rFonts w:eastAsia="Times New Roman" w:cs="Times New Roman"/>
          <w:szCs w:val="24"/>
        </w:rPr>
        <w:t>I use AI primarily Claude, ChatGPT, and Grok as reasoning partners, not authors. All research design, hypothesis formation, empirical execution, and authorship decisions are solely mine. AI is used to stress-test arguments, sharpen language, and accelerate inspection of logic. It does not generate original claims in my name.</w:t>
      </w:r>
    </w:p>
    <w:p w14:paraId="720F1D66" w14:textId="77777777" w:rsidR="007A29E7" w:rsidRPr="007A29E7" w:rsidRDefault="007A29E7" w:rsidP="007A29E7">
      <w:pPr>
        <w:spacing w:before="100" w:beforeAutospacing="1" w:after="100" w:afterAutospacing="1" w:line="240" w:lineRule="auto"/>
        <w:rPr>
          <w:rFonts w:eastAsia="Times New Roman" w:cs="Times New Roman"/>
          <w:szCs w:val="24"/>
        </w:rPr>
      </w:pPr>
      <w:r w:rsidRPr="007A29E7">
        <w:rPr>
          <w:rFonts w:eastAsia="Times New Roman" w:cs="Times New Roman"/>
          <w:szCs w:val="24"/>
        </w:rPr>
        <w:t>All preregistrations are locked before data collection. All deviations are disclosed. The output is mine to defend.</w:t>
      </w:r>
    </w:p>
    <w:p w14:paraId="48E7BE53" w14:textId="77777777" w:rsidR="007A29E7" w:rsidRPr="007A29E7" w:rsidRDefault="007A29E7" w:rsidP="007A29E7">
      <w:pPr>
        <w:spacing w:before="100" w:beforeAutospacing="1" w:after="100" w:afterAutospacing="1" w:line="240" w:lineRule="auto"/>
        <w:rPr>
          <w:rFonts w:eastAsia="Times New Roman" w:cs="Times New Roman"/>
          <w:szCs w:val="24"/>
        </w:rPr>
      </w:pPr>
      <w:r w:rsidRPr="007A29E7">
        <w:rPr>
          <w:rFonts w:eastAsia="Times New Roman" w:cs="Times New Roman"/>
          <w:i/>
          <w:iCs/>
          <w:szCs w:val="24"/>
        </w:rPr>
        <w:t xml:space="preserve">For the full account of how and why I work this way: </w:t>
      </w:r>
      <w:hyperlink r:id="rId7" w:history="1">
        <w:r w:rsidRPr="007A29E7">
          <w:rPr>
            <w:rFonts w:eastAsia="Times New Roman" w:cs="Times New Roman"/>
            <w:i/>
            <w:iCs/>
            <w:color w:val="0000FF"/>
            <w:szCs w:val="24"/>
            <w:u w:val="single"/>
          </w:rPr>
          <w:t>AI and Me →</w:t>
        </w:r>
      </w:hyperlink>
    </w:p>
    <w:p w14:paraId="1E410214" w14:textId="77777777" w:rsidR="007A29E7" w:rsidRDefault="007A29E7">
      <w:pPr>
        <w:spacing w:after="80"/>
        <w:ind w:left="576" w:hanging="576"/>
      </w:pPr>
    </w:p>
    <w:sectPr w:rsidR="007A29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342828">
    <w:abstractNumId w:val="8"/>
  </w:num>
  <w:num w:numId="2" w16cid:durableId="1913587419">
    <w:abstractNumId w:val="6"/>
  </w:num>
  <w:num w:numId="3" w16cid:durableId="2089181571">
    <w:abstractNumId w:val="5"/>
  </w:num>
  <w:num w:numId="4" w16cid:durableId="1227104632">
    <w:abstractNumId w:val="4"/>
  </w:num>
  <w:num w:numId="5" w16cid:durableId="224146226">
    <w:abstractNumId w:val="7"/>
  </w:num>
  <w:num w:numId="6" w16cid:durableId="1477185113">
    <w:abstractNumId w:val="3"/>
  </w:num>
  <w:num w:numId="7" w16cid:durableId="1227491367">
    <w:abstractNumId w:val="2"/>
  </w:num>
  <w:num w:numId="8" w16cid:durableId="930429949">
    <w:abstractNumId w:val="1"/>
  </w:num>
  <w:num w:numId="9" w16cid:durableId="2044943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74EC"/>
    <w:rsid w:val="007A29E7"/>
    <w:rsid w:val="00A908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CEEF2"/>
  <w14:defaultImageDpi w14:val="300"/>
  <w15:docId w15:val="{361D1F29-DCA7-498D-8E17-0FAE2424A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29E7"/>
    <w:rPr>
      <w:color w:val="0000FF" w:themeColor="hyperlink"/>
      <w:u w:val="single"/>
    </w:rPr>
  </w:style>
  <w:style w:type="character" w:styleId="UnresolvedMention">
    <w:name w:val="Unresolved Mention"/>
    <w:basedOn w:val="DefaultParagraphFont"/>
    <w:uiPriority w:val="99"/>
    <w:semiHidden/>
    <w:unhideWhenUsed/>
    <w:rsid w:val="007A29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quantuminquiry.org/ai-and-m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5281/zenodo.19297509"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4832</Words>
  <Characters>27546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Bruce Tisler</cp:lastModifiedBy>
  <cp:revision>2</cp:revision>
  <cp:lastPrinted>2026-04-09T14:39:00Z</cp:lastPrinted>
  <dcterms:created xsi:type="dcterms:W3CDTF">2013-12-23T23:15:00Z</dcterms:created>
  <dcterms:modified xsi:type="dcterms:W3CDTF">2026-04-09T14:39:00Z</dcterms:modified>
  <cp:category/>
</cp:coreProperties>
</file>