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A7C5E"/>
          <w:sz w:val="72"/>
          <w:szCs w:val="72"/>
        </w:rPr>
        <w:t xml:space="preserve">CyberMeters</w:t>
      </w:r>
    </w:p>
    <w:p>
      <w:pPr>
        <w:spacing w:after="80" w:before="0"/>
        <w:jc w:val="center"/>
      </w:pPr>
      <w:r>
        <w:rPr>
          <w:rFonts w:ascii="Arial" w:cs="Arial" w:eastAsia="Arial" w:hAnsi="Arial"/>
          <w:b w:val="false"/>
          <w:bCs w:val="false"/>
          <w:color w:val="1A1A2E"/>
          <w:sz w:val="48"/>
          <w:szCs w:val="48"/>
        </w:rPr>
        <w:t xml:space="preserve">Go-To-Market Planning</w:t>
      </w:r>
    </w:p>
    <w:p>
      <w:pPr>
        <w:spacing w:after="400" w:before="0"/>
        <w:jc w:val="center"/>
      </w:pPr>
      <w:r>
        <w:rPr>
          <w:rFonts w:ascii="Arial" w:cs="Arial" w:eastAsia="Arial" w:hAnsi="Arial"/>
          <w:color w:val="3B4A6B"/>
          <w:sz w:val="24"/>
          <w:szCs w:val="24"/>
        </w:rPr>
        <w:t xml:space="preserve">First Customer Segment Analysis &amp; Acquisition Strategy</w:t>
      </w:r>
    </w:p>
    <w:p>
      <w:pPr>
        <w:spacing w:after="600" w:before="0"/>
        <w:jc w:val="center"/>
      </w:pPr>
      <w:r>
        <w:rPr>
          <w:rFonts w:ascii="Arial" w:cs="Arial" w:eastAsia="Arial" w:hAnsi="Arial"/>
          <w:color w:val="AAAAAA"/>
          <w:sz w:val="20"/>
          <w:szCs w:val="20"/>
        </w:rPr>
        <w:t xml:space="preserve">June 2026  |  Confidential</w:t>
      </w:r>
    </w:p>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8D8E8" w:sz="1"/>
              <w:left w:val="single" w:color="C8D8E8" w:sz="1"/>
              <w:bottom w:val="single" w:color="C8D8E8" w:sz="1"/>
              <w:right w:val="single" w:color="C8D8E8" w:sz="1"/>
            </w:tcBorders>
            <w:shd w:fill="EAF4F0" w:val="clear"/>
            <w:tcMar>
              <w:top w:type="dxa" w:w="160"/>
              <w:left w:type="dxa" w:w="200"/>
              <w:bottom w:type="dxa" w:w="160"/>
              <w:right w:type="dxa" w:w="200"/>
            </w:tcMar>
          </w:tcPr>
          <w:p>
            <w:pPr>
              <w:jc w:val="center"/>
            </w:pPr>
            <w:r>
              <w:rPr>
                <w:rFonts w:ascii="Arial" w:cs="Arial" w:eastAsia="Arial" w:hAnsi="Arial"/>
                <w:b/>
                <w:bCs/>
                <w:color w:val="1A7C5E"/>
                <w:sz w:val="48"/>
                <w:szCs w:val="48"/>
              </w:rPr>
              <w:t xml:space="preserve">612K</w:t>
            </w:r>
          </w:p>
          <w:p>
            <w:pPr>
              <w:jc w:val="center"/>
            </w:pPr>
            <w:r>
              <w:rPr>
                <w:rFonts w:ascii="Arial" w:cs="Arial" w:eastAsia="Arial" w:hAnsi="Arial"/>
                <w:color w:val="3B4A6B"/>
                <w:sz w:val="16"/>
                <w:szCs w:val="16"/>
              </w:rPr>
              <w:t xml:space="preserve">UK businesses breached in 2025</w:t>
            </w:r>
          </w:p>
        </w:tc>
        <w:tc>
          <w:tcPr>
            <w:tcW w:type="dxa" w:w="2520"/>
            <w:tcBorders>
              <w:top w:val="single" w:color="C8D8E8" w:sz="1"/>
              <w:left w:val="single" w:color="C8D8E8" w:sz="1"/>
              <w:bottom w:val="single" w:color="C8D8E8" w:sz="1"/>
              <w:right w:val="single" w:color="C8D8E8" w:sz="1"/>
            </w:tcBorders>
            <w:shd w:fill="EAF4F0" w:val="clear"/>
            <w:tcMar>
              <w:top w:type="dxa" w:w="160"/>
              <w:left w:type="dxa" w:w="200"/>
              <w:bottom w:type="dxa" w:w="160"/>
              <w:right w:type="dxa" w:w="200"/>
            </w:tcMar>
          </w:tcPr>
          <w:p>
            <w:pPr>
              <w:jc w:val="center"/>
            </w:pPr>
            <w:r>
              <w:rPr>
                <w:rFonts w:ascii="Arial" w:cs="Arial" w:eastAsia="Arial" w:hAnsi="Arial"/>
                <w:b/>
                <w:bCs/>
                <w:color w:val="1A7C5E"/>
                <w:sz w:val="48"/>
                <w:szCs w:val="48"/>
              </w:rPr>
              <w:t xml:space="preserve">12,867</w:t>
            </w:r>
          </w:p>
          <w:p>
            <w:pPr>
              <w:jc w:val="center"/>
            </w:pPr>
            <w:r>
              <w:rPr>
                <w:rFonts w:ascii="Arial" w:cs="Arial" w:eastAsia="Arial" w:hAnsi="Arial"/>
                <w:color w:val="3B4A6B"/>
                <w:sz w:val="16"/>
                <w:szCs w:val="16"/>
              </w:rPr>
              <w:t xml:space="preserve">MSPs in the UK</w:t>
            </w:r>
          </w:p>
        </w:tc>
        <w:tc>
          <w:tcPr>
            <w:tcW w:type="dxa" w:w="2520"/>
            <w:tcBorders>
              <w:top w:val="single" w:color="C8D8E8" w:sz="1"/>
              <w:left w:val="single" w:color="C8D8E8" w:sz="1"/>
              <w:bottom w:val="single" w:color="C8D8E8" w:sz="1"/>
              <w:right w:val="single" w:color="C8D8E8" w:sz="1"/>
            </w:tcBorders>
            <w:shd w:fill="EAF4F0" w:val="clear"/>
            <w:tcMar>
              <w:top w:type="dxa" w:w="160"/>
              <w:left w:type="dxa" w:w="200"/>
              <w:bottom w:type="dxa" w:w="160"/>
              <w:right w:type="dxa" w:w="200"/>
            </w:tcMar>
          </w:tcPr>
          <w:p>
            <w:pPr>
              <w:jc w:val="center"/>
            </w:pPr>
            <w:r>
              <w:rPr>
                <w:rFonts w:ascii="Arial" w:cs="Arial" w:eastAsia="Arial" w:hAnsi="Arial"/>
                <w:b/>
                <w:bCs/>
                <w:color w:val="1A7C5E"/>
                <w:sz w:val="48"/>
                <w:szCs w:val="48"/>
              </w:rPr>
              <w:t xml:space="preserve">£60/mo</w:t>
            </w:r>
          </w:p>
          <w:p>
            <w:pPr>
              <w:jc w:val="center"/>
            </w:pPr>
            <w:r>
              <w:rPr>
                <w:rFonts w:ascii="Arial" w:cs="Arial" w:eastAsia="Arial" w:hAnsi="Arial"/>
                <w:color w:val="3B4A6B"/>
                <w:sz w:val="16"/>
                <w:szCs w:val="16"/>
              </w:rPr>
              <w:t xml:space="preserve">Estimated CyberMeters entry price</w:t>
            </w:r>
          </w:p>
        </w:tc>
        <w:tc>
          <w:tcPr>
            <w:tcW w:type="dxa" w:w="2520"/>
            <w:tcBorders>
              <w:top w:val="single" w:color="C8D8E8" w:sz="1"/>
              <w:left w:val="single" w:color="C8D8E8" w:sz="1"/>
              <w:bottom w:val="single" w:color="C8D8E8" w:sz="1"/>
              <w:right w:val="single" w:color="C8D8E8" w:sz="1"/>
            </w:tcBorders>
            <w:shd w:fill="EAF4F0" w:val="clear"/>
            <w:tcMar>
              <w:top w:type="dxa" w:w="160"/>
              <w:left w:type="dxa" w:w="200"/>
              <w:bottom w:type="dxa" w:w="160"/>
              <w:right w:type="dxa" w:w="200"/>
            </w:tcMar>
          </w:tcPr>
          <w:p>
            <w:pPr>
              <w:jc w:val="center"/>
            </w:pPr>
            <w:r>
              <w:rPr>
                <w:rFonts w:ascii="Arial" w:cs="Arial" w:eastAsia="Arial" w:hAnsi="Arial"/>
                <w:b/>
                <w:bCs/>
                <w:color w:val="1A7C5E"/>
                <w:sz w:val="48"/>
                <w:szCs w:val="48"/>
              </w:rPr>
              <w:t xml:space="preserve">£14.7bn</w:t>
            </w:r>
          </w:p>
          <w:p>
            <w:pPr>
              <w:jc w:val="center"/>
            </w:pPr>
            <w:r>
              <w:rPr>
                <w:rFonts w:ascii="Arial" w:cs="Arial" w:eastAsia="Arial" w:hAnsi="Arial"/>
                <w:color w:val="3B4A6B"/>
                <w:sz w:val="16"/>
                <w:szCs w:val="16"/>
              </w:rPr>
              <w:t xml:space="preserve">UK cybersecurity market 2025</w:t>
            </w:r>
          </w:p>
        </w:tc>
      </w:tr>
    </w:tbl>
    <w:p>
      <w:pPr>
        <w:spacing w:after="0" w:before="200"/>
      </w:pPr>
      <w:r>
        <w:t xml:space="preserve"/>
      </w:r>
    </w:p>
    <w:p>
      <w:r>
        <w:br w:type="page"/>
      </w:r>
    </w:p>
    <w:p>
      <w:pPr>
        <w:pStyle w:val="Heading1"/>
        <w:spacing w:after="120" w:before="400"/>
      </w:pPr>
      <w:r>
        <w:rPr>
          <w:rFonts w:ascii="Arial" w:cs="Arial" w:eastAsia="Arial" w:hAnsi="Arial"/>
          <w:b/>
          <w:bCs/>
          <w:color w:val="1A1A2E"/>
          <w:sz w:val="32"/>
          <w:szCs w:val="32"/>
        </w:rPr>
        <w:t xml:space="preserve">Executive Summary</w:t>
      </w:r>
    </w:p>
    <w:p>
      <w:pPr>
        <w:pBdr>
          <w:bottom w:val="single" w:color="1A7C5E" w:sz="8" w:space="1"/>
        </w:pBdr>
        <w:spacing w:after="160" w:before="0"/>
      </w:pPr>
      <w:r>
        <w:t xml:space="preserve"/>
      </w:r>
    </w:p>
    <w:p>
      <w:pPr>
        <w:spacing w:after="60" w:before="60"/>
      </w:pPr>
      <w:r>
        <w:rPr>
          <w:rFonts w:ascii="Arial" w:cs="Arial" w:eastAsia="Arial" w:hAnsi="Arial"/>
          <w:sz w:val="20"/>
          <w:szCs w:val="20"/>
        </w:rPr>
        <w:t xml:space="preserve">The UK cybersecurity market reached £14.7 billion in 2025, growing at 12% CAGR. In the same period, 43% of UK businesses reported a cyber breach — equating to 612,000 organisations. Meanwhile, the Cyber Security and Resilience Bill (Royal Assent expected 2026) is creating mandatory compliance obligations that ripple through Managed Service Providers and their entire client base.</w:t>
      </w:r>
    </w:p>
    <w:p>
      <w:pPr>
        <w:spacing w:after="0" w:before="40"/>
      </w:pPr>
      <w:r>
        <w:t xml:space="preserve"/>
      </w:r>
    </w:p>
    <w:p>
      <w:pPr>
        <w:spacing w:after="60" w:before="60"/>
      </w:pPr>
      <w:r>
        <w:rPr>
          <w:rFonts w:ascii="Arial" w:cs="Arial" w:eastAsia="Arial" w:hAnsi="Arial"/>
          <w:sz w:val="20"/>
          <w:szCs w:val="20"/>
        </w:rPr>
        <w:t xml:space="preserve">CyberMeters is positioned to serve this market as an affordable, automated external attack surface scanner. This document analyses six target segments, ranks them by commercial viability, and recommends a first-customer acquisition strategy.</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Key Recommendations</w:t>
      </w:r>
    </w:p>
    <w:p>
      <w:pPr>
        <w:spacing w:after="60" w:before="60"/>
      </w:pPr>
      <w:r>
        <w:rPr>
          <w:rFonts w:ascii="Arial" w:cs="Arial" w:eastAsia="Arial" w:hAnsi="Arial"/>
          <w:b/>
          <w:bCs/>
          <w:sz w:val="20"/>
          <w:szCs w:val="20"/>
        </w:rPr>
        <w:t xml:space="preserve">Primary target segment:</w:t>
      </w:r>
    </w:p>
    <w:p>
      <w:pPr>
        <w:spacing w:after="60" w:before="60"/>
      </w:pPr>
      <w:r>
        <w:rPr>
          <w:rFonts w:ascii="Arial" w:cs="Arial" w:eastAsia="Arial" w:hAnsi="Arial"/>
          <w:sz w:val="20"/>
          <w:szCs w:val="20"/>
        </w:rPr>
        <w:t xml:space="preserve">Cyber Security Consultancies — highest intent, lowest friction, fastest conversion.</w:t>
      </w:r>
    </w:p>
    <w:p>
      <w:pPr>
        <w:spacing w:after="0" w:before="40"/>
      </w:pPr>
      <w:r>
        <w:t xml:space="preserve"/>
      </w:r>
    </w:p>
    <w:p>
      <w:pPr>
        <w:spacing w:after="60" w:before="60"/>
      </w:pPr>
      <w:r>
        <w:rPr>
          <w:rFonts w:ascii="Arial" w:cs="Arial" w:eastAsia="Arial" w:hAnsi="Arial"/>
          <w:b/>
          <w:bCs/>
          <w:sz w:val="20"/>
          <w:szCs w:val="20"/>
        </w:rPr>
        <w:t xml:space="preserve">Secondary / channel target:</w:t>
      </w:r>
    </w:p>
    <w:p>
      <w:pPr>
        <w:spacing w:after="60" w:before="60"/>
      </w:pPr>
      <w:r>
        <w:rPr>
          <w:rFonts w:ascii="Arial" w:cs="Arial" w:eastAsia="Arial" w:hAnsi="Arial"/>
          <w:sz w:val="20"/>
          <w:szCs w:val="20"/>
        </w:rPr>
        <w:t xml:space="preserve">UK IT Support Companies and MSPs — white-label and per-seat model creates recurring revenue.</w:t>
      </w:r>
    </w:p>
    <w:p>
      <w:pPr>
        <w:spacing w:after="0" w:before="40"/>
      </w:pPr>
      <w:r>
        <w:t xml:space="preserve"/>
      </w:r>
    </w:p>
    <w:p>
      <w:pPr>
        <w:spacing w:after="60" w:before="60"/>
      </w:pPr>
      <w:r>
        <w:rPr>
          <w:rFonts w:ascii="Arial" w:cs="Arial" w:eastAsia="Arial" w:hAnsi="Arial"/>
          <w:b/>
          <w:bCs/>
          <w:sz w:val="20"/>
          <w:szCs w:val="20"/>
        </w:rPr>
        <w:t xml:space="preserve">Avoid at launch:</w:t>
      </w:r>
    </w:p>
    <w:p>
      <w:pPr>
        <w:spacing w:after="60" w:before="60"/>
      </w:pPr>
      <w:r>
        <w:rPr>
          <w:rFonts w:ascii="Arial" w:cs="Arial" w:eastAsia="Arial" w:hAnsi="Arial"/>
          <w:sz w:val="20"/>
          <w:szCs w:val="20"/>
        </w:rPr>
        <w:t xml:space="preserve">Direct-to-SMB sales. Too education-heavy, too price-sensitive. Reach them via the MSP channel instead.</w:t>
      </w:r>
    </w:p>
    <w:p>
      <w:r>
        <w:br w:type="page"/>
      </w:r>
    </w:p>
    <w:p>
      <w:pPr>
        <w:pStyle w:val="Heading1"/>
        <w:spacing w:after="120" w:before="400"/>
      </w:pPr>
      <w:r>
        <w:rPr>
          <w:rFonts w:ascii="Arial" w:cs="Arial" w:eastAsia="Arial" w:hAnsi="Arial"/>
          <w:b/>
          <w:bCs/>
          <w:color w:val="1A1A2E"/>
          <w:sz w:val="32"/>
          <w:szCs w:val="32"/>
        </w:rPr>
        <w:t xml:space="preserve">Market Context</w:t>
      </w:r>
    </w:p>
    <w:p>
      <w:pPr>
        <w:pBdr>
          <w:bottom w:val="single" w:color="1A7C5E" w:sz="8" w:space="1"/>
        </w:pBdr>
        <w:spacing w:after="160" w:before="0"/>
      </w:pPr>
      <w:r>
        <w:t xml:space="preserve"/>
      </w:r>
    </w:p>
    <w:p>
      <w:pPr>
        <w:pStyle w:val="Heading2"/>
        <w:spacing w:after="100" w:before="280"/>
      </w:pPr>
      <w:r>
        <w:rPr>
          <w:rFonts w:ascii="Arial" w:cs="Arial" w:eastAsia="Arial" w:hAnsi="Arial"/>
          <w:b/>
          <w:bCs/>
          <w:color w:val="1A7C5E"/>
          <w:sz w:val="26"/>
          <w:szCs w:val="26"/>
        </w:rPr>
        <w:t xml:space="preserve">UK Threat Landscape (2025–2026)</w:t>
      </w:r>
    </w:p>
    <w:p>
      <w:pPr>
        <w:pStyle w:val="ListParagraph"/>
        <w:numPr>
          <w:ilvl w:val="0"/>
          <w:numId w:val="2"/>
        </w:numPr>
        <w:spacing w:after="30" w:before="30"/>
      </w:pPr>
      <w:r>
        <w:rPr>
          <w:rFonts w:ascii="Arial" w:cs="Arial" w:eastAsia="Arial" w:hAnsi="Arial"/>
          <w:sz w:val="20"/>
          <w:szCs w:val="20"/>
        </w:rPr>
        <w:t xml:space="preserve">43% of UK businesses experienced a cyber attack or security breach in 2025 (612,000 organisations).</w:t>
      </w:r>
    </w:p>
    <w:p>
      <w:pPr>
        <w:pStyle w:val="ListParagraph"/>
        <w:numPr>
          <w:ilvl w:val="0"/>
          <w:numId w:val="2"/>
        </w:numPr>
        <w:spacing w:after="30" w:before="30"/>
      </w:pPr>
      <w:r>
        <w:rPr>
          <w:rFonts w:ascii="Arial" w:cs="Arial" w:eastAsia="Arial" w:hAnsi="Arial"/>
          <w:sz w:val="20"/>
          <w:szCs w:val="20"/>
        </w:rPr>
        <w:t xml:space="preserve">85% of successful cyber breaches involved phishing. Phishing remains the #1 threat vector.</w:t>
      </w:r>
    </w:p>
    <w:p>
      <w:pPr>
        <w:pStyle w:val="ListParagraph"/>
        <w:numPr>
          <w:ilvl w:val="0"/>
          <w:numId w:val="2"/>
        </w:numPr>
        <w:spacing w:after="30" w:before="30"/>
      </w:pPr>
      <w:r>
        <w:rPr>
          <w:rFonts w:ascii="Arial" w:cs="Arial" w:eastAsia="Arial" w:hAnsi="Arial"/>
          <w:sz w:val="20"/>
          <w:szCs w:val="20"/>
        </w:rPr>
        <w:t xml:space="preserve">Ransomware doubled year-on-year — affecting an estimated 19,000 UK organisations in 2025.</w:t>
      </w:r>
    </w:p>
    <w:p>
      <w:pPr>
        <w:pStyle w:val="ListParagraph"/>
        <w:numPr>
          <w:ilvl w:val="0"/>
          <w:numId w:val="2"/>
        </w:numPr>
        <w:spacing w:after="30" w:before="30"/>
      </w:pPr>
      <w:r>
        <w:rPr>
          <w:rFonts w:ascii="Arial" w:cs="Arial" w:eastAsia="Arial" w:hAnsi="Arial"/>
          <w:sz w:val="20"/>
          <w:szCs w:val="20"/>
        </w:rPr>
        <w:t xml:space="preserve">Average cost per breach: £990 (rising to £5,900 for cyber-facilitated fraud).</w:t>
      </w:r>
    </w:p>
    <w:p>
      <w:pPr>
        <w:pStyle w:val="ListParagraph"/>
        <w:numPr>
          <w:ilvl w:val="0"/>
          <w:numId w:val="2"/>
        </w:numPr>
        <w:spacing w:after="30" w:before="30"/>
      </w:pPr>
      <w:r>
        <w:rPr>
          <w:rFonts w:ascii="Arial" w:cs="Arial" w:eastAsia="Arial" w:hAnsi="Arial"/>
          <w:sz w:val="20"/>
          <w:szCs w:val="20"/>
        </w:rPr>
        <w:t xml:space="preserve">47% of businesses with fewer than 50 employees have zero cybersecurity budget.</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Regulatory Drivers</w:t>
      </w:r>
    </w:p>
    <w:p>
      <w:pPr>
        <w:pStyle w:val="ListParagraph"/>
        <w:numPr>
          <w:ilvl w:val="0"/>
          <w:numId w:val="2"/>
        </w:numPr>
        <w:spacing w:after="30" w:before="30"/>
      </w:pPr>
      <w:r>
        <w:rPr>
          <w:rFonts w:ascii="Arial" w:cs="Arial" w:eastAsia="Arial" w:hAnsi="Arial"/>
          <w:sz w:val="20"/>
          <w:szCs w:val="20"/>
        </w:rPr>
        <w:t xml:space="preserve">Cyber Security and Resilience Bill (2025–2026): Mandatory incident reporting within 24 hours; fines up to £17 million or 4% of global turnover. MSPs are directly in scope.</w:t>
      </w:r>
    </w:p>
    <w:p>
      <w:pPr>
        <w:pStyle w:val="ListParagraph"/>
        <w:numPr>
          <w:ilvl w:val="0"/>
          <w:numId w:val="2"/>
        </w:numPr>
        <w:spacing w:after="30" w:before="30"/>
      </w:pPr>
      <w:r>
        <w:rPr>
          <w:rFonts w:ascii="Arial" w:cs="Arial" w:eastAsia="Arial" w:hAnsi="Arial"/>
          <w:sz w:val="20"/>
          <w:szCs w:val="20"/>
        </w:rPr>
        <w:t xml:space="preserve">SRA (Solicitors Regulation Authority): Firms must show active, documented cyber programmes. Lexcel and CQS compliance require demonstrable controls.</w:t>
      </w:r>
    </w:p>
    <w:p>
      <w:pPr>
        <w:pStyle w:val="ListParagraph"/>
        <w:numPr>
          <w:ilvl w:val="0"/>
          <w:numId w:val="2"/>
        </w:numPr>
        <w:spacing w:after="30" w:before="30"/>
      </w:pPr>
      <w:r>
        <w:rPr>
          <w:rFonts w:ascii="Arial" w:cs="Arial" w:eastAsia="Arial" w:hAnsi="Arial"/>
          <w:sz w:val="20"/>
          <w:szCs w:val="20"/>
        </w:rPr>
        <w:t xml:space="preserve">HMRC: MFA is now mandatory on HMRC Agent Services accounts — directly affecting all accountancy practices.</w:t>
      </w:r>
    </w:p>
    <w:p>
      <w:pPr>
        <w:pStyle w:val="ListParagraph"/>
        <w:numPr>
          <w:ilvl w:val="0"/>
          <w:numId w:val="2"/>
        </w:numPr>
        <w:spacing w:after="30" w:before="30"/>
      </w:pPr>
      <w:r>
        <w:rPr>
          <w:rFonts w:ascii="Arial" w:cs="Arial" w:eastAsia="Arial" w:hAnsi="Arial"/>
          <w:sz w:val="20"/>
          <w:szCs w:val="20"/>
        </w:rPr>
        <w:t xml:space="preserve">UK GDPR: Ongoing obligation to protect personal data; Data Protection Officers required for high-risk processors.</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Competitive Pricing Landscape</w:t>
      </w:r>
    </w:p>
    <w:p>
      <w:pPr>
        <w:spacing w:after="60" w:before="60"/>
      </w:pPr>
      <w:r>
        <w:rPr>
          <w:rFonts w:ascii="Arial" w:cs="Arial" w:eastAsia="Arial" w:hAnsi="Arial"/>
          <w:sz w:val="20"/>
          <w:szCs w:val="20"/>
        </w:rPr>
        <w:t xml:space="preserve">CyberMeters sits in a significantly underserved price band: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840"/>
      </w:tblGrid>
      <w:tr>
        <w:tc>
          <w:tcPr>
            <w:tcW w:type="dxa" w:w="3360"/>
            <w:tcBorders>
              <w:top w:val="single" w:color="1A7C5E" w:sz="1"/>
              <w:left w:val="single" w:color="1A7C5E" w:sz="1"/>
              <w:bottom w:val="single" w:color="1A7C5E" w:sz="1"/>
              <w:right w:val="single" w:color="1A7C5E" w:sz="1"/>
            </w:tcBorders>
            <w:shd w:fill="1A7C5E" w:val="clear"/>
            <w:tcMar>
              <w:top w:type="dxa" w:w="80"/>
              <w:left w:type="dxa" w:w="160"/>
              <w:bottom w:type="dxa" w:w="80"/>
              <w:right w:type="dxa" w:w="160"/>
            </w:tcMar>
          </w:tcPr>
          <w:p>
            <w:r>
              <w:rPr>
                <w:rFonts w:ascii="Arial" w:cs="Arial" w:eastAsia="Arial" w:hAnsi="Arial"/>
                <w:b/>
                <w:bCs/>
                <w:color w:val="FFFFFF"/>
                <w:sz w:val="18"/>
                <w:szCs w:val="18"/>
              </w:rPr>
              <w:t xml:space="preserve">Competitor</w:t>
            </w:r>
          </w:p>
        </w:tc>
        <w:tc>
          <w:tcPr>
            <w:tcW w:type="dxa" w:w="2880"/>
            <w:tcBorders>
              <w:top w:val="single" w:color="1A7C5E" w:sz="1"/>
              <w:left w:val="single" w:color="1A7C5E" w:sz="1"/>
              <w:bottom w:val="single" w:color="1A7C5E" w:sz="1"/>
              <w:right w:val="single" w:color="1A7C5E" w:sz="1"/>
            </w:tcBorders>
            <w:shd w:fill="1A7C5E" w:val="clear"/>
            <w:tcMar>
              <w:top w:type="dxa" w:w="80"/>
              <w:left w:type="dxa" w:w="160"/>
              <w:bottom w:type="dxa" w:w="80"/>
              <w:right w:type="dxa" w:w="160"/>
            </w:tcMar>
          </w:tcPr>
          <w:p>
            <w:r>
              <w:rPr>
                <w:rFonts w:ascii="Arial" w:cs="Arial" w:eastAsia="Arial" w:hAnsi="Arial"/>
                <w:b/>
                <w:bCs/>
                <w:color w:val="FFFFFF"/>
                <w:sz w:val="18"/>
                <w:szCs w:val="18"/>
              </w:rPr>
              <w:t xml:space="preserve">Starting Price</w:t>
            </w:r>
          </w:p>
        </w:tc>
        <w:tc>
          <w:tcPr>
            <w:tcW w:type="dxa" w:w="3840"/>
            <w:tcBorders>
              <w:top w:val="single" w:color="1A7C5E" w:sz="1"/>
              <w:left w:val="single" w:color="1A7C5E" w:sz="1"/>
              <w:bottom w:val="single" w:color="1A7C5E" w:sz="1"/>
              <w:right w:val="single" w:color="1A7C5E" w:sz="1"/>
            </w:tcBorders>
            <w:shd w:fill="1A7C5E" w:val="clear"/>
            <w:tcMar>
              <w:top w:type="dxa" w:w="80"/>
              <w:left w:type="dxa" w:w="160"/>
              <w:bottom w:type="dxa" w:w="80"/>
              <w:right w:type="dxa" w:w="160"/>
            </w:tcMar>
          </w:tcPr>
          <w:p>
            <w:r>
              <w:rPr>
                <w:rFonts w:ascii="Arial" w:cs="Arial" w:eastAsia="Arial" w:hAnsi="Arial"/>
                <w:b/>
                <w:bCs/>
                <w:color w:val="FFFFFF"/>
                <w:sz w:val="18"/>
                <w:szCs w:val="18"/>
              </w:rPr>
              <w:t xml:space="preserve">Target Market</w:t>
            </w:r>
          </w:p>
        </w:tc>
      </w:tr>
      <w:tr>
        <w:tc>
          <w:tcPr>
            <w:tcW w:type="dxa" w:w="3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val="false"/>
                <w:bCs w:val="false"/>
                <w:color w:val="1A1A2E"/>
                <w:sz w:val="18"/>
                <w:szCs w:val="18"/>
              </w:rPr>
              <w:t xml:space="preserve">Detectify</w:t>
            </w:r>
          </w:p>
        </w:tc>
        <w:tc>
          <w:tcPr>
            <w:tcW w:type="dxa" w:w="2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val="false"/>
                <w:bCs w:val="false"/>
                <w:color w:val="1A1A2E"/>
                <w:sz w:val="18"/>
                <w:szCs w:val="18"/>
              </w:rPr>
              <w:t xml:space="preserve">~£340/month</w:t>
            </w:r>
          </w:p>
        </w:tc>
        <w:tc>
          <w:tcPr>
            <w:tcW w:type="dxa" w:w="38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Enterprise / developer teams</w:t>
            </w:r>
          </w:p>
        </w:tc>
      </w:tr>
      <w:tr>
        <w:tc>
          <w:tcPr>
            <w:tcW w:type="dxa" w:w="336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val="false"/>
                <w:bCs w:val="false"/>
                <w:color w:val="1A1A2E"/>
                <w:sz w:val="18"/>
                <w:szCs w:val="18"/>
              </w:rPr>
              <w:t xml:space="preserve">SecurityScorecard</w:t>
            </w:r>
          </w:p>
        </w:tc>
        <w:tc>
          <w:tcPr>
            <w:tcW w:type="dxa" w:w="288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val="false"/>
                <w:bCs w:val="false"/>
                <w:color w:val="1A1A2E"/>
                <w:sz w:val="18"/>
                <w:szCs w:val="18"/>
              </w:rPr>
              <w:t xml:space="preserve">Enterprise-priced (undisclosed)</w:t>
            </w:r>
          </w:p>
        </w:tc>
        <w:tc>
          <w:tcPr>
            <w:tcW w:type="dxa" w:w="384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sz w:val="18"/>
                <w:szCs w:val="18"/>
              </w:rPr>
              <w:t xml:space="preserve">Large enterprise, third-party risk</w:t>
            </w:r>
          </w:p>
        </w:tc>
      </w:tr>
      <w:tr>
        <w:tc>
          <w:tcPr>
            <w:tcW w:type="dxa" w:w="3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val="false"/>
                <w:bCs w:val="false"/>
                <w:color w:val="1A1A2E"/>
                <w:sz w:val="18"/>
                <w:szCs w:val="18"/>
              </w:rPr>
              <w:t xml:space="preserve">UpGuard</w:t>
            </w:r>
          </w:p>
        </w:tc>
        <w:tc>
          <w:tcPr>
            <w:tcW w:type="dxa" w:w="2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val="false"/>
                <w:bCs w:val="false"/>
                <w:color w:val="1A1A2E"/>
                <w:sz w:val="18"/>
                <w:szCs w:val="18"/>
              </w:rPr>
              <w:t xml:space="preserve">Enterprise-priced (undisclosed)</w:t>
            </w:r>
          </w:p>
        </w:tc>
        <w:tc>
          <w:tcPr>
            <w:tcW w:type="dxa" w:w="38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Enterprise vendor risk management</w:t>
            </w:r>
          </w:p>
        </w:tc>
      </w:tr>
      <w:tr>
        <w:tc>
          <w:tcPr>
            <w:tcW w:type="dxa" w:w="336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val="false"/>
                <w:bCs w:val="false"/>
                <w:color w:val="1A1A2E"/>
                <w:sz w:val="18"/>
                <w:szCs w:val="18"/>
              </w:rPr>
              <w:t xml:space="preserve">Censys ASM</w:t>
            </w:r>
          </w:p>
        </w:tc>
        <w:tc>
          <w:tcPr>
            <w:tcW w:type="dxa" w:w="288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val="false"/>
                <w:bCs w:val="false"/>
                <w:color w:val="1A1A2E"/>
                <w:sz w:val="18"/>
                <w:szCs w:val="18"/>
              </w:rPr>
              <w:t xml:space="preserve">~£48,000/year</w:t>
            </w:r>
          </w:p>
        </w:tc>
        <w:tc>
          <w:tcPr>
            <w:tcW w:type="dxa" w:w="384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sz w:val="18"/>
                <w:szCs w:val="18"/>
              </w:rPr>
              <w:t xml:space="preserve">Government, critical infrastructure</w:t>
            </w:r>
          </w:p>
        </w:tc>
      </w:tr>
      <w:tr>
        <w:tc>
          <w:tcPr>
            <w:tcW w:type="dxa" w:w="336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A7C5E"/>
                <w:sz w:val="18"/>
                <w:szCs w:val="18"/>
              </w:rPr>
              <w:t xml:space="preserve">CyberMeters (target)</w:t>
            </w:r>
          </w:p>
        </w:tc>
        <w:tc>
          <w:tcPr>
            <w:tcW w:type="dxa" w:w="2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b/>
                <w:bCs/>
                <w:color w:val="1A7C5E"/>
                <w:sz w:val="18"/>
                <w:szCs w:val="18"/>
              </w:rPr>
              <w:t xml:space="preserve">£60–£299/month</w:t>
            </w:r>
          </w:p>
        </w:tc>
        <w:tc>
          <w:tcPr>
            <w:tcW w:type="dxa" w:w="384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SMB, MSPs, consultancies</w:t>
            </w:r>
          </w:p>
        </w:tc>
      </w:tr>
    </w:tbl>
    <w:p>
      <w:pPr>
        <w:spacing w:after="0" w:before="60"/>
      </w:pPr>
      <w:r>
        <w:t xml:space="preserve"/>
      </w:r>
    </w:p>
    <w:p>
      <w:pPr>
        <w:spacing w:after="60" w:before="60"/>
      </w:pPr>
      <w:r>
        <w:rPr>
          <w:rFonts w:ascii="Arial" w:cs="Arial" w:eastAsia="Arial" w:hAnsi="Arial"/>
          <w:color w:val="3B4A6B"/>
          <w:sz w:val="20"/>
          <w:szCs w:val="20"/>
        </w:rPr>
        <w:t xml:space="preserve">Every enterprise EASM tool is priced out of reach for small businesses and independent consultants. CyberMeters is the only credible option in the £60–£299/month range.</w:t>
      </w:r>
    </w:p>
    <w:p>
      <w:r>
        <w:br w:type="page"/>
      </w:r>
    </w:p>
    <w:p>
      <w:pPr>
        <w:pStyle w:val="Heading1"/>
        <w:spacing w:after="120" w:before="400"/>
      </w:pPr>
      <w:r>
        <w:rPr>
          <w:rFonts w:ascii="Arial" w:cs="Arial" w:eastAsia="Arial" w:hAnsi="Arial"/>
          <w:b/>
          <w:bCs/>
          <w:color w:val="1A1A2E"/>
          <w:sz w:val="32"/>
          <w:szCs w:val="32"/>
        </w:rPr>
        <w:t xml:space="preserve">Segment Analysis</w:t>
      </w:r>
    </w:p>
    <w:p>
      <w:pPr>
        <w:pBdr>
          <w:bottom w:val="single" w:color="1A7C5E" w:sz="8" w:space="1"/>
        </w:pBdr>
        <w:spacing w:after="160" w:before="0"/>
      </w:pPr>
      <w:r>
        <w:t xml:space="preserve"/>
      </w:r>
    </w:p>
    <w:p>
      <w:pPr>
        <w:pStyle w:val="Heading2"/>
        <w:spacing w:after="100" w:before="280"/>
      </w:pPr>
      <w:r>
        <w:rPr>
          <w:rFonts w:ascii="Arial" w:cs="Arial" w:eastAsia="Arial" w:hAnsi="Arial"/>
          <w:b/>
          <w:bCs/>
          <w:color w:val="1A7C5E"/>
          <w:sz w:val="26"/>
          <w:szCs w:val="26"/>
        </w:rPr>
        <w:t xml:space="preserve">1. Cyber Security Consultancies</w:t>
      </w:r>
    </w:p>
    <w:p>
      <w:pPr>
        <w:spacing w:after="60" w:before="60"/>
      </w:pPr>
      <w:r>
        <w:rPr>
          <w:rFonts w:ascii="Arial" w:cs="Arial" w:eastAsia="Arial" w:hAnsi="Arial"/>
          <w:sz w:val="20"/>
          <w:szCs w:val="20"/>
        </w:rPr>
        <w:t xml:space="preserve">There are an estimated 2,603 active cybersecurity firms in the UK as of May 2026, with 20% year-on-year growth. Consultants regularly need automated scanning tools to deliver client engagements efficiently.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Pain Points</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Manual scanning is slow and expensive. Client engagements require evidence of external attack surface coverage. Tools like Detectify (£340/mo) are priced for single-client use, not multi-client consulting.</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Existing Solutions</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Detectify, Shodan (manual queries), Burp Suite, ad hoc scripts, nmap. Most have no purpose-built multi-client external scanner at this price.</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Buying Motivation</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Speed of delivery. One tool that covers 5–10 clients per month saves 3–5 hours of manual work per engagement. Justifiable as a business tool.</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Willingness to Pay</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£150–£500/month. They understand the value of tooling. Some will expense it immediately. Rate is trivial relative to day-rate billing (£500–£1,500/day).</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Recommended Package</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Pro / Consultant tier. Multi-domain scanning, exportable PDF reports for client delivery, API access for workflow integration.</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Sales Approach</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Direct outreach via LinkedIn. Target: Founders and directors of 2–20 person UK cyber consultancies. Offer 14-day free trial. Attend NCSC CyberUK, Infosecurity Europe.</w:t>
            </w:r>
          </w:p>
        </w:tc>
      </w:tr>
    </w:tbl>
    <w:p>
      <w:pPr>
        <w:spacing w:after="0" w:before="140"/>
      </w:pPr>
      <w:r>
        <w:t xml:space="preserve"/>
      </w:r>
    </w:p>
    <w:p>
      <w:pPr>
        <w:pStyle w:val="Heading2"/>
        <w:spacing w:after="100" w:before="280"/>
      </w:pPr>
      <w:r>
        <w:rPr>
          <w:rFonts w:ascii="Arial" w:cs="Arial" w:eastAsia="Arial" w:hAnsi="Arial"/>
          <w:b/>
          <w:bCs/>
          <w:color w:val="1A7C5E"/>
          <w:sz w:val="26"/>
          <w:szCs w:val="26"/>
        </w:rPr>
        <w:t xml:space="preserve">2. UK IT Support Companies</w:t>
      </w:r>
    </w:p>
    <w:p>
      <w:pPr>
        <w:spacing w:after="60" w:before="60"/>
      </w:pPr>
      <w:r>
        <w:rPr>
          <w:rFonts w:ascii="Arial" w:cs="Arial" w:eastAsia="Arial" w:hAnsi="Arial"/>
          <w:sz w:val="20"/>
          <w:szCs w:val="20"/>
        </w:rPr>
        <w:t xml:space="preserve">The UK has 12,867 active MSPs and IT support firms. Many are small (1–10 technicians) and are being pushed by clients and regulators to demonstrate security competence. The Cyber Security and Resilience Bill directly names MSPs in its scope.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Pain Points</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Clients ask “how secure are we?” but IT support firms lack the scanning tools to answer. Losing contracts to competitors who offer security reporting. Fear of liability under new legislation.</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Existing Solutions</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RMM tools (Datto, N-able, NinjaOne) cover endpoints but have no external domain security view. Some use manual checks or free tools (MXToolbox, Qualys free tier).</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Buying Motivation</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Add a billable security service line. Resell or bundle domain security scans as part of managed security packages. Differentiate against competitors at renewal time.</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Willingness to Pay</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£60–£200/month for a platform they white-label and charge clients £25–£75/month per domain. Net margin opportunity is strong.</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Recommended Package</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MSP / Partner tier. Multi-workspace scanning, white-label reports, bulk domain management. Per-seat pricing at volume discount.</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Sales Approach</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Partner programme with revenue share. Reach via CompTIA UK community, MSPAlliance, LinkedIn IT Support groups. Demo at managed services events (MSP Summit UK).</w:t>
            </w:r>
          </w:p>
        </w:tc>
      </w:tr>
    </w:tbl>
    <w:p>
      <w:pPr>
        <w:spacing w:after="0" w:before="140"/>
      </w:pPr>
      <w:r>
        <w:t xml:space="preserve"/>
      </w:r>
    </w:p>
    <w:p>
      <w:pPr>
        <w:pStyle w:val="Heading2"/>
        <w:spacing w:after="100" w:before="280"/>
      </w:pPr>
      <w:r>
        <w:rPr>
          <w:rFonts w:ascii="Arial" w:cs="Arial" w:eastAsia="Arial" w:hAnsi="Arial"/>
          <w:b/>
          <w:bCs/>
          <w:color w:val="1A7C5E"/>
          <w:sz w:val="26"/>
          <w:szCs w:val="26"/>
        </w:rPr>
        <w:t xml:space="preserve">3. Legal Firms</w:t>
      </w:r>
    </w:p>
    <w:p>
      <w:pPr>
        <w:spacing w:after="60" w:before="60"/>
      </w:pPr>
      <w:r>
        <w:rPr>
          <w:rFonts w:ascii="Arial" w:cs="Arial" w:eastAsia="Arial" w:hAnsi="Arial"/>
          <w:sz w:val="20"/>
          <w:szCs w:val="20"/>
        </w:rPr>
        <w:t xml:space="preserve">UK law firms face dual pressure: SRA regulatory obligations and the catastrophic financial risk of conveyancing fraud. Solicitor firms are the second most targeted sector in UK B2B cyber attacks.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Pain Points</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SRA expects documented cyber programmes. Lexcel and CQS quality marks require active controls. Conveyancing transactions involve six-figure deposits — a single BEC attack is existential. Cyber insurance premiums rising sharply.</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Existing Solutions</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Usually an IT support company manages their infrastructure. Rarely have dedicated external attack surface visibility. Cyber Essentials certification is common but does not cover domain security.</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Buying Motivation</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Regulatory compliance (SRA), professional indemnity insurance requirements, client trust. A breach at a law firm is a front-page story — they buy on fear and compliance, not curiosity.</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Willingness to Pay</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£100–£350/month. Legal firms are accustomed to paying for professional risk management tools. Budget is available if the compliance angle is clear.</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Recommended Package</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Professional tier. Continuous monitoring, email security scoring (SPF/DMARC/DKIM), SSL certificate tracking, executive PDF report. White-glove onboarding.</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Sales Approach</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Reach via The Law Society, SRA-approved supplier lists, legal technology events (LegalTech UK). Produce a free “SRA Cyber Readiness” checklist that drives inbound leads.</w:t>
            </w:r>
          </w:p>
        </w:tc>
      </w:tr>
    </w:tbl>
    <w:p>
      <w:pPr>
        <w:spacing w:after="0" w:before="140"/>
      </w:pPr>
      <w:r>
        <w:t xml:space="preserve"/>
      </w:r>
    </w:p>
    <w:p>
      <w:pPr>
        <w:pStyle w:val="Heading2"/>
        <w:spacing w:after="100" w:before="280"/>
      </w:pPr>
      <w:r>
        <w:rPr>
          <w:rFonts w:ascii="Arial" w:cs="Arial" w:eastAsia="Arial" w:hAnsi="Arial"/>
          <w:b/>
          <w:bCs/>
          <w:color w:val="1A7C5E"/>
          <w:sz w:val="26"/>
          <w:szCs w:val="26"/>
        </w:rPr>
        <w:t xml:space="preserve">4. Accountancy Firms</w:t>
      </w:r>
    </w:p>
    <w:p>
      <w:pPr>
        <w:spacing w:after="60" w:before="60"/>
      </w:pPr>
      <w:r>
        <w:rPr>
          <w:rFonts w:ascii="Arial" w:cs="Arial" w:eastAsia="Arial" w:hAnsi="Arial"/>
          <w:sz w:val="20"/>
          <w:szCs w:val="20"/>
        </w:rPr>
        <w:t xml:space="preserve">There are over 350,000 qualified accountants in the UK. Accountancy practices handle sensitive financial and personal data, making them high-value targets. MFA is now mandatory on HMRC Agent Services accounts.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Pain Points</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BEC (Business Email Compromise) attacks increased 33% in 2025 — impersonation of accountants is a common fraud vector. HMRC MFA mandate creates compliance awareness. GDPR obligations for client data protection.</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Existing Solutions</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Their IT is often managed by a local IT support company. ICAEW and ACCA publish guidance but provide no tooling. Most practices have no external domain security monitoring.</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Buying Motivation</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Compliance (HMRC, GDPR, ICAEW). Client trust — accounting firms handle payroll and tax data. Fear of reputational damage from a breach. Cyber insurance increasingly requires documented controls.</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Willingness to Pay</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£60–£150/month. Price-conscious but understand compliance spend. Better reached via their IT support company than direct.</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Recommended Package</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Starter or Professional tier. Strong emphasis on email security scoring, phishing risk indicators, and domain spoofing detection. Provide ICAEW-aligned report template.</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Sales Approach</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Partner with accountancy-focused IT support firms. Produce thought leadership for Accountancy Today, ICAEW Insights. Free “Email Security Health Check” tool as lead magnet.</w:t>
            </w:r>
          </w:p>
        </w:tc>
      </w:tr>
    </w:tbl>
    <w:p>
      <w:pPr>
        <w:spacing w:after="0" w:before="140"/>
      </w:pPr>
      <w:r>
        <w:t xml:space="preserve"/>
      </w:r>
    </w:p>
    <w:p>
      <w:pPr>
        <w:pStyle w:val="Heading2"/>
        <w:spacing w:after="100" w:before="280"/>
      </w:pPr>
      <w:r>
        <w:rPr>
          <w:rFonts w:ascii="Arial" w:cs="Arial" w:eastAsia="Arial" w:hAnsi="Arial"/>
          <w:b/>
          <w:bCs/>
          <w:color w:val="1A7C5E"/>
          <w:sz w:val="26"/>
          <w:szCs w:val="26"/>
        </w:rPr>
        <w:t xml:space="preserve">5. Managed Service Providers (Specialised)</w:t>
      </w:r>
    </w:p>
    <w:p>
      <w:pPr>
        <w:spacing w:after="60" w:before="60"/>
      </w:pPr>
      <w:r>
        <w:rPr>
          <w:rFonts w:ascii="Arial" w:cs="Arial" w:eastAsia="Arial" w:hAnsi="Arial"/>
          <w:sz w:val="20"/>
          <w:szCs w:val="20"/>
        </w:rPr>
        <w:t xml:space="preserve">A subset of the IT Support segment — MSPs with dedicated security practices, typically 10–100 employees. The Cyber Security and Resilience Bill names MSPs directly in its scope, making compliance tooling urgent.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Pain Points</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Directly regulated under the Cyber Security and Resilience Bill. Must demonstrate supply chain security to enterprise clients. Clients demand security SLAs and monthly reporting. Staff don’t have time for manual external scanning.</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Existing Solutions</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Huntress (endpoint), Datto (backup/RMM), Webroot/SentinelOne (AV). Gap: no affordable external attack surface tool designed for MSP multi-tenancy.</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Buying Motivation</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Regulatory compliance. Client retention (clients now ask for security evidence). Competitive differentiation — MSPs that can produce a domain security score card win more tenders.</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Willingness to Pay</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£150–£500/month for a platform serving 20–50 clients. At £5–£15 per client per month, easily absorbed into managed security packages.</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Recommended Package</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MSP Partner tier. Multi-tenant workspace, white-label reporting, API access, scheduled scan automation, alert webhooks into PSA tools (Autotask, ConnectWise).</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Sales Approach</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Channel-first: MSP-specific LinkedIn communities (MSPGeek, CompTIA), MSP conference circuit (MSP Summit, Navigate), and direct outreach to security-focused MSPs.</w:t>
            </w:r>
          </w:p>
        </w:tc>
      </w:tr>
    </w:tbl>
    <w:p>
      <w:pPr>
        <w:spacing w:after="0" w:before="140"/>
      </w:pPr>
      <w:r>
        <w:t xml:space="preserve"/>
      </w:r>
    </w:p>
    <w:p>
      <w:pPr>
        <w:pStyle w:val="Heading2"/>
        <w:spacing w:after="100" w:before="280"/>
      </w:pPr>
      <w:r>
        <w:rPr>
          <w:rFonts w:ascii="Arial" w:cs="Arial" w:eastAsia="Arial" w:hAnsi="Arial"/>
          <w:b/>
          <w:bCs/>
          <w:color w:val="1A7C5E"/>
          <w:sz w:val="26"/>
          <w:szCs w:val="26"/>
        </w:rPr>
        <w:t xml:space="preserve">6. Small Businesses (10–100 Employees)</w:t>
      </w:r>
    </w:p>
    <w:p>
      <w:pPr>
        <w:spacing w:after="60" w:before="60"/>
      </w:pPr>
      <w:r>
        <w:rPr>
          <w:rFonts w:ascii="Arial" w:cs="Arial" w:eastAsia="Arial" w:hAnsi="Arial"/>
          <w:sz w:val="20"/>
          <w:szCs w:val="20"/>
        </w:rPr>
        <w:t xml:space="preserve">UK SMBs are the largest segment by number but the hardest to sell to directly. They are the end-customers that MSPs and IT support companies serve.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Pain Points</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Don’t know what they don’t know. 47% with fewer than 50 employees have zero cybersecurity budget. Often one IT generalist or no dedicated IT at all. Breaches feel like a problem for bigger companies.</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Existing Solutions</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Free tools (Google Workspace built-in, Windows Defender), basic antivirus. Some use a local IT support company. Very rarely have any external domain monitoring.</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Buying Motivation</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Fear of breach after reading about competitors being hit. Cyber insurance requirements. Accountant or solicitor telling them they need to demonstrate controls.</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Willingness to Pay</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£20–£60/month. Extremely price-sensitive. Decision-maker is typically the owner or office manager, not a technical buyer. Sales cycle can be 2–6 months.</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Recommended Package</w:t>
            </w:r>
          </w:p>
        </w:tc>
        <w:tc>
          <w:tcPr>
            <w:tcW w:type="dxa" w:w="7280"/>
            <w:tcBorders>
              <w:top w:val="single" w:color="C8D8E8" w:sz="1"/>
              <w:left w:val="single" w:color="C8D8E8" w:sz="1"/>
              <w:bottom w:val="single" w:color="C8D8E8" w:sz="1"/>
              <w:right w:val="single" w:color="C8D8E8" w:sz="1"/>
            </w:tcBorders>
            <w:shd w:fill="F5F9F7" w:val="clear"/>
            <w:tcMar>
              <w:top w:type="dxa" w:w="80"/>
              <w:left w:type="dxa" w:w="160"/>
              <w:bottom w:type="dxa" w:w="80"/>
              <w:right w:type="dxa" w:w="160"/>
            </w:tcMar>
          </w:tcPr>
          <w:p>
            <w:r>
              <w:rPr>
                <w:rFonts w:ascii="Arial" w:cs="Arial" w:eastAsia="Arial" w:hAnsi="Arial"/>
                <w:sz w:val="18"/>
                <w:szCs w:val="18"/>
              </w:rPr>
              <w:t xml:space="preserve">Starter tier. Single domain, simple traffic-light risk score, email security check, monthly PDF report. No jargon.</w:t>
            </w:r>
          </w:p>
        </w:tc>
      </w:tr>
      <w:tr>
        <w:tc>
          <w:tcPr>
            <w:tcW w:type="dxa" w:w="28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r>
              <w:rPr>
                <w:rFonts w:ascii="Arial" w:cs="Arial" w:eastAsia="Arial" w:hAnsi="Arial"/>
                <w:b/>
                <w:bCs/>
                <w:sz w:val="18"/>
                <w:szCs w:val="18"/>
              </w:rPr>
              <w:t xml:space="preserve">Sales Approach</w:t>
            </w:r>
          </w:p>
        </w:tc>
        <w:tc>
          <w:tcPr>
            <w:tcW w:type="dxa" w:w="7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r>
              <w:rPr>
                <w:rFonts w:ascii="Arial" w:cs="Arial" w:eastAsia="Arial" w:hAnsi="Arial"/>
                <w:sz w:val="18"/>
                <w:szCs w:val="18"/>
              </w:rPr>
              <w:t xml:space="preserve">Do NOT sell direct at launch. Reach via MSP/IT Support channel. If going direct: Google Ads (“is my website secure”, “domain security check”), free scan landing page, freemium model.</w:t>
            </w:r>
          </w:p>
        </w:tc>
      </w:tr>
    </w:tbl>
    <w:p>
      <w:r>
        <w:br w:type="page"/>
      </w:r>
    </w:p>
    <w:p>
      <w:pPr>
        <w:pStyle w:val="Heading1"/>
        <w:spacing w:after="120" w:before="400"/>
      </w:pPr>
      <w:r>
        <w:rPr>
          <w:rFonts w:ascii="Arial" w:cs="Arial" w:eastAsia="Arial" w:hAnsi="Arial"/>
          <w:b/>
          <w:bCs/>
          <w:color w:val="1A1A2E"/>
          <w:sz w:val="32"/>
          <w:szCs w:val="32"/>
        </w:rPr>
        <w:t xml:space="preserve">Segment Ranking</w:t>
      </w:r>
    </w:p>
    <w:p>
      <w:pPr>
        <w:pBdr>
          <w:bottom w:val="single" w:color="1A7C5E" w:sz="8" w:space="1"/>
        </w:pBdr>
        <w:spacing w:after="160" w:before="0"/>
      </w:pPr>
      <w:r>
        <w:t xml:space="preserve"/>
      </w:r>
    </w:p>
    <w:p>
      <w:pPr>
        <w:spacing w:after="60" w:before="60"/>
      </w:pPr>
      <w:r>
        <w:rPr>
          <w:rFonts w:ascii="Arial" w:cs="Arial" w:eastAsia="Arial" w:hAnsi="Arial"/>
          <w:sz w:val="20"/>
          <w:szCs w:val="20"/>
        </w:rPr>
        <w:t xml:space="preserve">Ranked from easiest to hardest to acquire, based on: purchase intent, budget availability, sales cycle length, and need for education.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80"/>
        <w:gridCol w:w="2800"/>
      </w:tblGrid>
      <w:tr>
        <w:tc>
          <w:tcPr>
            <w:tcW w:type="dxa" w:w="600"/>
            <w:tcBorders>
              <w:top w:val="single" w:color="C8D8E8" w:sz="1"/>
              <w:left w:val="single" w:color="C8D8E8" w:sz="1"/>
              <w:bottom w:val="single" w:color="C8D8E8" w:sz="1"/>
              <w:right w:val="single" w:color="C8D8E8" w:sz="1"/>
            </w:tcBorders>
            <w:shd w:fill="1A1A2E"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w:t>
            </w:r>
          </w:p>
        </w:tc>
        <w:tc>
          <w:tcPr>
            <w:tcW w:type="dxa" w:w="4400"/>
            <w:tcBorders>
              <w:top w:val="single" w:color="C8D8E8" w:sz="1"/>
              <w:left w:val="single" w:color="C8D8E8" w:sz="1"/>
              <w:bottom w:val="single" w:color="C8D8E8" w:sz="1"/>
              <w:right w:val="single" w:color="C8D8E8" w:sz="1"/>
            </w:tcBorders>
            <w:shd w:fill="1A1A2E" w:val="clear"/>
            <w:tcMar>
              <w:top w:type="dxa" w:w="80"/>
              <w:left w:type="dxa" w:w="160"/>
              <w:bottom w:type="dxa" w:w="80"/>
              <w:right w:type="dxa" w:w="160"/>
            </w:tcMar>
          </w:tcPr>
          <w:p>
            <w:r>
              <w:rPr>
                <w:rFonts w:ascii="Arial" w:cs="Arial" w:eastAsia="Arial" w:hAnsi="Arial"/>
                <w:b/>
                <w:bCs/>
                <w:color w:val="FFFFFF"/>
                <w:sz w:val="18"/>
                <w:szCs w:val="18"/>
              </w:rPr>
              <w:t xml:space="preserve">Segment</w:t>
            </w:r>
          </w:p>
        </w:tc>
        <w:tc>
          <w:tcPr>
            <w:tcW w:type="dxa" w:w="2280"/>
            <w:tcBorders>
              <w:top w:val="single" w:color="C8D8E8" w:sz="1"/>
              <w:left w:val="single" w:color="C8D8E8" w:sz="1"/>
              <w:bottom w:val="single" w:color="C8D8E8" w:sz="1"/>
              <w:right w:val="single" w:color="C8D8E8" w:sz="1"/>
            </w:tcBorders>
            <w:shd w:fill="1A1A2E" w:val="clear"/>
            <w:tcMar>
              <w:top w:type="dxa" w:w="80"/>
              <w:left w:type="dxa" w:w="160"/>
              <w:bottom w:type="dxa" w:w="80"/>
              <w:right w:type="dxa" w:w="160"/>
            </w:tcMar>
          </w:tcPr>
          <w:p>
            <w:r>
              <w:rPr>
                <w:rFonts w:ascii="Arial" w:cs="Arial" w:eastAsia="Arial" w:hAnsi="Arial"/>
                <w:b/>
                <w:bCs/>
                <w:color w:val="FFFFFF"/>
                <w:sz w:val="18"/>
                <w:szCs w:val="18"/>
              </w:rPr>
              <w:t xml:space="preserve">Why This Rank</w:t>
            </w:r>
          </w:p>
        </w:tc>
        <w:tc>
          <w:tcPr>
            <w:tcW w:type="dxa" w:w="2800"/>
            <w:tcBorders>
              <w:top w:val="single" w:color="C8D8E8" w:sz="1"/>
              <w:left w:val="single" w:color="C8D8E8" w:sz="1"/>
              <w:bottom w:val="single" w:color="C8D8E8" w:sz="1"/>
              <w:right w:val="single" w:color="C8D8E8" w:sz="1"/>
            </w:tcBorders>
            <w:shd w:fill="1A1A2E"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Acquisition Difficulty</w:t>
            </w:r>
          </w:p>
        </w:tc>
      </w:tr>
      <w:tr>
        <w:tc>
          <w:tcPr>
            <w:tcW w:type="dxa" w:w="600"/>
            <w:tcBorders>
              <w:top w:val="single" w:color="C8D8E8" w:sz="1"/>
              <w:left w:val="single" w:color="C8D8E8" w:sz="1"/>
              <w:bottom w:val="single" w:color="C8D8E8" w:sz="1"/>
              <w:right w:val="single" w:color="C8D8E8" w:sz="1"/>
            </w:tcBorders>
            <w:shd w:fill="1A7C5E"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b/>
                <w:bCs/>
                <w:sz w:val="20"/>
                <w:szCs w:val="20"/>
              </w:rPr>
              <w:t xml:space="preserve">Cyber Security Consultancies</w:t>
            </w:r>
          </w:p>
        </w:tc>
        <w:tc>
          <w:tcPr>
            <w:tcW w:type="dxa" w:w="228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color w:val="3B4A6B"/>
                <w:sz w:val="18"/>
                <w:szCs w:val="18"/>
              </w:rPr>
              <w:t xml:space="preserve">High intent, self-serve, fast close</w:t>
            </w:r>
          </w:p>
        </w:tc>
        <w:tc>
          <w:tcPr>
            <w:tcW w:type="dxa" w:w="2800"/>
            <w:tcBorders>
              <w:top w:val="single" w:color="C8D8E8" w:sz="1"/>
              <w:left w:val="single" w:color="C8D8E8" w:sz="1"/>
              <w:bottom w:val="single" w:color="C8D8E8" w:sz="1"/>
              <w:right w:val="single" w:color="C8D8E8" w:sz="1"/>
            </w:tcBorders>
            <w:shd w:fill="F8F9FA" w:val="clear"/>
            <w:tcMar>
              <w:top w:type="dxa" w:w="100"/>
              <w:left w:type="dxa" w:w="160"/>
              <w:bottom w:type="dxa" w:w="100"/>
              <w:right w:type="dxa" w:w="160"/>
            </w:tcMar>
            <w:vAlign w:val="center"/>
          </w:tcPr>
          <w:p>
            <w:pPr>
              <w:jc w:val="center"/>
            </w:pPr>
            <w:r>
              <w:rPr>
                <w:rFonts w:ascii="Arial" w:cs="Arial" w:eastAsia="Arial" w:hAnsi="Arial"/>
                <w:b/>
                <w:bCs/>
                <w:color w:val="3B4A6B"/>
                <w:spacing w:val="30"/>
                <w:sz w:val="16"/>
                <w:szCs w:val="16"/>
              </w:rPr>
            </w:r>
          </w:p>
        </w:tc>
      </w:tr>
      <w:tr>
        <w:tc>
          <w:tcPr>
            <w:tcW w:type="dxa" w:w="600"/>
            <w:tcBorders>
              <w:top w:val="single" w:color="C8D8E8" w:sz="1"/>
              <w:left w:val="single" w:color="C8D8E8" w:sz="1"/>
              <w:bottom w:val="single" w:color="C8D8E8" w:sz="1"/>
              <w:right w:val="single" w:color="C8D8E8" w:sz="1"/>
            </w:tcBorders>
            <w:shd w:fill="1A7C5E"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b/>
                <w:bCs/>
                <w:sz w:val="20"/>
                <w:szCs w:val="20"/>
              </w:rPr>
              <w:t xml:space="preserve">UK IT Support Companies</w:t>
            </w:r>
          </w:p>
        </w:tc>
        <w:tc>
          <w:tcPr>
            <w:tcW w:type="dxa" w:w="228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color w:val="3B4A6B"/>
                <w:sz w:val="18"/>
                <w:szCs w:val="18"/>
              </w:rPr>
              <w:t xml:space="preserve">Channel play, recurring, scalable</w:t>
            </w:r>
          </w:p>
        </w:tc>
        <w:tc>
          <w:tcPr>
            <w:tcW w:type="dxa" w:w="2800"/>
            <w:tcBorders>
              <w:top w:val="single" w:color="C8D8E8" w:sz="1"/>
              <w:left w:val="single" w:color="C8D8E8" w:sz="1"/>
              <w:bottom w:val="single" w:color="C8D8E8" w:sz="1"/>
              <w:right w:val="single" w:color="C8D8E8" w:sz="1"/>
            </w:tcBorders>
            <w:shd w:fill="F8F9FA" w:val="clear"/>
            <w:tcMar>
              <w:top w:type="dxa" w:w="100"/>
              <w:left w:type="dxa" w:w="160"/>
              <w:bottom w:type="dxa" w:w="100"/>
              <w:right w:type="dxa" w:w="160"/>
            </w:tcMar>
            <w:vAlign w:val="center"/>
          </w:tcPr>
          <w:p>
            <w:pPr>
              <w:jc w:val="center"/>
            </w:pPr>
            <w:r>
              <w:rPr>
                <w:rFonts w:ascii="Arial" w:cs="Arial" w:eastAsia="Arial" w:hAnsi="Arial"/>
                <w:b/>
                <w:bCs/>
                <w:color w:val="3B4A6B"/>
                <w:spacing w:val="30"/>
                <w:sz w:val="16"/>
                <w:szCs w:val="16"/>
              </w:rPr>
            </w:r>
          </w:p>
        </w:tc>
      </w:tr>
      <w:tr>
        <w:tc>
          <w:tcPr>
            <w:tcW w:type="dxa" w:w="600"/>
            <w:tcBorders>
              <w:top w:val="single" w:color="C8D8E8" w:sz="1"/>
              <w:left w:val="single" w:color="C8D8E8" w:sz="1"/>
              <w:bottom w:val="single" w:color="C8D8E8" w:sz="1"/>
              <w:right w:val="single" w:color="C8D8E8" w:sz="1"/>
            </w:tcBorders>
            <w:shd w:fill="1A7C5E"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b/>
                <w:bCs/>
                <w:sz w:val="20"/>
                <w:szCs w:val="20"/>
              </w:rPr>
              <w:t xml:space="preserve">Specialised MSPs</w:t>
            </w:r>
          </w:p>
        </w:tc>
        <w:tc>
          <w:tcPr>
            <w:tcW w:type="dxa" w:w="228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color w:val="3B4A6B"/>
                <w:sz w:val="18"/>
                <w:szCs w:val="18"/>
              </w:rPr>
              <w:t xml:space="preserve">Strong ROI case, regulation tailwind</w:t>
            </w:r>
          </w:p>
        </w:tc>
        <w:tc>
          <w:tcPr>
            <w:tcW w:type="dxa" w:w="2800"/>
            <w:tcBorders>
              <w:top w:val="single" w:color="C8D8E8" w:sz="1"/>
              <w:left w:val="single" w:color="C8D8E8" w:sz="1"/>
              <w:bottom w:val="single" w:color="C8D8E8" w:sz="1"/>
              <w:right w:val="single" w:color="C8D8E8" w:sz="1"/>
            </w:tcBorders>
            <w:shd w:fill="F8F9FA" w:val="clear"/>
            <w:tcMar>
              <w:top w:type="dxa" w:w="100"/>
              <w:left w:type="dxa" w:w="160"/>
              <w:bottom w:type="dxa" w:w="100"/>
              <w:right w:type="dxa" w:w="160"/>
            </w:tcMar>
            <w:vAlign w:val="center"/>
          </w:tcPr>
          <w:p>
            <w:pPr>
              <w:jc w:val="center"/>
            </w:pPr>
            <w:r>
              <w:rPr>
                <w:rFonts w:ascii="Arial" w:cs="Arial" w:eastAsia="Arial" w:hAnsi="Arial"/>
                <w:b/>
                <w:bCs/>
                <w:color w:val="3B4A6B"/>
                <w:spacing w:val="30"/>
                <w:sz w:val="16"/>
                <w:szCs w:val="16"/>
              </w:rPr>
            </w:r>
          </w:p>
        </w:tc>
      </w:tr>
      <w:tr>
        <w:tc>
          <w:tcPr>
            <w:tcW w:type="dxa" w:w="600"/>
            <w:tcBorders>
              <w:top w:val="single" w:color="C8D8E8" w:sz="1"/>
              <w:left w:val="single" w:color="C8D8E8" w:sz="1"/>
              <w:bottom w:val="single" w:color="C8D8E8" w:sz="1"/>
              <w:right w:val="single" w:color="C8D8E8" w:sz="1"/>
            </w:tcBorders>
            <w:shd w:fill="1A7C5E"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b/>
                <w:bCs/>
                <w:sz w:val="20"/>
                <w:szCs w:val="20"/>
              </w:rPr>
              <w:t xml:space="preserve">Legal Firms</w:t>
            </w:r>
          </w:p>
        </w:tc>
        <w:tc>
          <w:tcPr>
            <w:tcW w:type="dxa" w:w="228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color w:val="3B4A6B"/>
                <w:sz w:val="18"/>
                <w:szCs w:val="18"/>
              </w:rPr>
              <w:t xml:space="preserve">High WTP but needs compliance framing</w:t>
            </w:r>
          </w:p>
        </w:tc>
        <w:tc>
          <w:tcPr>
            <w:tcW w:type="dxa" w:w="2800"/>
            <w:tcBorders>
              <w:top w:val="single" w:color="C8D8E8" w:sz="1"/>
              <w:left w:val="single" w:color="C8D8E8" w:sz="1"/>
              <w:bottom w:val="single" w:color="C8D8E8" w:sz="1"/>
              <w:right w:val="single" w:color="C8D8E8" w:sz="1"/>
            </w:tcBorders>
            <w:shd w:fill="F8F9FA" w:val="clear"/>
            <w:tcMar>
              <w:top w:type="dxa" w:w="100"/>
              <w:left w:type="dxa" w:w="160"/>
              <w:bottom w:type="dxa" w:w="100"/>
              <w:right w:type="dxa" w:w="160"/>
            </w:tcMar>
            <w:vAlign w:val="center"/>
          </w:tcPr>
          <w:p>
            <w:pPr>
              <w:jc w:val="center"/>
            </w:pPr>
            <w:r>
              <w:rPr>
                <w:rFonts w:ascii="Arial" w:cs="Arial" w:eastAsia="Arial" w:hAnsi="Arial"/>
                <w:b/>
                <w:bCs/>
                <w:color w:val="3B4A6B"/>
                <w:spacing w:val="30"/>
                <w:sz w:val="16"/>
                <w:szCs w:val="16"/>
              </w:rPr>
            </w:r>
          </w:p>
        </w:tc>
      </w:tr>
      <w:tr>
        <w:tc>
          <w:tcPr>
            <w:tcW w:type="dxa" w:w="600"/>
            <w:tcBorders>
              <w:top w:val="single" w:color="C8D8E8" w:sz="1"/>
              <w:left w:val="single" w:color="C8D8E8" w:sz="1"/>
              <w:bottom w:val="single" w:color="C8D8E8" w:sz="1"/>
              <w:right w:val="single" w:color="C8D8E8" w:sz="1"/>
            </w:tcBorders>
            <w:shd w:fill="1A7C5E"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b/>
                <w:bCs/>
                <w:sz w:val="20"/>
                <w:szCs w:val="20"/>
              </w:rPr>
              <w:t xml:space="preserve">Accountancy Firms</w:t>
            </w:r>
          </w:p>
        </w:tc>
        <w:tc>
          <w:tcPr>
            <w:tcW w:type="dxa" w:w="228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color w:val="3B4A6B"/>
                <w:sz w:val="18"/>
                <w:szCs w:val="18"/>
              </w:rPr>
              <w:t xml:space="preserve">Reach via IT support, not direct</w:t>
            </w:r>
          </w:p>
        </w:tc>
        <w:tc>
          <w:tcPr>
            <w:tcW w:type="dxa" w:w="2800"/>
            <w:tcBorders>
              <w:top w:val="single" w:color="C8D8E8" w:sz="1"/>
              <w:left w:val="single" w:color="C8D8E8" w:sz="1"/>
              <w:bottom w:val="single" w:color="C8D8E8" w:sz="1"/>
              <w:right w:val="single" w:color="C8D8E8" w:sz="1"/>
            </w:tcBorders>
            <w:shd w:fill="F8F9FA" w:val="clear"/>
            <w:tcMar>
              <w:top w:type="dxa" w:w="100"/>
              <w:left w:type="dxa" w:w="160"/>
              <w:bottom w:type="dxa" w:w="100"/>
              <w:right w:type="dxa" w:w="160"/>
            </w:tcMar>
            <w:vAlign w:val="center"/>
          </w:tcPr>
          <w:p>
            <w:pPr>
              <w:jc w:val="center"/>
            </w:pPr>
            <w:r>
              <w:rPr>
                <w:rFonts w:ascii="Arial" w:cs="Arial" w:eastAsia="Arial" w:hAnsi="Arial"/>
                <w:b/>
                <w:bCs/>
                <w:color w:val="3B4A6B"/>
                <w:spacing w:val="30"/>
                <w:sz w:val="16"/>
                <w:szCs w:val="16"/>
              </w:rPr>
            </w:r>
          </w:p>
        </w:tc>
      </w:tr>
      <w:tr>
        <w:tc>
          <w:tcPr>
            <w:tcW w:type="dxa" w:w="600"/>
            <w:tcBorders>
              <w:top w:val="single" w:color="C8D8E8" w:sz="1"/>
              <w:left w:val="single" w:color="C8D8E8" w:sz="1"/>
              <w:bottom w:val="single" w:color="C8D8E8" w:sz="1"/>
              <w:right w:val="single" w:color="C8D8E8" w:sz="1"/>
            </w:tcBorders>
            <w:shd w:fill="1A7C5E"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6</w:t>
            </w:r>
          </w:p>
        </w:tc>
        <w:tc>
          <w:tcPr>
            <w:tcW w:type="dxa" w:w="440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b/>
                <w:bCs/>
                <w:sz w:val="20"/>
                <w:szCs w:val="20"/>
              </w:rPr>
              <w:t xml:space="preserve">Small Businesses (Direct)</w:t>
            </w:r>
          </w:p>
        </w:tc>
        <w:tc>
          <w:tcPr>
            <w:tcW w:type="dxa" w:w="2280"/>
            <w:tcBorders>
              <w:top w:val="single" w:color="C8D8E8" w:sz="1"/>
              <w:left w:val="single" w:color="C8D8E8" w:sz="1"/>
              <w:bottom w:val="single" w:color="C8D8E8" w:sz="1"/>
              <w:right w:val="single" w:color="C8D8E8" w:sz="1"/>
            </w:tcBorders>
            <w:shd w:fill="FFFFFF" w:val="clear"/>
            <w:tcMar>
              <w:top w:type="dxa" w:w="100"/>
              <w:left w:type="dxa" w:w="160"/>
              <w:bottom w:type="dxa" w:w="100"/>
              <w:right w:type="dxa" w:w="160"/>
            </w:tcMar>
          </w:tcPr>
          <w:p>
            <w:r>
              <w:rPr>
                <w:rFonts w:ascii="Arial" w:cs="Arial" w:eastAsia="Arial" w:hAnsi="Arial"/>
                <w:color w:val="3B4A6B"/>
                <w:sz w:val="18"/>
                <w:szCs w:val="18"/>
              </w:rPr>
              <w:t xml:space="preserve">Price-sensitive, long education cycle</w:t>
            </w:r>
          </w:p>
        </w:tc>
        <w:tc>
          <w:tcPr>
            <w:tcW w:type="dxa" w:w="2800"/>
            <w:tcBorders>
              <w:top w:val="single" w:color="C8D8E8" w:sz="1"/>
              <w:left w:val="single" w:color="C8D8E8" w:sz="1"/>
              <w:bottom w:val="single" w:color="C8D8E8" w:sz="1"/>
              <w:right w:val="single" w:color="C8D8E8" w:sz="1"/>
            </w:tcBorders>
            <w:shd w:fill="F8F9FA" w:val="clear"/>
            <w:tcMar>
              <w:top w:type="dxa" w:w="100"/>
              <w:left w:type="dxa" w:w="160"/>
              <w:bottom w:type="dxa" w:w="100"/>
              <w:right w:type="dxa" w:w="160"/>
            </w:tcMar>
            <w:vAlign w:val="center"/>
          </w:tcPr>
          <w:p>
            <w:pPr>
              <w:jc w:val="center"/>
            </w:pPr>
            <w:r>
              <w:rPr>
                <w:rFonts w:ascii="Arial" w:cs="Arial" w:eastAsia="Arial" w:hAnsi="Arial"/>
                <w:b/>
                <w:bCs/>
                <w:color w:val="3B4A6B"/>
                <w:spacing w:val="30"/>
                <w:sz w:val="16"/>
                <w:szCs w:val="16"/>
              </w:rPr>
            </w:r>
          </w:p>
        </w:tc>
      </w:tr>
    </w:tbl>
    <w:p>
      <w:r>
        <w:br w:type="page"/>
      </w:r>
    </w:p>
    <w:p>
      <w:pPr>
        <w:pStyle w:val="Heading1"/>
        <w:spacing w:after="120" w:before="400"/>
      </w:pPr>
      <w:r>
        <w:rPr>
          <w:rFonts w:ascii="Arial" w:cs="Arial" w:eastAsia="Arial" w:hAnsi="Arial"/>
          <w:b/>
          <w:bCs/>
          <w:color w:val="1A1A2E"/>
          <w:sz w:val="32"/>
          <w:szCs w:val="32"/>
        </w:rPr>
        <w:t xml:space="preserve">Recommended First Target: Cyber Security Consultancies</w:t>
      </w:r>
    </w:p>
    <w:p>
      <w:pPr>
        <w:pBdr>
          <w:bottom w:val="single" w:color="1A7C5E" w:sz="8" w:space="1"/>
        </w:pBdr>
        <w:spacing w:after="160" w:before="0"/>
      </w:pPr>
      <w:r>
        <w:t xml:space="preserve"/>
      </w:r>
    </w:p>
    <w:p>
      <w:pPr>
        <w:spacing w:after="60" w:before="60"/>
      </w:pPr>
      <w:r>
        <w:rPr>
          <w:rFonts w:ascii="Arial" w:cs="Arial" w:eastAsia="Arial" w:hAnsi="Arial"/>
          <w:sz w:val="20"/>
          <w:szCs w:val="20"/>
        </w:rPr>
        <w:t xml:space="preserve">This segment offers the fastest path to paying customers, the highest product-market fit, and the lowest cost of acquisition. Here is why:</w:t>
      </w:r>
    </w:p>
    <w:p>
      <w:pPr>
        <w:spacing w:after="0" w:before="60"/>
      </w:pPr>
      <w:r>
        <w:t xml:space="preserve"/>
      </w:r>
    </w:p>
    <w:p>
      <w:pPr>
        <w:pStyle w:val="ListParagraph"/>
        <w:numPr>
          <w:ilvl w:val="0"/>
          <w:numId w:val="2"/>
        </w:numPr>
        <w:spacing w:after="30" w:before="30"/>
      </w:pPr>
      <w:r>
        <w:rPr>
          <w:rFonts w:ascii="Arial" w:cs="Arial" w:eastAsia="Arial" w:hAnsi="Arial"/>
          <w:sz w:val="20"/>
          <w:szCs w:val="20"/>
        </w:rPr>
        <w:t xml:space="preserve">They already buy tools like this. Detectify, Shodan, and Burp Suite are standard purchases. CyberMeters fits a known budget line.</w:t>
      </w:r>
    </w:p>
    <w:p>
      <w:pPr>
        <w:pStyle w:val="ListParagraph"/>
        <w:numPr>
          <w:ilvl w:val="0"/>
          <w:numId w:val="2"/>
        </w:numPr>
        <w:spacing w:after="30" w:before="30"/>
      </w:pPr>
      <w:r>
        <w:rPr>
          <w:rFonts w:ascii="Arial" w:cs="Arial" w:eastAsia="Arial" w:hAnsi="Arial"/>
          <w:sz w:val="20"/>
          <w:szCs w:val="20"/>
        </w:rPr>
        <w:t xml:space="preserve">No education required. Consultants understand CVEs, SPF, DMARC, subdomain takeover — they will immediately see the value in the scan output.</w:t>
      </w:r>
    </w:p>
    <w:p>
      <w:pPr>
        <w:pStyle w:val="ListParagraph"/>
        <w:numPr>
          <w:ilvl w:val="0"/>
          <w:numId w:val="2"/>
        </w:numPr>
        <w:spacing w:after="30" w:before="30"/>
      </w:pPr>
      <w:r>
        <w:rPr>
          <w:rFonts w:ascii="Arial" w:cs="Arial" w:eastAsia="Arial" w:hAnsi="Arial"/>
          <w:sz w:val="20"/>
          <w:szCs w:val="20"/>
        </w:rPr>
        <w:t xml:space="preserve">Their incentive is client revenue, not personal security. A tool that saves 3 hours per engagement and produces a client-ready PDF is worth £150–£500/month without negotiation.</w:t>
      </w:r>
    </w:p>
    <w:p>
      <w:pPr>
        <w:pStyle w:val="ListParagraph"/>
        <w:numPr>
          <w:ilvl w:val="0"/>
          <w:numId w:val="2"/>
        </w:numPr>
        <w:spacing w:after="30" w:before="30"/>
      </w:pPr>
      <w:r>
        <w:rPr>
          <w:rFonts w:ascii="Arial" w:cs="Arial" w:eastAsia="Arial" w:hAnsi="Arial"/>
          <w:sz w:val="20"/>
          <w:szCs w:val="20"/>
        </w:rPr>
        <w:t xml:space="preserve">2,603 firms in the UK with 20% annual growth. The addressable pool is large enough to find 10 customers quickly.</w:t>
      </w:r>
    </w:p>
    <w:p>
      <w:pPr>
        <w:pStyle w:val="ListParagraph"/>
        <w:numPr>
          <w:ilvl w:val="0"/>
          <w:numId w:val="2"/>
        </w:numPr>
        <w:spacing w:after="30" w:before="30"/>
      </w:pPr>
      <w:r>
        <w:rPr>
          <w:rFonts w:ascii="Arial" w:cs="Arial" w:eastAsia="Arial" w:hAnsi="Arial"/>
          <w:sz w:val="20"/>
          <w:szCs w:val="20"/>
        </w:rPr>
        <w:t xml:space="preserve">Word-of-mouth spreads fast in a tight community. One influential consultant recommending CyberMeters on LinkedIn can generate 10 trials within a week.</w:t>
      </w:r>
    </w:p>
    <w:p>
      <w:r>
        <w:br w:type="page"/>
      </w:r>
    </w:p>
    <w:p>
      <w:pPr>
        <w:pStyle w:val="Heading1"/>
        <w:spacing w:after="120" w:before="400"/>
      </w:pPr>
      <w:r>
        <w:rPr>
          <w:rFonts w:ascii="Arial" w:cs="Arial" w:eastAsia="Arial" w:hAnsi="Arial"/>
          <w:b/>
          <w:bCs/>
          <w:color w:val="1A1A2E"/>
          <w:sz w:val="32"/>
          <w:szCs w:val="32"/>
        </w:rPr>
        <w:t xml:space="preserve">First 10 Customer Acquisition Strategy</w:t>
      </w:r>
    </w:p>
    <w:p>
      <w:pPr>
        <w:pBdr>
          <w:bottom w:val="single" w:color="1A7C5E" w:sz="8" w:space="1"/>
        </w:pBdr>
        <w:spacing w:after="160" w:before="0"/>
      </w:pPr>
      <w:r>
        <w:t xml:space="preserve"/>
      </w:r>
    </w:p>
    <w:p>
      <w:pPr>
        <w:spacing w:after="60" w:before="60"/>
      </w:pPr>
      <w:r>
        <w:rPr>
          <w:rFonts w:ascii="Arial" w:cs="Arial" w:eastAsia="Arial" w:hAnsi="Arial"/>
          <w:sz w:val="20"/>
          <w:szCs w:val="20"/>
        </w:rPr>
        <w:t xml:space="preserve">The following 10-step playbook is designed to acquire the first 10 paying customers in 30–60 days, starting from zero marketing budget and zero brand recognition.</w:t>
      </w:r>
    </w:p>
    <w:p>
      <w:pPr>
        <w:spacing w:after="0" w:before="80"/>
      </w:pPr>
      <w:r>
        <w:t xml:space="preserve"/>
      </w:r>
    </w:p>
    <w:p>
      <w:pPr>
        <w:pStyle w:val="ListParagraph"/>
        <w:numPr>
          <w:ilvl w:val="0"/>
          <w:numId w:val="3"/>
        </w:numPr>
        <w:spacing w:after="40" w:before="40"/>
      </w:pPr>
      <w:r>
        <w:rPr>
          <w:rFonts w:ascii="Arial" w:cs="Arial" w:eastAsia="Arial" w:hAnsi="Arial"/>
          <w:b/>
          <w:bCs/>
          <w:sz w:val="20"/>
          <w:szCs w:val="20"/>
        </w:rPr>
        <w:t xml:space="preserve">Step 1 — </w:t>
      </w:r>
      <w:r>
        <w:rPr>
          <w:rFonts w:ascii="Arial" w:cs="Arial" w:eastAsia="Arial" w:hAnsi="Arial"/>
          <w:sz w:val="20"/>
          <w:szCs w:val="20"/>
        </w:rPr>
        <w:t xml:space="preserve">Identify 100 target consultancies on LinkedIn.</w:t>
      </w:r>
    </w:p>
    <w:p>
      <w:pPr>
        <w:spacing w:after="60" w:before="60"/>
      </w:pPr>
      <w:r>
        <w:rPr>
          <w:rFonts w:ascii="Arial" w:cs="Arial" w:eastAsia="Arial" w:hAnsi="Arial"/>
          <w:sz w:val="20"/>
          <w:szCs w:val="20"/>
        </w:rPr>
        <w:t xml:space="preserve">Search: “Cyber Security Consultant UK”, “Penetration Tester UK”, “Virtual CISO UK”. Filter: 2–50 employees, UK-based. Build a list of 100 founders/directors.</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2 — </w:t>
      </w:r>
      <w:r>
        <w:rPr>
          <w:rFonts w:ascii="Arial" w:cs="Arial" w:eastAsia="Arial" w:hAnsi="Arial"/>
          <w:sz w:val="20"/>
          <w:szCs w:val="20"/>
        </w:rPr>
        <w:t xml:space="preserve">Scan their domains before reaching out.</w:t>
      </w:r>
    </w:p>
    <w:p>
      <w:pPr>
        <w:spacing w:after="60" w:before="60"/>
      </w:pPr>
      <w:r>
        <w:rPr>
          <w:rFonts w:ascii="Arial" w:cs="Arial" w:eastAsia="Arial" w:hAnsi="Arial"/>
          <w:sz w:val="20"/>
          <w:szCs w:val="20"/>
        </w:rPr>
        <w:t xml:space="preserve">Run each target through CyberMeters. Note their score and one specific finding (e.g., missing DMARC, expiring cert). This personalises outreach and demonstrates the product in action.</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3 — </w:t>
      </w:r>
      <w:r>
        <w:rPr>
          <w:rFonts w:ascii="Arial" w:cs="Arial" w:eastAsia="Arial" w:hAnsi="Arial"/>
          <w:sz w:val="20"/>
          <w:szCs w:val="20"/>
        </w:rPr>
        <w:t xml:space="preserve">Cold outreach via LinkedIn DM (personalised).</w:t>
      </w:r>
    </w:p>
    <w:p>
      <w:pPr>
        <w:spacing w:after="60" w:before="60"/>
      </w:pPr>
      <w:r>
        <w:rPr>
          <w:rFonts w:ascii="Arial" w:cs="Arial" w:eastAsia="Arial" w:hAnsi="Arial"/>
          <w:sz w:val="20"/>
          <w:szCs w:val="20"/>
        </w:rPr>
        <w:t xml:space="preserve">Template: “Hey [Name], I ran [theirdomain.co.uk] through CyberMeters — your DMARC policy is set to p=none, which means spoofed emails pass validation. Happy to share the full report. Free 14-day trial if you want to run it on your clients.”</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4 — </w:t>
      </w:r>
      <w:r>
        <w:rPr>
          <w:rFonts w:ascii="Arial" w:cs="Arial" w:eastAsia="Arial" w:hAnsi="Arial"/>
          <w:sz w:val="20"/>
          <w:szCs w:val="20"/>
        </w:rPr>
        <w:t xml:space="preserve">Offer 14-day free trial, no card required.</w:t>
      </w:r>
    </w:p>
    <w:p>
      <w:pPr>
        <w:spacing w:after="60" w:before="60"/>
      </w:pPr>
      <w:r>
        <w:rPr>
          <w:rFonts w:ascii="Arial" w:cs="Arial" w:eastAsia="Arial" w:hAnsi="Arial"/>
          <w:sz w:val="20"/>
          <w:szCs w:val="20"/>
        </w:rPr>
        <w:t xml:space="preserve">Lower the barrier to zero. Consultants will self-qualify. Those who add 3+ client domains during trial are near-certain converts.</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5 — </w:t>
      </w:r>
      <w:r>
        <w:rPr>
          <w:rFonts w:ascii="Arial" w:cs="Arial" w:eastAsia="Arial" w:hAnsi="Arial"/>
          <w:sz w:val="20"/>
          <w:szCs w:val="20"/>
        </w:rPr>
        <w:t xml:space="preserve">Follow up with a “client report” PDF example.</w:t>
      </w:r>
    </w:p>
    <w:p>
      <w:pPr>
        <w:spacing w:after="60" w:before="60"/>
      </w:pPr>
      <w:r>
        <w:rPr>
          <w:rFonts w:ascii="Arial" w:cs="Arial" w:eastAsia="Arial" w:hAnsi="Arial"/>
          <w:sz w:val="20"/>
          <w:szCs w:val="20"/>
        </w:rPr>
        <w:t xml:space="preserve">On day 7 of the trial, send a PDF showing how the scan report looks when delivered to a client. Make the monetisation path obvious: they are already charging clients for this work.</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6 — </w:t>
      </w:r>
      <w:r>
        <w:rPr>
          <w:rFonts w:ascii="Arial" w:cs="Arial" w:eastAsia="Arial" w:hAnsi="Arial"/>
          <w:sz w:val="20"/>
          <w:szCs w:val="20"/>
        </w:rPr>
        <w:t xml:space="preserve">Ask for a 30-minute Zoom call before trial ends.</w:t>
      </w:r>
    </w:p>
    <w:p>
      <w:pPr>
        <w:spacing w:after="60" w:before="60"/>
      </w:pPr>
      <w:r>
        <w:rPr>
          <w:rFonts w:ascii="Arial" w:cs="Arial" w:eastAsia="Arial" w:hAnsi="Arial"/>
          <w:sz w:val="20"/>
          <w:szCs w:val="20"/>
        </w:rPr>
        <w:t xml:space="preserve">Not a sales call — frame it as a product feedback session. Understand their workflow. This call converts 40–60% of engaged trial users.</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7 — </w:t>
      </w:r>
      <w:r>
        <w:rPr>
          <w:rFonts w:ascii="Arial" w:cs="Arial" w:eastAsia="Arial" w:hAnsi="Arial"/>
          <w:sz w:val="20"/>
          <w:szCs w:val="20"/>
        </w:rPr>
        <w:t xml:space="preserve">Post in UK cyber security communities.</w:t>
      </w:r>
    </w:p>
    <w:p>
      <w:pPr>
        <w:spacing w:after="60" w:before="60"/>
      </w:pPr>
      <w:r>
        <w:rPr>
          <w:rFonts w:ascii="Arial" w:cs="Arial" w:eastAsia="Arial" w:hAnsi="Arial"/>
          <w:sz w:val="20"/>
          <w:szCs w:val="20"/>
        </w:rPr>
        <w:t xml:space="preserve">Target: NCSC industry groups, UK Cyber Security Forum LinkedIn group, InfoSec Twitter/X. Share a genuine “we built this to solve our own problem” founder post. No ads. Authenticity converts.</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8 — </w:t>
      </w:r>
      <w:r>
        <w:rPr>
          <w:rFonts w:ascii="Arial" w:cs="Arial" w:eastAsia="Arial" w:hAnsi="Arial"/>
          <w:sz w:val="20"/>
          <w:szCs w:val="20"/>
        </w:rPr>
        <w:t xml:space="preserve">Apply to NCSC CyberFirst and Cyber Essentials partner directories.</w:t>
      </w:r>
    </w:p>
    <w:p>
      <w:pPr>
        <w:spacing w:after="60" w:before="60"/>
      </w:pPr>
      <w:r>
        <w:rPr>
          <w:rFonts w:ascii="Arial" w:cs="Arial" w:eastAsia="Arial" w:hAnsi="Arial"/>
          <w:sz w:val="20"/>
          <w:szCs w:val="20"/>
        </w:rPr>
        <w:t xml:space="preserve">Being listed in NCSC-adjacent directories adds instant credibility with both consultancies and regulated sectors.</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9 — </w:t>
      </w:r>
      <w:r>
        <w:rPr>
          <w:rFonts w:ascii="Arial" w:cs="Arial" w:eastAsia="Arial" w:hAnsi="Arial"/>
          <w:sz w:val="20"/>
          <w:szCs w:val="20"/>
        </w:rPr>
        <w:t xml:space="preserve">Reach out to 5 micro-influencers in the UK cyber community.</w:t>
      </w:r>
    </w:p>
    <w:p>
      <w:pPr>
        <w:spacing w:after="60" w:before="60"/>
      </w:pPr>
      <w:r>
        <w:rPr>
          <w:rFonts w:ascii="Arial" w:cs="Arial" w:eastAsia="Arial" w:hAnsi="Arial"/>
          <w:sz w:val="20"/>
          <w:szCs w:val="20"/>
        </w:rPr>
        <w:t xml:space="preserve">Identify practitioners with 1,000–10,000 LinkedIn followers who post about penetration testing, DMARC, or SMB security. Offer a free Pro account in exchange for honest feedback and a post.</w:t>
      </w:r>
    </w:p>
    <w:p>
      <w:pPr>
        <w:spacing w:after="0" w:before="60"/>
      </w:pPr>
      <w:r>
        <w:t xml:space="preserve"/>
      </w:r>
    </w:p>
    <w:p>
      <w:pPr>
        <w:pStyle w:val="ListParagraph"/>
        <w:numPr>
          <w:ilvl w:val="0"/>
          <w:numId w:val="3"/>
        </w:numPr>
        <w:spacing w:after="40" w:before="40"/>
      </w:pPr>
      <w:r>
        <w:rPr>
          <w:rFonts w:ascii="Arial" w:cs="Arial" w:eastAsia="Arial" w:hAnsi="Arial"/>
          <w:b/>
          <w:bCs/>
          <w:sz w:val="20"/>
          <w:szCs w:val="20"/>
        </w:rPr>
        <w:t xml:space="preserve">Step 10 — </w:t>
      </w:r>
      <w:r>
        <w:rPr>
          <w:rFonts w:ascii="Arial" w:cs="Arial" w:eastAsia="Arial" w:hAnsi="Arial"/>
          <w:sz w:val="20"/>
          <w:szCs w:val="20"/>
        </w:rPr>
        <w:t xml:space="preserve">Convert the best trial user into a case study.</w:t>
      </w:r>
    </w:p>
    <w:p>
      <w:pPr>
        <w:spacing w:after="60" w:before="60"/>
      </w:pPr>
      <w:r>
        <w:rPr>
          <w:rFonts w:ascii="Arial" w:cs="Arial" w:eastAsia="Arial" w:hAnsi="Arial"/>
          <w:sz w:val="20"/>
          <w:szCs w:val="20"/>
        </w:rPr>
        <w:t xml:space="preserve">Offer 3 months free in exchange for a named case study: “How [Firm] uses CyberMeters to deliver client domain security audits in 15 minutes.” This becomes the primary sales asset for all future outreach.</w:t>
      </w:r>
    </w:p>
    <w:p>
      <w:r>
        <w:br w:type="page"/>
      </w:r>
    </w:p>
    <w:p>
      <w:pPr>
        <w:pStyle w:val="Heading1"/>
        <w:spacing w:after="120" w:before="400"/>
      </w:pPr>
      <w:r>
        <w:rPr>
          <w:rFonts w:ascii="Arial" w:cs="Arial" w:eastAsia="Arial" w:hAnsi="Arial"/>
          <w:b/>
          <w:bCs/>
          <w:color w:val="1A1A2E"/>
          <w:sz w:val="32"/>
          <w:szCs w:val="32"/>
        </w:rPr>
        <w:t xml:space="preserve">Suggested Pricing Structure</w:t>
      </w:r>
    </w:p>
    <w:p>
      <w:pPr>
        <w:pBdr>
          <w:bottom w:val="single" w:color="1A7C5E" w:sz="8" w:space="1"/>
        </w:pBdr>
        <w:spacing w:after="160" w:before="0"/>
      </w:pPr>
      <w:r>
        <w:t xml:space="preserve"/>
      </w:r>
    </w:p>
    <w:p>
      <w:pPr>
        <w:spacing w:after="60" w:before="60"/>
      </w:pPr>
      <w:r>
        <w:rPr>
          <w:rFonts w:ascii="Arial" w:cs="Arial" w:eastAsia="Arial" w:hAnsi="Arial"/>
          <w:sz w:val="20"/>
          <w:szCs w:val="20"/>
        </w:rPr>
        <w:t xml:space="preserve">Pricing is designed to be accessible at entry level, competitive against Detectify at mid-tier, and compelling for MSPs via per-seat/white-label volume.</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gridCol w:w="1680"/>
      </w:tblGrid>
      <w:tr>
        <w:tc>
          <w:tcPr>
            <w:tcW w:type="dxa" w:w="2100"/>
            <w:tcBorders>
              <w:top w:val="single" w:color="1A7C5E" w:sz="1"/>
              <w:left w:val="single" w:color="1A7C5E" w:sz="1"/>
              <w:bottom w:val="single" w:color="1A7C5E" w:sz="1"/>
              <w:right w:val="single" w:color="1A7C5E" w:sz="1"/>
            </w:tcBorders>
            <w:shd w:fill="1A7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Tier</w:t>
            </w:r>
          </w:p>
        </w:tc>
        <w:tc>
          <w:tcPr>
            <w:tcW w:type="dxa" w:w="2100"/>
            <w:tcBorders>
              <w:top w:val="single" w:color="1A7C5E" w:sz="1"/>
              <w:left w:val="single" w:color="1A7C5E" w:sz="1"/>
              <w:bottom w:val="single" w:color="1A7C5E" w:sz="1"/>
              <w:right w:val="single" w:color="1A7C5E" w:sz="1"/>
            </w:tcBorders>
            <w:shd w:fill="1A7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Starter</w:t>
            </w:r>
          </w:p>
        </w:tc>
        <w:tc>
          <w:tcPr>
            <w:tcW w:type="dxa" w:w="2100"/>
            <w:tcBorders>
              <w:top w:val="single" w:color="1A7C5E" w:sz="1"/>
              <w:left w:val="single" w:color="1A7C5E" w:sz="1"/>
              <w:bottom w:val="single" w:color="1A7C5E" w:sz="1"/>
              <w:right w:val="single" w:color="1A7C5E" w:sz="1"/>
            </w:tcBorders>
            <w:shd w:fill="1A7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Professional</w:t>
            </w:r>
          </w:p>
        </w:tc>
        <w:tc>
          <w:tcPr>
            <w:tcW w:type="dxa" w:w="2100"/>
            <w:tcBorders>
              <w:top w:val="single" w:color="1A7C5E" w:sz="1"/>
              <w:left w:val="single" w:color="1A7C5E" w:sz="1"/>
              <w:bottom w:val="single" w:color="1A7C5E" w:sz="1"/>
              <w:right w:val="single" w:color="1A7C5E" w:sz="1"/>
            </w:tcBorders>
            <w:shd w:fill="1A7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Consultant</w:t>
            </w:r>
          </w:p>
        </w:tc>
        <w:tc>
          <w:tcPr>
            <w:tcW w:type="dxa" w:w="1680"/>
            <w:tcBorders>
              <w:top w:val="single" w:color="1A7C5E" w:sz="1"/>
              <w:left w:val="single" w:color="1A7C5E" w:sz="1"/>
              <w:bottom w:val="single" w:color="1A7C5E" w:sz="1"/>
              <w:right w:val="single" w:color="1A7C5E" w:sz="1"/>
            </w:tcBorders>
            <w:shd w:fill="1A7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MSP Partner</w:t>
            </w:r>
          </w:p>
        </w:tc>
      </w:tr>
      <w:tr>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bCs/>
                <w:color w:val="1A1A2E"/>
                <w:sz w:val="18"/>
                <w:szCs w:val="18"/>
              </w:rPr>
              <w:t xml:space="preserve">Price (monthly)</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7C5E"/>
                <w:sz w:val="18"/>
                <w:szCs w:val="18"/>
              </w:rPr>
              <w:t xml:space="preserve">£59/mo</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7C5E"/>
                <w:sz w:val="18"/>
                <w:szCs w:val="18"/>
              </w:rPr>
              <w:t xml:space="preserve">£149/mo</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7C5E"/>
                <w:sz w:val="18"/>
                <w:szCs w:val="18"/>
              </w:rPr>
              <w:t xml:space="preserve">£299/mo</w:t>
            </w:r>
          </w:p>
        </w:tc>
        <w:tc>
          <w:tcPr>
            <w:tcW w:type="dxa" w:w="1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7C5E"/>
                <w:sz w:val="18"/>
                <w:szCs w:val="18"/>
              </w:rPr>
              <w:t xml:space="preserve">Custom</w:t>
            </w:r>
          </w:p>
        </w:tc>
      </w:tr>
      <w:tr>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left"/>
            </w:pPr>
            <w:r>
              <w:rPr>
                <w:rFonts w:ascii="Arial" w:cs="Arial" w:eastAsia="Arial" w:hAnsi="Arial"/>
                <w:b/>
                <w:bCs/>
                <w:color w:val="1A1A2E"/>
                <w:sz w:val="18"/>
                <w:szCs w:val="18"/>
              </w:rPr>
              <w:t xml:space="preserve">Price (annual)</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£49/mo</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£119/mo</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£239/mo</w:t>
            </w:r>
          </w:p>
        </w:tc>
        <w:tc>
          <w:tcPr>
            <w:tcW w:type="dxa" w:w="168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Volume discount</w:t>
            </w:r>
          </w:p>
        </w:tc>
      </w:tr>
      <w:tr>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bCs/>
                <w:color w:val="1A1A2E"/>
                <w:sz w:val="18"/>
                <w:szCs w:val="18"/>
              </w:rPr>
              <w:t xml:space="preserve">Domains</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1 domain</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5 domains</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25 domains</w:t>
            </w:r>
          </w:p>
        </w:tc>
        <w:tc>
          <w:tcPr>
            <w:tcW w:type="dxa" w:w="1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Unlimited</w:t>
            </w:r>
          </w:p>
        </w:tc>
      </w:tr>
      <w:tr>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left"/>
            </w:pPr>
            <w:r>
              <w:rPr>
                <w:rFonts w:ascii="Arial" w:cs="Arial" w:eastAsia="Arial" w:hAnsi="Arial"/>
                <w:b/>
                <w:bCs/>
                <w:color w:val="1A1A2E"/>
                <w:sz w:val="18"/>
                <w:szCs w:val="18"/>
              </w:rPr>
              <w:t xml:space="preserve">Workspaces</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1</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1</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5</w:t>
            </w:r>
          </w:p>
        </w:tc>
        <w:tc>
          <w:tcPr>
            <w:tcW w:type="dxa" w:w="168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Unlimited</w:t>
            </w:r>
          </w:p>
        </w:tc>
      </w:tr>
      <w:tr>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bCs/>
                <w:color w:val="1A1A2E"/>
                <w:sz w:val="18"/>
                <w:szCs w:val="18"/>
              </w:rPr>
              <w:t xml:space="preserve">Scan frequency</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Weekly</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Daily</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Daily</w:t>
            </w:r>
          </w:p>
        </w:tc>
        <w:tc>
          <w:tcPr>
            <w:tcW w:type="dxa" w:w="1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Custom</w:t>
            </w:r>
          </w:p>
        </w:tc>
      </w:tr>
      <w:tr>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left"/>
            </w:pPr>
            <w:r>
              <w:rPr>
                <w:rFonts w:ascii="Arial" w:cs="Arial" w:eastAsia="Arial" w:hAnsi="Arial"/>
                <w:b/>
                <w:bCs/>
                <w:color w:val="1A1A2E"/>
                <w:sz w:val="18"/>
                <w:szCs w:val="18"/>
              </w:rPr>
              <w:t xml:space="preserve">PDF reports</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Basic</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Branded</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Client-ready</w:t>
            </w:r>
          </w:p>
        </w:tc>
        <w:tc>
          <w:tcPr>
            <w:tcW w:type="dxa" w:w="168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White-label</w:t>
            </w:r>
          </w:p>
        </w:tc>
      </w:tr>
      <w:tr>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bCs/>
                <w:color w:val="1A1A2E"/>
                <w:sz w:val="18"/>
                <w:szCs w:val="18"/>
              </w:rPr>
              <w:t xml:space="preserve">API access</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18"/>
                <w:szCs w:val="18"/>
              </w:rPr>
              <w:t xml:space="preserve">—</w:t>
            </w:r>
          </w:p>
        </w:tc>
        <w:tc>
          <w:tcPr>
            <w:tcW w:type="dxa" w:w="21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7C5E"/>
                <w:sz w:val="18"/>
                <w:szCs w:val="18"/>
              </w:rPr>
              <w:t xml:space="preserve">✓</w:t>
            </w:r>
          </w:p>
        </w:tc>
        <w:tc>
          <w:tcPr>
            <w:tcW w:type="dxa" w:w="16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7C5E"/>
                <w:sz w:val="18"/>
                <w:szCs w:val="18"/>
              </w:rPr>
              <w:t xml:space="preserve">✓</w:t>
            </w:r>
          </w:p>
        </w:tc>
      </w:tr>
      <w:tr>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left"/>
            </w:pPr>
            <w:r>
              <w:rPr>
                <w:rFonts w:ascii="Arial" w:cs="Arial" w:eastAsia="Arial" w:hAnsi="Arial"/>
                <w:b/>
                <w:bCs/>
                <w:color w:val="1A1A2E"/>
                <w:sz w:val="18"/>
                <w:szCs w:val="18"/>
              </w:rPr>
              <w:t xml:space="preserve">Target segment</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3B4A6B"/>
                <w:sz w:val="18"/>
                <w:szCs w:val="18"/>
              </w:rPr>
              <w:t xml:space="preserve">SMB direct</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3B4A6B"/>
                <w:sz w:val="18"/>
                <w:szCs w:val="18"/>
              </w:rPr>
              <w:t xml:space="preserve">IT support, legal, accounting</w:t>
            </w:r>
          </w:p>
        </w:tc>
        <w:tc>
          <w:tcPr>
            <w:tcW w:type="dxa" w:w="210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3B4A6B"/>
                <w:sz w:val="18"/>
                <w:szCs w:val="18"/>
              </w:rPr>
              <w:t xml:space="preserve">Cyber consultancies</w:t>
            </w:r>
          </w:p>
        </w:tc>
        <w:tc>
          <w:tcPr>
            <w:tcW w:type="dxa" w:w="1680"/>
            <w:tcBorders>
              <w:top w:val="single" w:color="C8D8E8" w:sz="1"/>
              <w:left w:val="single" w:color="C8D8E8" w:sz="1"/>
              <w:bottom w:val="single" w:color="C8D8E8" w:sz="1"/>
              <w:right w:val="single" w:color="C8D8E8" w:sz="1"/>
            </w:tcBorders>
            <w:shd w:fill="EAF4F0" w:val="clear"/>
            <w:tcMar>
              <w:top w:type="dxa" w:w="80"/>
              <w:left w:type="dxa" w:w="160"/>
              <w:bottom w:type="dxa" w:w="80"/>
              <w:right w:type="dxa" w:w="160"/>
            </w:tcMar>
          </w:tcPr>
          <w:p>
            <w:pPr>
              <w:jc w:val="center"/>
            </w:pPr>
            <w:r>
              <w:rPr>
                <w:rFonts w:ascii="Arial" w:cs="Arial" w:eastAsia="Arial" w:hAnsi="Arial"/>
                <w:b w:val="false"/>
                <w:bCs w:val="false"/>
                <w:color w:val="3B4A6B"/>
                <w:sz w:val="18"/>
                <w:szCs w:val="18"/>
              </w:rPr>
              <w:t xml:space="preserve">MSPs</w:t>
            </w:r>
          </w:p>
        </w:tc>
      </w:tr>
    </w:tbl>
    <w:p>
      <w:pPr>
        <w:spacing w:after="0" w:before="100"/>
      </w:pPr>
      <w:r>
        <w:t xml:space="preserve"/>
      </w:r>
    </w:p>
    <w:p>
      <w:pPr>
        <w:spacing w:after="60" w:before="60"/>
      </w:pPr>
      <w:r>
        <w:rPr>
          <w:rFonts w:ascii="Arial" w:cs="Arial" w:eastAsia="Arial" w:hAnsi="Arial"/>
          <w:b/>
          <w:bCs/>
          <w:sz w:val="20"/>
          <w:szCs w:val="20"/>
        </w:rPr>
        <w:t xml:space="preserve">Pricing rationale:</w:t>
      </w:r>
    </w:p>
    <w:p>
      <w:pPr>
        <w:pStyle w:val="ListParagraph"/>
        <w:numPr>
          <w:ilvl w:val="0"/>
          <w:numId w:val="2"/>
        </w:numPr>
        <w:spacing w:after="30" w:before="30"/>
      </w:pPr>
      <w:r>
        <w:rPr>
          <w:rFonts w:ascii="Arial" w:cs="Arial" w:eastAsia="Arial" w:hAnsi="Arial"/>
          <w:sz w:val="20"/>
          <w:szCs w:val="20"/>
        </w:rPr>
        <w:t xml:space="preserve">£59/month undercuts Detectify by 85% at entry level while covering domain security for one business.</w:t>
      </w:r>
    </w:p>
    <w:p>
      <w:pPr>
        <w:pStyle w:val="ListParagraph"/>
        <w:numPr>
          <w:ilvl w:val="0"/>
          <w:numId w:val="2"/>
        </w:numPr>
        <w:spacing w:after="30" w:before="30"/>
      </w:pPr>
      <w:r>
        <w:rPr>
          <w:rFonts w:ascii="Arial" w:cs="Arial" w:eastAsia="Arial" w:hAnsi="Arial"/>
          <w:sz w:val="20"/>
          <w:szCs w:val="20"/>
        </w:rPr>
        <w:t xml:space="preserve">£299/month Consultant tier delivers 10x ROI if the user bills just 1 additional hour of work per month using CyberMeters data.</w:t>
      </w:r>
    </w:p>
    <w:p>
      <w:pPr>
        <w:pStyle w:val="ListParagraph"/>
        <w:numPr>
          <w:ilvl w:val="0"/>
          <w:numId w:val="2"/>
        </w:numPr>
        <w:spacing w:after="30" w:before="30"/>
      </w:pPr>
      <w:r>
        <w:rPr>
          <w:rFonts w:ascii="Arial" w:cs="Arial" w:eastAsia="Arial" w:hAnsi="Arial"/>
          <w:sz w:val="20"/>
          <w:szCs w:val="20"/>
        </w:rPr>
        <w:t xml:space="preserve">MSP Partner pricing on request allows volume negotiation. Typical deal: 50 client domains at £6/domain/month = £300/month MRR per MSP partner.</w:t>
      </w:r>
    </w:p>
    <w:p>
      <w:pPr>
        <w:pStyle w:val="ListParagraph"/>
        <w:numPr>
          <w:ilvl w:val="0"/>
          <w:numId w:val="2"/>
        </w:numPr>
        <w:spacing w:after="30" w:before="30"/>
      </w:pPr>
      <w:r>
        <w:rPr>
          <w:rFonts w:ascii="Arial" w:cs="Arial" w:eastAsia="Arial" w:hAnsi="Arial"/>
          <w:sz w:val="20"/>
          <w:szCs w:val="20"/>
        </w:rPr>
        <w:t xml:space="preserve">Annual discount (20%) locks in revenue and reduces churn. Push annual on first sale.</w:t>
      </w:r>
    </w:p>
    <w:p>
      <w:r>
        <w:br w:type="page"/>
      </w:r>
    </w:p>
    <w:p>
      <w:pPr>
        <w:pStyle w:val="Heading1"/>
        <w:spacing w:after="120" w:before="400"/>
      </w:pPr>
      <w:r>
        <w:rPr>
          <w:rFonts w:ascii="Arial" w:cs="Arial" w:eastAsia="Arial" w:hAnsi="Arial"/>
          <w:b/>
          <w:bCs/>
          <w:color w:val="1A1A2E"/>
          <w:sz w:val="32"/>
          <w:szCs w:val="32"/>
        </w:rPr>
        <w:t xml:space="preserve">Suggested Landing Page Messaging</w:t>
      </w:r>
    </w:p>
    <w:p>
      <w:pPr>
        <w:pBdr>
          <w:bottom w:val="single" w:color="1A7C5E" w:sz="8" w:space="1"/>
        </w:pBdr>
        <w:spacing w:after="160" w:before="0"/>
      </w:pPr>
      <w:r>
        <w:t xml:space="preserve"/>
      </w:r>
    </w:p>
    <w:p>
      <w:pPr>
        <w:pStyle w:val="Heading2"/>
        <w:spacing w:after="100" w:before="280"/>
      </w:pPr>
      <w:r>
        <w:rPr>
          <w:rFonts w:ascii="Arial" w:cs="Arial" w:eastAsia="Arial" w:hAnsi="Arial"/>
          <w:b/>
          <w:bCs/>
          <w:color w:val="1A7C5E"/>
          <w:sz w:val="26"/>
          <w:szCs w:val="26"/>
        </w:rPr>
        <w:t xml:space="preserve">Primary Headline</w:t>
      </w:r>
    </w:p>
    <w:p>
      <w:pPr>
        <w:spacing w:after="80" w:before="80"/>
      </w:pPr>
      <w:r>
        <w:rPr>
          <w:rFonts w:ascii="Arial" w:cs="Arial" w:eastAsia="Arial" w:hAnsi="Arial"/>
          <w:b/>
          <w:bCs/>
          <w:color w:val="1A1A2E"/>
          <w:sz w:val="32"/>
          <w:szCs w:val="32"/>
        </w:rPr>
        <w:t xml:space="preserve">“See What Hackers See — Before They Do.”</w:t>
      </w:r>
    </w:p>
    <w:p>
      <w:pPr>
        <w:spacing w:after="60" w:before="60"/>
      </w:pPr>
      <w:r>
        <w:rPr>
          <w:rFonts w:ascii="Arial" w:cs="Arial" w:eastAsia="Arial" w:hAnsi="Arial"/>
          <w:sz w:val="20"/>
          <w:szCs w:val="20"/>
        </w:rPr>
        <w:t xml:space="preserve">Alternative headlines:</w:t>
      </w:r>
    </w:p>
    <w:p>
      <w:pPr>
        <w:pStyle w:val="ListParagraph"/>
        <w:numPr>
          <w:ilvl w:val="0"/>
          <w:numId w:val="2"/>
        </w:numPr>
        <w:spacing w:after="30" w:before="30"/>
      </w:pPr>
      <w:r>
        <w:rPr>
          <w:rFonts w:ascii="Arial" w:cs="Arial" w:eastAsia="Arial" w:hAnsi="Arial"/>
          <w:sz w:val="20"/>
          <w:szCs w:val="20"/>
        </w:rPr>
        <w:t xml:space="preserve">“Your Domain Security Score in 60 Seconds.”</w:t>
      </w:r>
    </w:p>
    <w:p>
      <w:pPr>
        <w:pStyle w:val="ListParagraph"/>
        <w:numPr>
          <w:ilvl w:val="0"/>
          <w:numId w:val="2"/>
        </w:numPr>
        <w:spacing w:after="30" w:before="30"/>
      </w:pPr>
      <w:r>
        <w:rPr>
          <w:rFonts w:ascii="Arial" w:cs="Arial" w:eastAsia="Arial" w:hAnsi="Arial"/>
          <w:sz w:val="20"/>
          <w:szCs w:val="20"/>
        </w:rPr>
        <w:t xml:space="preserve">“Stop Phishing, Spoofing, and Subdomain Takeovers Before They Start.”</w:t>
      </w:r>
    </w:p>
    <w:p>
      <w:pPr>
        <w:pStyle w:val="ListParagraph"/>
        <w:numPr>
          <w:ilvl w:val="0"/>
          <w:numId w:val="2"/>
        </w:numPr>
        <w:spacing w:after="30" w:before="30"/>
      </w:pPr>
      <w:r>
        <w:rPr>
          <w:rFonts w:ascii="Arial" w:cs="Arial" w:eastAsia="Arial" w:hAnsi="Arial"/>
          <w:sz w:val="20"/>
          <w:szCs w:val="20"/>
        </w:rPr>
        <w:t xml:space="preserve">“The Security Scan Your Clients Have Been Asking For.” (MSP variant)</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Sub-headline</w:t>
      </w:r>
    </w:p>
    <w:p>
      <w:pPr>
        <w:spacing w:after="60" w:before="60"/>
      </w:pPr>
      <w:r>
        <w:rPr>
          <w:rFonts w:ascii="Arial" w:cs="Arial" w:eastAsia="Arial" w:hAnsi="Arial"/>
          <w:sz w:val="20"/>
          <w:szCs w:val="20"/>
        </w:rPr>
        <w:t xml:space="preserve">CyberMeters scans your domain for DNS misconfigurations, email spoofing vulnerabilities, SSL issues, subdomain exposure, and admin surface risks. You get a clear security score and an action plan — in under a minute.</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Three Value Props (Homepage)</w:t>
      </w:r>
    </w:p>
    <w:p>
      <w:pPr>
        <w:spacing w:after="0" w:before="40"/>
      </w:pPr>
      <w:r>
        <w:t xml:space="preserve"/>
      </w:r>
    </w:p>
    <w:p>
      <w:pPr>
        <w:spacing w:after="60" w:before="220"/>
      </w:pPr>
      <w:r>
        <w:rPr>
          <w:rFonts w:ascii="Arial" w:cs="Arial" w:eastAsia="Arial" w:hAnsi="Arial"/>
          <w:b/>
          <w:bCs/>
          <w:color w:val="3B4A6B"/>
          <w:sz w:val="22"/>
          <w:szCs w:val="22"/>
        </w:rPr>
        <w:t xml:space="preserve">Instant external attack surface visibility</w:t>
      </w:r>
    </w:p>
    <w:p>
      <w:pPr>
        <w:spacing w:after="60" w:before="60"/>
      </w:pPr>
      <w:r>
        <w:rPr>
          <w:rFonts w:ascii="Arial" w:cs="Arial" w:eastAsia="Arial" w:hAnsi="Arial"/>
          <w:sz w:val="20"/>
          <w:szCs w:val="20"/>
        </w:rPr>
        <w:t xml:space="preserve">See your domain the way an attacker does. CyberMeters runs 10+ security checks in parallel — DNS, SSL, email security, subdomain discovery, exposed admin panels — and gives you a single risk score.</w:t>
      </w:r>
    </w:p>
    <w:p>
      <w:pPr>
        <w:spacing w:after="0" w:before="60"/>
      </w:pPr>
      <w:r>
        <w:t xml:space="preserve"/>
      </w:r>
    </w:p>
    <w:p>
      <w:pPr>
        <w:spacing w:after="60" w:before="220"/>
      </w:pPr>
      <w:r>
        <w:rPr>
          <w:rFonts w:ascii="Arial" w:cs="Arial" w:eastAsia="Arial" w:hAnsi="Arial"/>
          <w:b/>
          <w:bCs/>
          <w:color w:val="3B4A6B"/>
          <w:sz w:val="22"/>
          <w:szCs w:val="22"/>
        </w:rPr>
        <w:t xml:space="preserve">Built for consultants and IT teams, priced for SMBs</w:t>
      </w:r>
    </w:p>
    <w:p>
      <w:pPr>
        <w:spacing w:after="60" w:before="60"/>
      </w:pPr>
      <w:r>
        <w:rPr>
          <w:rFonts w:ascii="Arial" w:cs="Arial" w:eastAsia="Arial" w:hAnsi="Arial"/>
          <w:sz w:val="20"/>
          <w:szCs w:val="20"/>
        </w:rPr>
        <w:t xml:space="preserve">Finally, an external security scanner that doesn’t cost £40,000 a year. From £59/month for a single domain to unlimited white-label scanning for MSPs.</w:t>
      </w:r>
    </w:p>
    <w:p>
      <w:pPr>
        <w:spacing w:after="0" w:before="60"/>
      </w:pPr>
      <w:r>
        <w:t xml:space="preserve"/>
      </w:r>
    </w:p>
    <w:p>
      <w:pPr>
        <w:spacing w:after="60" w:before="220"/>
      </w:pPr>
      <w:r>
        <w:rPr>
          <w:rFonts w:ascii="Arial" w:cs="Arial" w:eastAsia="Arial" w:hAnsi="Arial"/>
          <w:b/>
          <w:bCs/>
          <w:color w:val="3B4A6B"/>
          <w:sz w:val="22"/>
          <w:szCs w:val="22"/>
        </w:rPr>
        <w:t xml:space="preserve">Client-ready reports in one click</w:t>
      </w:r>
    </w:p>
    <w:p>
      <w:pPr>
        <w:spacing w:after="60" w:before="60"/>
      </w:pPr>
      <w:r>
        <w:rPr>
          <w:rFonts w:ascii="Arial" w:cs="Arial" w:eastAsia="Arial" w:hAnsi="Arial"/>
          <w:sz w:val="20"/>
          <w:szCs w:val="20"/>
        </w:rPr>
        <w:t xml:space="preserve">Export branded PDF reports your clients can actually read. No raw JSON, no confusing dashboards — just a clear score, a risk breakdown, and a prioritised remediation plan.</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Segment-Specific Messaging</w:t>
      </w:r>
    </w:p>
    <w:p>
      <w:pPr>
        <w:spacing w:after="0" w:before="60"/>
      </w:pPr>
      <w:r>
        <w:t xml:space="preserve"/>
      </w:r>
    </w:p>
    <w:p>
      <w:pPr>
        <w:spacing w:after="40" w:before="100"/>
      </w:pPr>
      <w:r>
        <w:rPr>
          <w:rFonts w:ascii="Arial" w:cs="Arial" w:eastAsia="Arial" w:hAnsi="Arial"/>
          <w:b/>
          <w:bCs/>
          <w:color w:val="1A7C5E"/>
          <w:spacing w:val="40"/>
          <w:sz w:val="16"/>
          <w:szCs w:val="16"/>
        </w:rPr>
        <w:t xml:space="preserve">FOR CYBER SECURITY CONSULTANCIES</w:t>
      </w:r>
    </w:p>
    <w:p>
      <w:pPr>
        <w:spacing w:after="60" w:before="60"/>
      </w:pPr>
      <w:r>
        <w:rPr>
          <w:rFonts w:ascii="Arial" w:cs="Arial" w:eastAsia="Arial" w:hAnsi="Arial"/>
          <w:sz w:val="20"/>
          <w:szCs w:val="20"/>
        </w:rPr>
        <w:t xml:space="preserve">Stop spending 3 hours manually checking DNS, DMARC, and SSL for every new client. CyberMeters runs it all in 60 seconds and gives you a client-ready report. £299/month covers 25 clients.</w:t>
      </w:r>
    </w:p>
    <w:p>
      <w:pPr>
        <w:spacing w:after="0" w:before="60"/>
      </w:pPr>
      <w:r>
        <w:t xml:space="preserve"/>
      </w:r>
    </w:p>
    <w:p>
      <w:pPr>
        <w:spacing w:after="40" w:before="100"/>
      </w:pPr>
      <w:r>
        <w:rPr>
          <w:rFonts w:ascii="Arial" w:cs="Arial" w:eastAsia="Arial" w:hAnsi="Arial"/>
          <w:b/>
          <w:bCs/>
          <w:color w:val="1A7C5E"/>
          <w:spacing w:val="40"/>
          <w:sz w:val="16"/>
          <w:szCs w:val="16"/>
        </w:rPr>
        <w:t xml:space="preserve">FOR IT SUPPORT COMPANIES &amp; MSPS</w:t>
      </w:r>
    </w:p>
    <w:p>
      <w:pPr>
        <w:spacing w:after="60" w:before="60"/>
      </w:pPr>
      <w:r>
        <w:rPr>
          <w:rFonts w:ascii="Arial" w:cs="Arial" w:eastAsia="Arial" w:hAnsi="Arial"/>
          <w:sz w:val="20"/>
          <w:szCs w:val="20"/>
        </w:rPr>
        <w:t xml:space="preserve">Add external domain security to your managed service stack. White-label CyberMeters reports under your own brand and bill clients for the insight. A new recurring revenue line with zero extra headcount.</w:t>
      </w:r>
    </w:p>
    <w:p>
      <w:pPr>
        <w:spacing w:after="0" w:before="60"/>
      </w:pPr>
      <w:r>
        <w:t xml:space="preserve"/>
      </w:r>
    </w:p>
    <w:p>
      <w:pPr>
        <w:spacing w:after="40" w:before="100"/>
      </w:pPr>
      <w:r>
        <w:rPr>
          <w:rFonts w:ascii="Arial" w:cs="Arial" w:eastAsia="Arial" w:hAnsi="Arial"/>
          <w:b/>
          <w:bCs/>
          <w:color w:val="1A7C5E"/>
          <w:spacing w:val="40"/>
          <w:sz w:val="16"/>
          <w:szCs w:val="16"/>
        </w:rPr>
        <w:t xml:space="preserve">FOR LEGAL FIRMS</w:t>
      </w:r>
    </w:p>
    <w:p>
      <w:pPr>
        <w:spacing w:after="60" w:before="60"/>
      </w:pPr>
      <w:r>
        <w:rPr>
          <w:rFonts w:ascii="Arial" w:cs="Arial" w:eastAsia="Arial" w:hAnsi="Arial"/>
          <w:sz w:val="20"/>
          <w:szCs w:val="20"/>
        </w:rPr>
        <w:t xml:space="preserve">The SRA expects you to demonstrate active cyber controls. CyberMeters monitors your firm’s domain around the clock and alerts you to risks before they become incidents — or headlines.</w:t>
      </w:r>
    </w:p>
    <w:p>
      <w:pPr>
        <w:spacing w:after="0" w:before="60"/>
      </w:pPr>
      <w:r>
        <w:t xml:space="preserve"/>
      </w:r>
    </w:p>
    <w:p>
      <w:pPr>
        <w:spacing w:after="40" w:before="100"/>
      </w:pPr>
      <w:r>
        <w:rPr>
          <w:rFonts w:ascii="Arial" w:cs="Arial" w:eastAsia="Arial" w:hAnsi="Arial"/>
          <w:b/>
          <w:bCs/>
          <w:color w:val="1A7C5E"/>
          <w:spacing w:val="40"/>
          <w:sz w:val="16"/>
          <w:szCs w:val="16"/>
        </w:rPr>
        <w:t xml:space="preserve">FOR ACCOUNTANCY PRACTICES</w:t>
      </w:r>
    </w:p>
    <w:p>
      <w:pPr>
        <w:spacing w:after="60" w:before="60"/>
      </w:pPr>
      <w:r>
        <w:rPr>
          <w:rFonts w:ascii="Arial" w:cs="Arial" w:eastAsia="Arial" w:hAnsi="Arial"/>
          <w:sz w:val="20"/>
          <w:szCs w:val="20"/>
        </w:rPr>
        <w:t xml:space="preserve">BEC fraud targeting accountants is up 33% in 2025. CyberMeters checks whether your domain can be spoofed and whether your email security is configured correctly — starting with your HMRC-registered domain.</w:t>
      </w:r>
    </w:p>
    <w:p>
      <w:pPr>
        <w:spacing w:after="0" w:before="100"/>
      </w:pPr>
      <w:r>
        <w:t xml:space="preserve"/>
      </w:r>
    </w:p>
    <w:p>
      <w:pPr>
        <w:pStyle w:val="Heading2"/>
        <w:spacing w:after="100" w:before="280"/>
      </w:pPr>
      <w:r>
        <w:rPr>
          <w:rFonts w:ascii="Arial" w:cs="Arial" w:eastAsia="Arial" w:hAnsi="Arial"/>
          <w:b/>
          <w:bCs/>
          <w:color w:val="1A7C5E"/>
          <w:sz w:val="26"/>
          <w:szCs w:val="26"/>
        </w:rPr>
        <w:t xml:space="preserve">Call to Action</w:t>
      </w:r>
    </w:p>
    <w:p>
      <w:pPr>
        <w:spacing w:after="60" w:before="60"/>
      </w:pPr>
      <w:r>
        <w:rPr>
          <w:rFonts w:ascii="Arial" w:cs="Arial" w:eastAsia="Arial" w:hAnsi="Arial"/>
          <w:b/>
          <w:bCs/>
          <w:sz w:val="20"/>
          <w:szCs w:val="20"/>
        </w:rPr>
        <w:t xml:space="preserve">Primary CTA:</w:t>
      </w:r>
    </w:p>
    <w:p>
      <w:pPr>
        <w:spacing w:after="60" w:before="60"/>
      </w:pPr>
      <w:r>
        <w:rPr>
          <w:rFonts w:ascii="Arial" w:cs="Arial" w:eastAsia="Arial" w:hAnsi="Arial"/>
          <w:b/>
          <w:bCs/>
          <w:color w:val="1A7C5E"/>
          <w:sz w:val="24"/>
          <w:szCs w:val="24"/>
        </w:rPr>
        <w:t xml:space="preserve">“Scan My Domain Free — No Account Required”</w:t>
      </w:r>
    </w:p>
    <w:p>
      <w:pPr>
        <w:spacing w:after="60" w:before="60"/>
      </w:pPr>
      <w:r>
        <w:rPr>
          <w:rFonts w:ascii="Arial" w:cs="Arial" w:eastAsia="Arial" w:hAnsi="Arial"/>
          <w:b/>
          <w:bCs/>
          <w:sz w:val="20"/>
          <w:szCs w:val="20"/>
        </w:rPr>
        <w:t xml:space="preserve">Secondary CTA:</w:t>
      </w:r>
    </w:p>
    <w:p>
      <w:pPr>
        <w:spacing w:after="60" w:before="60"/>
      </w:pPr>
      <w:r>
        <w:rPr>
          <w:rFonts w:ascii="Arial" w:cs="Arial" w:eastAsia="Arial" w:hAnsi="Arial"/>
          <w:sz w:val="20"/>
          <w:szCs w:val="20"/>
        </w:rPr>
        <w:t xml:space="preserve">“Start 14-Day Free Trial — No Credit Card”</w:t>
      </w:r>
    </w:p>
    <w:p>
      <w:pPr>
        <w:spacing w:after="0" w:before="60"/>
      </w:pPr>
      <w:r>
        <w:t xml:space="preserve"/>
      </w:r>
    </w:p>
    <w:p>
      <w:pPr>
        <w:spacing w:after="60" w:before="60"/>
      </w:pPr>
      <w:r>
        <w:rPr>
          <w:rFonts w:ascii="Arial" w:cs="Arial" w:eastAsia="Arial" w:hAnsi="Arial"/>
          <w:b/>
          <w:bCs/>
          <w:sz w:val="20"/>
          <w:szCs w:val="20"/>
        </w:rPr>
        <w:t xml:space="preserve">Trust signals to include below the fold:</w:t>
      </w:r>
    </w:p>
    <w:p>
      <w:pPr>
        <w:pStyle w:val="ListParagraph"/>
        <w:numPr>
          <w:ilvl w:val="0"/>
          <w:numId w:val="2"/>
        </w:numPr>
        <w:spacing w:after="30" w:before="30"/>
      </w:pPr>
      <w:r>
        <w:rPr>
          <w:rFonts w:ascii="Arial" w:cs="Arial" w:eastAsia="Arial" w:hAnsi="Arial"/>
          <w:sz w:val="20"/>
          <w:szCs w:val="20"/>
        </w:rPr>
        <w:t xml:space="preserve">Built on Cloudflare Workers — scan data never stored beyond your report window.</w:t>
      </w:r>
    </w:p>
    <w:p>
      <w:pPr>
        <w:pStyle w:val="ListParagraph"/>
        <w:numPr>
          <w:ilvl w:val="0"/>
          <w:numId w:val="2"/>
        </w:numPr>
        <w:spacing w:after="30" w:before="30"/>
      </w:pPr>
      <w:r>
        <w:rPr>
          <w:rFonts w:ascii="Arial" w:cs="Arial" w:eastAsia="Arial" w:hAnsi="Arial"/>
          <w:sz w:val="20"/>
          <w:szCs w:val="20"/>
        </w:rPr>
        <w:t xml:space="preserve">Used by UK cyber security consultants.</w:t>
      </w:r>
    </w:p>
    <w:p>
      <w:pPr>
        <w:pStyle w:val="ListParagraph"/>
        <w:numPr>
          <w:ilvl w:val="0"/>
          <w:numId w:val="2"/>
        </w:numPr>
        <w:spacing w:after="30" w:before="30"/>
      </w:pPr>
      <w:r>
        <w:rPr>
          <w:rFonts w:ascii="Arial" w:cs="Arial" w:eastAsia="Arial" w:hAnsi="Arial"/>
          <w:sz w:val="20"/>
          <w:szCs w:val="20"/>
        </w:rPr>
        <w:t xml:space="preserve">Covers DNS, SSL, Email Security, Subdomain Takeover, Admin Surface &amp; more.</w:t>
      </w:r>
    </w:p>
    <w:p>
      <w:pPr>
        <w:pStyle w:val="ListParagraph"/>
        <w:numPr>
          <w:ilvl w:val="0"/>
          <w:numId w:val="2"/>
        </w:numPr>
        <w:spacing w:after="30" w:before="30"/>
      </w:pPr>
      <w:r>
        <w:rPr>
          <w:rFonts w:ascii="Arial" w:cs="Arial" w:eastAsia="Arial" w:hAnsi="Arial"/>
          <w:sz w:val="20"/>
          <w:szCs w:val="20"/>
        </w:rPr>
        <w:t xml:space="preserve">Aligned with NCSC Cyber Essentials controls.</w:t>
      </w:r>
    </w:p>
    <w:p>
      <w:r>
        <w:br w:type="page"/>
      </w:r>
    </w:p>
    <w:p>
      <w:pPr>
        <w:pStyle w:val="Heading1"/>
        <w:spacing w:after="120" w:before="400"/>
      </w:pPr>
      <w:r>
        <w:rPr>
          <w:rFonts w:ascii="Arial" w:cs="Arial" w:eastAsia="Arial" w:hAnsi="Arial"/>
          <w:b/>
          <w:bCs/>
          <w:color w:val="1A1A2E"/>
          <w:sz w:val="32"/>
          <w:szCs w:val="32"/>
        </w:rPr>
        <w:t xml:space="preserve">Appendix: Data Sources</w:t>
      </w:r>
    </w:p>
    <w:p>
      <w:pPr>
        <w:pBdr>
          <w:bottom w:val="single" w:color="1A7C5E" w:sz="8" w:space="1"/>
        </w:pBdr>
        <w:spacing w:after="160" w:before="0"/>
      </w:pPr>
      <w:r>
        <w:t xml:space="preserve"/>
      </w:r>
    </w:p>
    <w:p>
      <w:pPr>
        <w:spacing w:after="60" w:before="60"/>
      </w:pPr>
      <w:r>
        <w:rPr>
          <w:rFonts w:ascii="Arial" w:cs="Arial" w:eastAsia="Arial" w:hAnsi="Arial"/>
          <w:sz w:val="20"/>
          <w:szCs w:val="20"/>
        </w:rPr>
        <w:t xml:space="preserve">Research conducted June 2026. All figures are sourced from UK government publications and industry reports.</w:t>
      </w:r>
    </w:p>
    <w:p>
      <w:pPr>
        <w:spacing w:after="0" w:before="60"/>
      </w:pPr>
      <w:r>
        <w:t xml:space="preserve"/>
      </w:r>
    </w:p>
    <w:p>
      <w:pPr>
        <w:pStyle w:val="ListParagraph"/>
        <w:numPr>
          <w:ilvl w:val="0"/>
          <w:numId w:val="2"/>
        </w:numPr>
        <w:spacing w:after="30" w:before="30"/>
      </w:pPr>
      <w:r>
        <w:rPr>
          <w:rFonts w:ascii="Arial" w:cs="Arial" w:eastAsia="Arial" w:hAnsi="Arial"/>
          <w:sz w:val="20"/>
          <w:szCs w:val="20"/>
        </w:rPr>
        <w:t xml:space="preserve">UK Government: Research on the Managed Service Providers Market 2025 — assets.publishing.service.gov.uk</w:t>
      </w:r>
    </w:p>
    <w:p>
      <w:pPr>
        <w:pStyle w:val="ListParagraph"/>
        <w:numPr>
          <w:ilvl w:val="0"/>
          <w:numId w:val="2"/>
        </w:numPr>
        <w:spacing w:after="30" w:before="30"/>
      </w:pPr>
      <w:r>
        <w:rPr>
          <w:rFonts w:ascii="Arial" w:cs="Arial" w:eastAsia="Arial" w:hAnsi="Arial"/>
          <w:sz w:val="20"/>
          <w:szCs w:val="20"/>
        </w:rPr>
        <w:t xml:space="preserve">UK Government: Cyber Security Breaches Survey 2025/2026 — gov.uk/government/statistics</w:t>
      </w:r>
    </w:p>
    <w:p>
      <w:pPr>
        <w:pStyle w:val="ListParagraph"/>
        <w:numPr>
          <w:ilvl w:val="0"/>
          <w:numId w:val="2"/>
        </w:numPr>
        <w:spacing w:after="30" w:before="30"/>
      </w:pPr>
      <w:r>
        <w:rPr>
          <w:rFonts w:ascii="Arial" w:cs="Arial" w:eastAsia="Arial" w:hAnsi="Arial"/>
          <w:sz w:val="20"/>
          <w:szCs w:val="20"/>
        </w:rPr>
        <w:t xml:space="preserve">UK Government: Cyber Security Sectoral Analysis 2025 — assets.publishing.service.gov.uk</w:t>
      </w:r>
    </w:p>
    <w:p>
      <w:pPr>
        <w:pStyle w:val="ListParagraph"/>
        <w:numPr>
          <w:ilvl w:val="0"/>
          <w:numId w:val="2"/>
        </w:numPr>
        <w:spacing w:after="30" w:before="30"/>
      </w:pPr>
      <w:r>
        <w:rPr>
          <w:rFonts w:ascii="Arial" w:cs="Arial" w:eastAsia="Arial" w:hAnsi="Arial"/>
          <w:sz w:val="20"/>
          <w:szCs w:val="20"/>
        </w:rPr>
        <w:t xml:space="preserve">IMARC Group: UK Cybersecurity Market Size &amp; Forecast 2025–2033</w:t>
      </w:r>
    </w:p>
    <w:p>
      <w:pPr>
        <w:pStyle w:val="ListParagraph"/>
        <w:numPr>
          <w:ilvl w:val="0"/>
          <w:numId w:val="2"/>
        </w:numPr>
        <w:spacing w:after="30" w:before="30"/>
      </w:pPr>
      <w:r>
        <w:rPr>
          <w:rFonts w:ascii="Arial" w:cs="Arial" w:eastAsia="Arial" w:hAnsi="Arial"/>
          <w:sz w:val="20"/>
          <w:szCs w:val="20"/>
        </w:rPr>
        <w:t xml:space="preserve">Infosecurity Magazine: UK’s Cyber Sector Grows Revenue 11% to £14.7bn</w:t>
      </w:r>
    </w:p>
    <w:p>
      <w:pPr>
        <w:pStyle w:val="ListParagraph"/>
        <w:numPr>
          <w:ilvl w:val="0"/>
          <w:numId w:val="2"/>
        </w:numPr>
        <w:spacing w:after="30" w:before="30"/>
      </w:pPr>
      <w:r>
        <w:rPr>
          <w:rFonts w:ascii="Arial" w:cs="Arial" w:eastAsia="Arial" w:hAnsi="Arial"/>
          <w:sz w:val="20"/>
          <w:szCs w:val="20"/>
        </w:rPr>
        <w:t xml:space="preserve">IT Pro: UK SMBs Are Ramping Up Cybersecurity Spending</w:t>
      </w:r>
    </w:p>
    <w:p>
      <w:pPr>
        <w:pStyle w:val="ListParagraph"/>
        <w:numPr>
          <w:ilvl w:val="0"/>
          <w:numId w:val="2"/>
        </w:numPr>
        <w:spacing w:after="30" w:before="30"/>
      </w:pPr>
      <w:r>
        <w:rPr>
          <w:rFonts w:ascii="Arial" w:cs="Arial" w:eastAsia="Arial" w:hAnsi="Arial"/>
          <w:sz w:val="20"/>
          <w:szCs w:val="20"/>
        </w:rPr>
        <w:t xml:space="preserve">Connection Technologies: Cyber Security for Solicitors UK 2026 — SRA &amp; Lexcel Guide</w:t>
      </w:r>
    </w:p>
    <w:p>
      <w:pPr>
        <w:pStyle w:val="ListParagraph"/>
        <w:numPr>
          <w:ilvl w:val="0"/>
          <w:numId w:val="2"/>
        </w:numPr>
        <w:spacing w:after="30" w:before="30"/>
      </w:pPr>
      <w:r>
        <w:rPr>
          <w:rFonts w:ascii="Arial" w:cs="Arial" w:eastAsia="Arial" w:hAnsi="Arial"/>
          <w:sz w:val="20"/>
          <w:szCs w:val="20"/>
        </w:rPr>
        <w:t xml:space="preserve">Connection Technologies: Cyber Security for Accountants UK 2026 — ICAEW &amp; ACCA Guide</w:t>
      </w:r>
    </w:p>
    <w:p>
      <w:pPr>
        <w:pStyle w:val="ListParagraph"/>
        <w:numPr>
          <w:ilvl w:val="0"/>
          <w:numId w:val="2"/>
        </w:numPr>
        <w:spacing w:after="30" w:before="30"/>
      </w:pPr>
      <w:r>
        <w:rPr>
          <w:rFonts w:ascii="Arial" w:cs="Arial" w:eastAsia="Arial" w:hAnsi="Arial"/>
          <w:sz w:val="20"/>
          <w:szCs w:val="20"/>
        </w:rPr>
        <w:t xml:space="preserve">NorthDoor: Cyber Security and Resilience Bill UK Compliance Guide</w:t>
      </w:r>
    </w:p>
    <w:p>
      <w:pPr>
        <w:pStyle w:val="ListParagraph"/>
        <w:numPr>
          <w:ilvl w:val="0"/>
          <w:numId w:val="2"/>
        </w:numPr>
        <w:spacing w:after="30" w:before="30"/>
      </w:pPr>
      <w:r>
        <w:rPr>
          <w:rFonts w:ascii="Arial" w:cs="Arial" w:eastAsia="Arial" w:hAnsi="Arial"/>
          <w:sz w:val="20"/>
          <w:szCs w:val="20"/>
        </w:rPr>
        <w:t xml:space="preserve">NetNavi: Cybersecurity Services Cost 2025 — netnavi.co.uk</w:t>
      </w:r>
    </w:p>
    <w:p>
      <w:pPr>
        <w:pStyle w:val="ListParagraph"/>
        <w:numPr>
          <w:ilvl w:val="0"/>
          <w:numId w:val="2"/>
        </w:numPr>
        <w:spacing w:after="30" w:before="30"/>
      </w:pPr>
      <w:r>
        <w:rPr>
          <w:rFonts w:ascii="Arial" w:cs="Arial" w:eastAsia="Arial" w:hAnsi="Arial"/>
          <w:sz w:val="20"/>
          <w:szCs w:val="20"/>
        </w:rPr>
        <w:t xml:space="preserve">Capterra: Detectify Software Pricing 2026</w:t>
      </w:r>
    </w:p>
    <w:p>
      <w:pPr>
        <w:spacing w:after="0" w:before="200"/>
      </w:pPr>
      <w:r>
        <w:t xml:space="preserve"/>
      </w:r>
    </w:p>
    <w:p>
      <w:pPr>
        <w:jc w:val="center"/>
      </w:pPr>
      <w:r>
        <w:rPr>
          <w:rFonts w:ascii="Arial" w:cs="Arial" w:eastAsia="Arial" w:hAnsi="Arial"/>
          <w:color w:val="AAAAAA"/>
          <w:sz w:val="16"/>
          <w:szCs w:val="16"/>
        </w:rPr>
        <w:t xml:space="preserve">CyberMeters — cybermeters.com  |  Document version 1.0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tabs>
        <w:tab w:val="right" w:pos="10080"/>
      </w:tabs>
    </w:pPr>
    <w:r>
      <w:rPr>
        <w:rFonts w:ascii="Arial" w:cs="Arial" w:eastAsia="Arial" w:hAnsi="Arial"/>
        <w:color w:val="AAAAAA"/>
        <w:sz w:val="16"/>
        <w:szCs w:val="16"/>
      </w:rPr>
      <w:t xml:space="preserve">cybermeters.com  •  Internal Use Only</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4" w:space="1"/>
      </w:pBdr>
      <w:tabs>
        <w:tab w:val="right" w:pos="10080"/>
      </w:tabs>
    </w:pPr>
    <w:r>
      <w:rPr>
        <w:rFonts w:ascii="Arial" w:cs="Arial" w:eastAsia="Arial" w:hAnsi="Arial"/>
        <w:b/>
        <w:bCs/>
        <w:color w:val="1A7C5E"/>
        <w:sz w:val="18"/>
        <w:szCs w:val="18"/>
      </w:rPr>
      <w:t xml:space="preserve">CyberMeters</w:t>
    </w:r>
    <w:r>
      <w:rPr>
        <w:rFonts w:ascii="Arial" w:cs="Arial" w:eastAsia="Arial" w:hAnsi="Arial"/>
        <w:color w:val="3B4A6B"/>
        <w:sz w:val="18"/>
        <w:szCs w:val="18"/>
      </w:rPr>
      <w:t xml:space="preserve">  |  Go-To-Market Planning Document</w:t>
    </w:r>
    <w:r>
      <w:rPr>
        <w:rFonts w:ascii="Arial" w:cs="Arial" w:eastAsia="Arial" w:hAnsi="Arial"/>
        <w:sz w:val="18"/>
        <w:szCs w:val="18"/>
      </w:rPr>
      <w:t xml:space="preserve">	</w:t>
    </w:r>
    <w:r>
      <w:rPr>
        <w:rFonts w:ascii="Arial" w:cs="Arial" w:eastAsia="Arial" w:hAnsi="Arial"/>
        <w:color w:val="AAAAAA"/>
        <w:sz w:val="16"/>
        <w:szCs w:val="16"/>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7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2026-06-19T08:59:05.417Z</dcterms:created>
  <dcterms:modified xsi:type="dcterms:W3CDTF">2026-06-19T08:59:05.417Z</dcterms:modified>
</cp:coreProperties>
</file>

<file path=docProps/custom.xml><?xml version="1.0" encoding="utf-8"?>
<Properties xmlns="http://schemas.openxmlformats.org/officeDocument/2006/custom-properties" xmlns:vt="http://schemas.openxmlformats.org/officeDocument/2006/docPropsVTypes"/>
</file>