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9360" w:type="dxa"/>
      </w:tblPr>
      <w:tblGrid>
        <w:gridCol w:w="9360"/>
      </w:tblGrid>
      <w:tr>
        <w:tc>
          <w:tcPr>
            <w:shd w:val="clear" w:color="auto" w:fill="00876A"/>
            <w:tcBorders>
              <w:top w:val="single" w:sz="0" w:color="00876A"/>
              <w:left w:val="single" w:sz="0" w:color="00876A"/>
              <w:bottom w:val="single" w:sz="0" w:color="00876A"/>
              <w:right w:val="single" w:sz="0" w:color="00876A"/>
            </w:tcBorders>
            <w:tcMar>
              <w:top w:w="200" w:type="dxa"/>
              <w:bottom w:w="200" w:type="dxa"/>
              <w:left w:w="240" w:type="dxa"/>
              <w:right w:w="240" w:type="dxa"/>
            </w:tcMar>
            <w:tcW w:w="9360" w:type="dxa"/>
          </w:tcPr>
          <w:p>
            <w:pPr>
              <w:spacing w:before="0" w:after="0"/>
            </w:pPr>
            <w:r>
              <w:rPr>
                <w:rFonts w:ascii="Arial" w:hAnsi="Arial"/>
                <w:b/>
                <w:caps/>
                <w:color w:val="FFFFFF"/>
                <w:sz w:val="20"/>
              </w:rPr>
              <w:t>CYBERMETERS</w:t>
            </w:r>
            <w:r>
              <w:rPr>
                <w:rFonts w:ascii="Arial" w:hAnsi="Arial"/>
                <w:color w:val="B2DFDB"/>
                <w:sz w:val="20"/>
              </w:rPr>
              <w:t xml:space="preserve">   |   CONFIDENTIAL — INTERNAL STRATEGY</w:t>
            </w:r>
          </w:p>
        </w:tc>
      </w:tr>
    </w:tbl>
    <w:p>
      <w:pPr>
        <w:spacing w:before="0" w:after="400"/>
      </w:pPr>
    </w:p>
    <w:p>
      <w:pPr>
        <w:spacing w:before="0" w:after="60"/>
      </w:pPr>
      <w:r>
        <w:rPr>
          <w:rFonts w:ascii="Arial" w:hAnsi="Arial"/>
          <w:b/>
          <w:color w:val="064E3B"/>
          <w:sz w:val="52"/>
        </w:rPr>
        <w:t>STRATEGIC MARKET RESEARCH</w:t>
      </w:r>
    </w:p>
    <w:p>
      <w:pPr>
        <w:spacing w:before="0" w:after="60"/>
      </w:pPr>
      <w:r>
        <w:rPr>
          <w:rFonts w:ascii="Arial" w:hAnsi="Arial"/>
          <w:b/>
          <w:color w:val="00876A"/>
          <w:sz w:val="44"/>
        </w:rPr>
        <w:t>2026 CYBERSECURITY LANDSCAPE</w:t>
      </w:r>
    </w:p>
    <w:p>
      <w:pPr>
        <w:spacing w:before="0" w:after="320"/>
      </w:pPr>
      <w:r>
        <w:rPr>
          <w:rFonts w:ascii="Arial" w:hAnsi="Arial"/>
          <w:b/>
          <w:color w:val="1F2937"/>
          <w:sz w:val="40"/>
        </w:rPr>
        <w:t>&amp; METRIC 3 PRODUCT RECOMMENDATION</w:t>
      </w:r>
    </w:p>
    <w:p>
      <w:pPr>
        <w:pBdr>
          <w:bottom w:val="single" w:sz="12" w:color="00876A" w:space="1"/>
        </w:pBdr>
        <w:spacing w:before="0" w:after="200"/>
      </w:pPr>
    </w:p>
    <w:tbl>
      <w:tblPr>
        <w:tblLook w:firstColumn="1" w:firstRow="1" w:lastColumn="0" w:lastRow="0" w:noHBand="0" w:noVBand="1" w:val="04A0"/>
        <w:tblBorders>
          <w:top w:val="none"/>
          <w:left w:val="none"/>
          <w:bottom w:val="none"/>
          <w:right w:val="none"/>
          <w:insideH w:val="none"/>
          <w:insideV w:val="none"/>
        </w:tblBorders>
        <w:tblW w:w="9360" w:type="dxa"/>
      </w:tblPr>
      <w:tblGrid>
        <w:gridCol w:w="4680"/>
        <w:gridCol w:w="4680"/>
      </w:tblGrid>
      <w:tr>
        <w:tc>
          <w:tcPr>
            <w:shd w:val="clear" w:color="auto" w:fill="FFFFFF"/>
            <w:tcBorders>
              <w:top w:val="single" w:sz="0" w:color="FFFFFF"/>
              <w:left w:val="single" w:sz="0" w:color="FFFFFF"/>
              <w:bottom w:val="single" w:sz="0" w:color="FFFFFF"/>
              <w:right w:val="single" w:sz="0" w:color="FFFFFF"/>
            </w:tcBorders>
            <w:tcMar>
              <w:top w:w="60" w:type="dxa"/>
              <w:bottom w:w="60" w:type="dxa"/>
              <w:left w:w="0" w:type="dxa"/>
              <w:right w:w="40" w:type="dxa"/>
            </w:tcMar>
            <w:vAlign w:val="top"/>
            <w:tcW w:w="2200" w:type="dxa"/>
          </w:tcPr>
          <w:p>
            <w:pPr>
              <w:jc w:val="left"/>
              <w:spacing w:before="0" w:after="0"/>
            </w:pPr>
            <w:r>
              <w:rPr>
                <w:rFonts w:ascii="Arial" w:hAnsi="Arial"/>
                <w:b w:val="0"/>
                <w:i w:val="0"/>
                <w:color w:val="6B7280"/>
                <w:sz w:val="19"/>
              </w:rPr>
              <w:t>Prepared for</w:t>
            </w:r>
          </w:p>
        </w:tc>
        <w:tc>
          <w:tcPr>
            <w:shd w:val="clear" w:color="auto" w:fill="FFFFFF"/>
            <w:tcBorders>
              <w:top w:val="single" w:sz="0" w:color="FFFFFF"/>
              <w:left w:val="single" w:sz="0" w:color="FFFFFF"/>
              <w:bottom w:val="single" w:sz="0" w:color="FFFFFF"/>
              <w:right w:val="single" w:sz="0" w:color="FFFFFF"/>
            </w:tcBorders>
            <w:tcMar>
              <w:top w:w="60" w:type="dxa"/>
              <w:bottom w:w="60" w:type="dxa"/>
              <w:left w:w="140" w:type="dxa"/>
              <w:right w:w="140" w:type="dxa"/>
            </w:tcMar>
            <w:vAlign w:val="top"/>
            <w:tcW w:w="7160" w:type="dxa"/>
          </w:tcPr>
          <w:p>
            <w:pPr>
              <w:jc w:val="left"/>
              <w:spacing w:before="0" w:after="0"/>
            </w:pPr>
            <w:r>
              <w:rPr>
                <w:rFonts w:ascii="Arial" w:hAnsi="Arial"/>
                <w:b/>
                <w:i w:val="0"/>
                <w:color w:val="1F2937"/>
                <w:sz w:val="19"/>
              </w:rPr>
              <w:t>CyberMeters Leadership Team</w:t>
            </w:r>
          </w:p>
        </w:tc>
      </w:tr>
      <w:tr>
        <w:tc>
          <w:tcPr>
            <w:shd w:val="clear" w:color="auto" w:fill="FFFFFF"/>
            <w:tcBorders>
              <w:top w:val="single" w:sz="0" w:color="FFFFFF"/>
              <w:left w:val="single" w:sz="0" w:color="FFFFFF"/>
              <w:bottom w:val="single" w:sz="0" w:color="FFFFFF"/>
              <w:right w:val="single" w:sz="0" w:color="FFFFFF"/>
            </w:tcBorders>
            <w:tcMar>
              <w:top w:w="60" w:type="dxa"/>
              <w:bottom w:w="60" w:type="dxa"/>
              <w:left w:w="0" w:type="dxa"/>
              <w:right w:w="40" w:type="dxa"/>
            </w:tcMar>
            <w:vAlign w:val="top"/>
            <w:tcW w:w="2200" w:type="dxa"/>
          </w:tcPr>
          <w:p>
            <w:pPr>
              <w:jc w:val="left"/>
              <w:spacing w:before="0" w:after="0"/>
            </w:pPr>
            <w:r>
              <w:rPr>
                <w:rFonts w:ascii="Arial" w:hAnsi="Arial"/>
                <w:b w:val="0"/>
                <w:i w:val="0"/>
                <w:color w:val="6B7280"/>
                <w:sz w:val="19"/>
              </w:rPr>
              <w:t>Classification</w:t>
            </w:r>
          </w:p>
        </w:tc>
        <w:tc>
          <w:tcPr>
            <w:shd w:val="clear" w:color="auto" w:fill="FFFFFF"/>
            <w:tcBorders>
              <w:top w:val="single" w:sz="0" w:color="FFFFFF"/>
              <w:left w:val="single" w:sz="0" w:color="FFFFFF"/>
              <w:bottom w:val="single" w:sz="0" w:color="FFFFFF"/>
              <w:right w:val="single" w:sz="0" w:color="FFFFFF"/>
            </w:tcBorders>
            <w:tcMar>
              <w:top w:w="60" w:type="dxa"/>
              <w:bottom w:w="60" w:type="dxa"/>
              <w:left w:w="140" w:type="dxa"/>
              <w:right w:w="140" w:type="dxa"/>
            </w:tcMar>
            <w:vAlign w:val="top"/>
            <w:tcW w:w="7160" w:type="dxa"/>
          </w:tcPr>
          <w:p>
            <w:pPr>
              <w:jc w:val="left"/>
              <w:spacing w:before="0" w:after="0"/>
            </w:pPr>
            <w:r>
              <w:rPr>
                <w:rFonts w:ascii="Arial" w:hAnsi="Arial"/>
                <w:b/>
                <w:i w:val="0"/>
                <w:color w:val="1F2937"/>
                <w:sz w:val="19"/>
              </w:rPr>
              <w:t>Confidential — Internal Strategy Document</w:t>
            </w:r>
          </w:p>
        </w:tc>
      </w:tr>
      <w:tr>
        <w:tc>
          <w:tcPr>
            <w:shd w:val="clear" w:color="auto" w:fill="FFFFFF"/>
            <w:tcBorders>
              <w:top w:val="single" w:sz="0" w:color="FFFFFF"/>
              <w:left w:val="single" w:sz="0" w:color="FFFFFF"/>
              <w:bottom w:val="single" w:sz="0" w:color="FFFFFF"/>
              <w:right w:val="single" w:sz="0" w:color="FFFFFF"/>
            </w:tcBorders>
            <w:tcMar>
              <w:top w:w="60" w:type="dxa"/>
              <w:bottom w:w="60" w:type="dxa"/>
              <w:left w:w="0" w:type="dxa"/>
              <w:right w:w="40" w:type="dxa"/>
            </w:tcMar>
            <w:vAlign w:val="top"/>
            <w:tcW w:w="2200" w:type="dxa"/>
          </w:tcPr>
          <w:p>
            <w:pPr>
              <w:jc w:val="left"/>
              <w:spacing w:before="0" w:after="0"/>
            </w:pPr>
            <w:r>
              <w:rPr>
                <w:rFonts w:ascii="Arial" w:hAnsi="Arial"/>
                <w:b w:val="0"/>
                <w:i w:val="0"/>
                <w:color w:val="6B7280"/>
                <w:sz w:val="19"/>
              </w:rPr>
              <w:t>Date</w:t>
            </w:r>
          </w:p>
        </w:tc>
        <w:tc>
          <w:tcPr>
            <w:shd w:val="clear" w:color="auto" w:fill="FFFFFF"/>
            <w:tcBorders>
              <w:top w:val="single" w:sz="0" w:color="FFFFFF"/>
              <w:left w:val="single" w:sz="0" w:color="FFFFFF"/>
              <w:bottom w:val="single" w:sz="0" w:color="FFFFFF"/>
              <w:right w:val="single" w:sz="0" w:color="FFFFFF"/>
            </w:tcBorders>
            <w:tcMar>
              <w:top w:w="60" w:type="dxa"/>
              <w:bottom w:w="60" w:type="dxa"/>
              <w:left w:w="140" w:type="dxa"/>
              <w:right w:w="140" w:type="dxa"/>
            </w:tcMar>
            <w:vAlign w:val="top"/>
            <w:tcW w:w="7160" w:type="dxa"/>
          </w:tcPr>
          <w:p>
            <w:pPr>
              <w:jc w:val="left"/>
              <w:spacing w:before="0" w:after="0"/>
            </w:pPr>
            <w:r>
              <w:rPr>
                <w:rFonts w:ascii="Arial" w:hAnsi="Arial"/>
                <w:b/>
                <w:i w:val="0"/>
                <w:color w:val="1F2937"/>
                <w:sz w:val="19"/>
              </w:rPr>
              <w:t>June 2026</w:t>
            </w:r>
          </w:p>
        </w:tc>
      </w:tr>
      <w:tr>
        <w:tc>
          <w:tcPr>
            <w:shd w:val="clear" w:color="auto" w:fill="FFFFFF"/>
            <w:tcBorders>
              <w:top w:val="single" w:sz="0" w:color="FFFFFF"/>
              <w:left w:val="single" w:sz="0" w:color="FFFFFF"/>
              <w:bottom w:val="single" w:sz="0" w:color="FFFFFF"/>
              <w:right w:val="single" w:sz="0" w:color="FFFFFF"/>
            </w:tcBorders>
            <w:tcMar>
              <w:top w:w="60" w:type="dxa"/>
              <w:bottom w:w="60" w:type="dxa"/>
              <w:left w:w="0" w:type="dxa"/>
              <w:right w:w="40" w:type="dxa"/>
            </w:tcMar>
            <w:vAlign w:val="top"/>
            <w:tcW w:w="2200" w:type="dxa"/>
          </w:tcPr>
          <w:p>
            <w:pPr>
              <w:jc w:val="left"/>
              <w:spacing w:before="0" w:after="0"/>
            </w:pPr>
            <w:r>
              <w:rPr>
                <w:rFonts w:ascii="Arial" w:hAnsi="Arial"/>
                <w:b w:val="0"/>
                <w:i w:val="0"/>
                <w:color w:val="6B7280"/>
                <w:sz w:val="19"/>
              </w:rPr>
              <w:t>Coverage</w:t>
            </w:r>
          </w:p>
        </w:tc>
        <w:tc>
          <w:tcPr>
            <w:shd w:val="clear" w:color="auto" w:fill="FFFFFF"/>
            <w:tcBorders>
              <w:top w:val="single" w:sz="0" w:color="FFFFFF"/>
              <w:left w:val="single" w:sz="0" w:color="FFFFFF"/>
              <w:bottom w:val="single" w:sz="0" w:color="FFFFFF"/>
              <w:right w:val="single" w:sz="0" w:color="FFFFFF"/>
            </w:tcBorders>
            <w:tcMar>
              <w:top w:w="60" w:type="dxa"/>
              <w:bottom w:w="60" w:type="dxa"/>
              <w:left w:w="140" w:type="dxa"/>
              <w:right w:w="140" w:type="dxa"/>
            </w:tcMar>
            <w:vAlign w:val="top"/>
            <w:tcW w:w="7160" w:type="dxa"/>
          </w:tcPr>
          <w:p>
            <w:pPr>
              <w:jc w:val="left"/>
              <w:spacing w:before="0" w:after="0"/>
            </w:pPr>
            <w:r>
              <w:rPr>
                <w:rFonts w:ascii="Arial" w:hAnsi="Arial"/>
                <w:b/>
                <w:i w:val="0"/>
                <w:color w:val="1F2937"/>
                <w:sz w:val="19"/>
              </w:rPr>
              <w:t>2025–2026 Cybersecurity Market Analysis</w:t>
            </w:r>
          </w:p>
        </w:tc>
      </w:tr>
      <w:tr>
        <w:tc>
          <w:tcPr>
            <w:shd w:val="clear" w:color="auto" w:fill="FFFFFF"/>
            <w:tcBorders>
              <w:top w:val="single" w:sz="0" w:color="FFFFFF"/>
              <w:left w:val="single" w:sz="0" w:color="FFFFFF"/>
              <w:bottom w:val="single" w:sz="0" w:color="FFFFFF"/>
              <w:right w:val="single" w:sz="0" w:color="FFFFFF"/>
            </w:tcBorders>
            <w:tcMar>
              <w:top w:w="60" w:type="dxa"/>
              <w:bottom w:w="60" w:type="dxa"/>
              <w:left w:w="0" w:type="dxa"/>
              <w:right w:w="40" w:type="dxa"/>
            </w:tcMar>
            <w:vAlign w:val="top"/>
            <w:tcW w:w="2200" w:type="dxa"/>
          </w:tcPr>
          <w:p>
            <w:pPr>
              <w:jc w:val="left"/>
              <w:spacing w:before="0" w:after="0"/>
            </w:pPr>
            <w:r>
              <w:rPr>
                <w:rFonts w:ascii="Arial" w:hAnsi="Arial"/>
                <w:b w:val="0"/>
                <w:i w:val="0"/>
                <w:color w:val="6B7280"/>
                <w:sz w:val="19"/>
              </w:rPr>
              <w:t>Recommendation</w:t>
            </w:r>
          </w:p>
        </w:tc>
        <w:tc>
          <w:tcPr>
            <w:shd w:val="clear" w:color="auto" w:fill="FFFFFF"/>
            <w:tcBorders>
              <w:top w:val="single" w:sz="0" w:color="FFFFFF"/>
              <w:left w:val="single" w:sz="0" w:color="FFFFFF"/>
              <w:bottom w:val="single" w:sz="0" w:color="FFFFFF"/>
              <w:right w:val="single" w:sz="0" w:color="FFFFFF"/>
            </w:tcBorders>
            <w:tcMar>
              <w:top w:w="60" w:type="dxa"/>
              <w:bottom w:w="60" w:type="dxa"/>
              <w:left w:w="140" w:type="dxa"/>
              <w:right w:w="140" w:type="dxa"/>
            </w:tcMar>
            <w:vAlign w:val="top"/>
            <w:tcW w:w="7160" w:type="dxa"/>
          </w:tcPr>
          <w:p>
            <w:pPr>
              <w:jc w:val="left"/>
              <w:spacing w:before="0" w:after="0"/>
            </w:pPr>
            <w:r>
              <w:rPr>
                <w:rFonts w:ascii="Arial" w:hAnsi="Arial"/>
                <w:b/>
                <w:i w:val="0"/>
                <w:color w:val="1F2937"/>
                <w:sz w:val="19"/>
              </w:rPr>
              <w:t>Metric 3: CyberMeters Comply — Compliance Automation Platform</w:t>
            </w:r>
          </w:p>
        </w:tc>
      </w:tr>
    </w:tbl>
    <w:p>
      <w:pPr>
        <w:spacing w:before="0" w:after="320"/>
      </w:pPr>
    </w:p>
    <w:p>
      <w:pPr>
        <w:pBdr>
          <w:bottom w:val="single" w:sz="24" w:color="00876A" w:space="1"/>
        </w:pBdr>
        <w:spacing w:before="0" w:after="120"/>
      </w:pPr>
    </w:p>
    <w:p>
      <w:pPr>
        <w:spacing w:before="0" w:after="0"/>
      </w:pPr>
      <w:r>
        <w:rPr>
          <w:rFonts w:ascii="Arial" w:hAnsi="Arial"/>
          <w:i/>
          <w:color w:val="6B7280"/>
          <w:sz w:val="17"/>
        </w:rPr>
        <w:t>This document contains strategic analysis and forward-looking product recommendations. Market data is sourced from Mordor Intelligence, Grand View Research, MarketsandMarkets, and industry publications (2025–2026).</w:t>
      </w:r>
    </w:p>
    <w:p>
      <w:r>
        <w:br w:type="page"/>
      </w:r>
    </w:p>
    <w:p>
      <w:pPr>
        <w:pStyle w:val="Heading1"/>
        <w:spacing w:before="320" w:after="160"/>
      </w:pPr>
      <w:r>
        <w:rPr>
          <w:rFonts w:ascii="Arial" w:hAnsi="Arial"/>
          <w:color w:val="1F2937"/>
          <w:sz w:val="36"/>
        </w:rPr>
        <w:t>Section 1: CyberMeters Strategic Position</w:t>
      </w:r>
    </w:p>
    <w:p>
      <w:pPr>
        <w:pBdr>
          <w:bottom w:val="single" w:sz="12" w:color="00876A" w:space="1"/>
        </w:pBdr>
        <w:spacing w:before="0" w:after="160"/>
      </w:pPr>
    </w:p>
    <w:p>
      <w:pPr>
        <w:spacing w:before="0" w:after="140"/>
      </w:pPr>
      <w:r>
        <w:rPr>
          <w:rFonts w:ascii="Arial" w:hAnsi="Arial"/>
          <w:color w:val="1F2937"/>
          <w:sz w:val="22"/>
        </w:rPr>
        <w:t>CyberMeters is building a multi-product cybersecurity platform for SMBs and MSPs. Two products are established or in development; a third is needed to complete the platform vision and create a defensible, cross-selling ecosystem.</w:t>
      </w:r>
    </w:p>
    <w:p>
      <w:pPr>
        <w:spacing w:before="0" w:after="60"/>
      </w:pPr>
    </w:p>
    <w:p>
      <w:pPr>
        <w:pStyle w:val="Heading2"/>
        <w:spacing w:before="240" w:after="120"/>
      </w:pPr>
      <w:r>
        <w:rPr>
          <w:rFonts w:ascii="Arial" w:hAnsi="Arial"/>
          <w:color w:val="1F2937"/>
          <w:sz w:val="28"/>
        </w:rPr>
        <w:t>1.1  Current Product Portfolio</w:t>
      </w:r>
    </w:p>
    <w:tbl>
      <w:tblPr>
        <w:tblLook w:firstColumn="1" w:firstRow="1" w:lastColumn="0" w:lastRow="0" w:noHBand="0" w:noVBand="1" w:val="04A0"/>
        <w:tblW w:w="9360" w:type="dxa"/>
      </w:tblPr>
      <w:tblGrid>
        <w:gridCol w:w="3120"/>
        <w:gridCol w:w="3120"/>
        <w:gridCol w:w="3120"/>
      </w:tblGrid>
      <w:tr>
        <w:tc>
          <w:tcPr>
            <w:shd w:val="clear" w:color="auto" w:fill="00876A"/>
            <w:tcBorders>
              <w:top w:val="single" w:sz="8" w:color="00876A"/>
              <w:left w:val="single" w:sz="8" w:color="00876A"/>
              <w:bottom w:val="single" w:sz="8" w:color="00876A"/>
              <w:right w:val="single" w:sz="8" w:color="00876A"/>
            </w:tcBorders>
            <w:tcMar>
              <w:top w:w="100" w:type="dxa"/>
              <w:bottom w:w="100" w:type="dxa"/>
              <w:left w:w="140" w:type="dxa"/>
              <w:right w:w="140" w:type="dxa"/>
            </w:tcMar>
            <w:vAlign w:val="top"/>
            <w:tcW w:w="1400" w:type="dxa"/>
          </w:tcPr>
          <w:p>
            <w:pPr>
              <w:jc w:val="left"/>
              <w:spacing w:before="0" w:after="0"/>
            </w:pPr>
            <w:r>
              <w:rPr>
                <w:rFonts w:ascii="Arial" w:hAnsi="Arial"/>
                <w:b/>
                <w:i w:val="0"/>
                <w:color w:val="FFFFFF"/>
                <w:sz w:val="20"/>
              </w:rPr>
              <w:t>Product</w:t>
            </w:r>
          </w:p>
        </w:tc>
        <w:tc>
          <w:tcPr>
            <w:shd w:val="clear" w:color="auto" w:fill="00876A"/>
            <w:tcBorders>
              <w:top w:val="single" w:sz="8" w:color="00876A"/>
              <w:left w:val="single" w:sz="8" w:color="00876A"/>
              <w:bottom w:val="single" w:sz="8" w:color="00876A"/>
              <w:right w:val="single" w:sz="8" w:color="00876A"/>
            </w:tcBorders>
            <w:tcMar>
              <w:top w:w="100" w:type="dxa"/>
              <w:bottom w:w="100" w:type="dxa"/>
              <w:left w:w="140" w:type="dxa"/>
              <w:right w:w="140" w:type="dxa"/>
            </w:tcMar>
            <w:vAlign w:val="top"/>
            <w:tcW w:w="2000" w:type="dxa"/>
          </w:tcPr>
          <w:p>
            <w:pPr>
              <w:jc w:val="left"/>
              <w:spacing w:before="0" w:after="0"/>
            </w:pPr>
            <w:r>
              <w:rPr>
                <w:rFonts w:ascii="Arial" w:hAnsi="Arial"/>
                <w:b/>
                <w:i w:val="0"/>
                <w:color w:val="FFFFFF"/>
                <w:sz w:val="20"/>
              </w:rPr>
              <w:t>Code Name</w:t>
            </w:r>
          </w:p>
        </w:tc>
        <w:tc>
          <w:tcPr>
            <w:shd w:val="clear" w:color="auto" w:fill="00876A"/>
            <w:tcBorders>
              <w:top w:val="single" w:sz="8" w:color="00876A"/>
              <w:left w:val="single" w:sz="8" w:color="00876A"/>
              <w:bottom w:val="single" w:sz="8" w:color="00876A"/>
              <w:right w:val="single" w:sz="8" w:color="00876A"/>
            </w:tcBorders>
            <w:tcMar>
              <w:top w:w="100" w:type="dxa"/>
              <w:bottom w:w="100" w:type="dxa"/>
              <w:left w:w="140" w:type="dxa"/>
              <w:right w:w="140" w:type="dxa"/>
            </w:tcMar>
            <w:vAlign w:val="top"/>
            <w:tcW w:w="5960" w:type="dxa"/>
          </w:tcPr>
          <w:p>
            <w:pPr>
              <w:jc w:val="left"/>
              <w:spacing w:before="0" w:after="0"/>
            </w:pPr>
            <w:r>
              <w:rPr>
                <w:rFonts w:ascii="Arial" w:hAnsi="Arial"/>
                <w:b/>
                <w:i w:val="0"/>
                <w:color w:val="FFFFFF"/>
                <w:sz w:val="20"/>
              </w:rPr>
              <w:t>Core Capabilities</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400" w:type="dxa"/>
          </w:tcPr>
          <w:p>
            <w:pPr>
              <w:jc w:val="left"/>
              <w:spacing w:before="0" w:after="0"/>
            </w:pPr>
            <w:r>
              <w:rPr>
                <w:rFonts w:ascii="Arial" w:hAnsi="Arial"/>
                <w:b/>
                <w:i w:val="0"/>
                <w:color w:val="064E3B"/>
                <w:sz w:val="20"/>
              </w:rPr>
              <w:t>Metric 1</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1F2937"/>
                <w:sz w:val="20"/>
              </w:rPr>
              <w:t>ASM Platform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960" w:type="dxa"/>
          </w:tcPr>
          <w:p>
            <w:pPr>
              <w:jc w:val="left"/>
              <w:spacing w:before="0" w:after="0"/>
            </w:pPr>
            <w:r>
              <w:rPr>
                <w:rFonts w:ascii="Arial" w:hAnsi="Arial"/>
                <w:b w:val="0"/>
                <w:i w:val="0"/>
                <w:color w:val="1F2937"/>
                <w:sz w:val="20"/>
              </w:rPr>
              <w:t>Asset Discovery · Subdomain Discovery · Vendor Detection · Third-Party Asset Discovery · SaaS Exposure · Brand Monitoring · Certificate Intelligence · Security Posture Scoring · Executive Reporting</w:t>
            </w:r>
          </w:p>
        </w:tc>
      </w:tr>
      <w:tr>
        <w:tc>
          <w:tcPr>
            <w:shd w:val="clear" w:color="auto" w:fill="DBEAFE"/>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400" w:type="dxa"/>
          </w:tcPr>
          <w:p>
            <w:pPr>
              <w:jc w:val="left"/>
              <w:spacing w:before="0" w:after="0"/>
            </w:pPr>
            <w:r>
              <w:rPr>
                <w:rFonts w:ascii="Arial" w:hAnsi="Arial"/>
                <w:b/>
                <w:i w:val="0"/>
                <w:color w:val="1D4ED8"/>
                <w:sz w:val="20"/>
              </w:rPr>
              <w:t>Metric 2</w:t>
            </w:r>
          </w:p>
        </w:tc>
        <w:tc>
          <w:tcPr>
            <w:shd w:val="clear" w:color="auto" w:fill="EFF6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1F2937"/>
                <w:sz w:val="20"/>
              </w:rPr>
              <w:t>Human Risk Platform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960" w:type="dxa"/>
          </w:tcPr>
          <w:p>
            <w:pPr>
              <w:jc w:val="left"/>
              <w:spacing w:before="0" w:after="0"/>
            </w:pPr>
            <w:r>
              <w:rPr>
                <w:rFonts w:ascii="Arial" w:hAnsi="Arial"/>
                <w:b w:val="0"/>
                <w:i w:val="0"/>
                <w:color w:val="1F2937"/>
                <w:sz w:val="20"/>
              </w:rPr>
              <w:t>Phishing Simulation · Smishing · Vishing · Quishing · Security Awareness Training · Human Risk Scoring · AI-Personalised Training</w:t>
            </w:r>
          </w:p>
        </w:tc>
      </w:tr>
    </w:tbl>
    <w:p>
      <w:pPr>
        <w:spacing w:before="0" w:after="160"/>
      </w:pPr>
    </w:p>
    <w:p>
      <w:pPr>
        <w:pStyle w:val="Heading2"/>
        <w:spacing w:before="240" w:after="120"/>
      </w:pPr>
      <w:r>
        <w:rPr>
          <w:rFonts w:ascii="Arial" w:hAnsi="Arial"/>
          <w:color w:val="1F2937"/>
          <w:sz w:val="28"/>
        </w:rPr>
        <w:t>1.2  Strategic Gap Analysis</w:t>
      </w:r>
    </w:p>
    <w:p>
      <w:pPr>
        <w:spacing w:before="0" w:after="140"/>
      </w:pPr>
      <w:r>
        <w:rPr>
          <w:rFonts w:ascii="Arial" w:hAnsi="Arial"/>
          <w:color w:val="1F2937"/>
          <w:sz w:val="22"/>
        </w:rPr>
        <w:t>Metric 1 answers: "What is exposed?" — the technical attack surface. Metric 2 answers: "Who is the weakest link?" — the human attack surface. The platform is missing a third pillar that answers: "Are we compliant — and can we prove it?"</w:t>
      </w:r>
    </w:p>
    <w:p>
      <w:pPr>
        <w:spacing w:before="0" w:after="60"/>
      </w:pPr>
    </w:p>
    <w:tbl>
      <w:tblPr>
        <w:tblLook w:firstColumn="1" w:firstRow="1" w:lastColumn="0" w:lastRow="0" w:noHBand="0" w:noVBand="1" w:val="04A0"/>
        <w:tblW w:w="9360" w:type="dxa"/>
      </w:tblPr>
      <w:tblGrid>
        <w:gridCol w:w="9360"/>
      </w:tblGrid>
      <w:tr>
        <w:tc>
          <w:tcPr>
            <w:shd w:val="clear" w:color="auto" w:fill="F0FDF4"/>
            <w:tcBorders>
              <w:top w:val="single" w:sz="8" w:color="00876A"/>
              <w:left w:val="single" w:sz="8" w:color="00876A"/>
              <w:bottom w:val="single" w:sz="8" w:color="00876A"/>
              <w:right w:val="single" w:sz="8" w:color="00876A"/>
            </w:tcBorders>
            <w:tcMar>
              <w:top w:w="160" w:type="dxa"/>
              <w:bottom w:w="160" w:type="dxa"/>
              <w:left w:w="200" w:type="dxa"/>
              <w:right w:w="200" w:type="dxa"/>
            </w:tcMar>
            <w:tcW w:w="9360" w:type="dxa"/>
          </w:tcPr>
          <w:p>
            <w:pPr>
              <w:spacing w:before="0" w:after="80"/>
            </w:pPr>
            <w:r>
              <w:rPr>
                <w:rFonts w:ascii="Arial" w:hAnsi="Arial"/>
                <w:b/>
                <w:color w:val="064E3B"/>
                <w:sz w:val="22"/>
              </w:rPr>
              <w:t>The Missing Pillar</w:t>
            </w:r>
          </w:p>
          <w:p>
            <w:pPr>
              <w:spacing w:before="0" w:after="80"/>
            </w:pPr>
            <w:r>
              <w:rPr>
                <w:rFonts w:ascii="Arial" w:hAnsi="Arial"/>
                <w:b w:val="0"/>
                <w:color w:val="1F2937"/>
                <w:sz w:val="20"/>
              </w:rPr>
              <w:t>Metric 1 and Metric 2 generate rich, continuous security data — but that data is currently siloed in dashboards. Customers cannot yet convert that data into compliance evidence, regulatory readiness, or audit-ready reports. A Compliance Automation Platform would close this loop and make the entire CyberMeters ecosystem exponentially more valuable.</w:t>
            </w:r>
          </w:p>
        </w:tc>
      </w:tr>
    </w:tbl>
    <w:p>
      <w:pPr>
        <w:spacing w:before="0" w:after="80"/>
      </w:pPr>
    </w:p>
    <w:p>
      <w:pPr>
        <w:pStyle w:val="Heading2"/>
        <w:spacing w:before="240" w:after="120"/>
      </w:pPr>
      <w:r>
        <w:rPr>
          <w:rFonts w:ascii="Arial" w:hAnsi="Arial"/>
          <w:color w:val="1F2937"/>
          <w:sz w:val="28"/>
        </w:rPr>
        <w:t>1.3  Platform Vision (Post Metric 3)</w:t>
      </w:r>
    </w:p>
    <w:p>
      <w:pPr>
        <w:spacing w:before="0" w:after="140"/>
      </w:pPr>
      <w:r>
        <w:rPr>
          <w:rFonts w:ascii="Arial" w:hAnsi="Arial"/>
          <w:color w:val="1F2937"/>
          <w:sz w:val="22"/>
        </w:rPr>
        <w:t>With all three Metrics in place, CyberMeters becomes a unified platform where:</w:t>
      </w:r>
    </w:p>
    <w:p>
      <w:pPr>
        <w:pStyle w:val="ListBullet"/>
        <w:spacing w:before="0" w:after="80"/>
      </w:pPr>
      <w:r>
        <w:rPr>
          <w:rFonts w:ascii="Arial" w:hAnsi="Arial"/>
          <w:color w:val="1F2937"/>
          <w:sz w:val="20"/>
        </w:rPr>
        <w:t>ASM scan findings automatically populate compliance control evidence (no manual collection)</w:t>
      </w:r>
    </w:p>
    <w:p>
      <w:pPr>
        <w:pStyle w:val="ListBullet"/>
        <w:spacing w:before="0" w:after="80"/>
      </w:pPr>
      <w:r>
        <w:rPr>
          <w:rFonts w:ascii="Arial" w:hAnsi="Arial"/>
          <w:color w:val="1F2937"/>
          <w:sz w:val="20"/>
        </w:rPr>
        <w:t>Phishing simulation results and human risk scores satisfy training-requirement controls</w:t>
      </w:r>
    </w:p>
    <w:p>
      <w:pPr>
        <w:pStyle w:val="ListBullet"/>
        <w:spacing w:before="0" w:after="80"/>
      </w:pPr>
      <w:r>
        <w:rPr>
          <w:rFonts w:ascii="Arial" w:hAnsi="Arial"/>
          <w:color w:val="1F2937"/>
          <w:sz w:val="20"/>
        </w:rPr>
        <w:t>Compliance posture is scored in real time — not just at audit time</w:t>
      </w:r>
    </w:p>
    <w:p>
      <w:pPr>
        <w:pStyle w:val="ListBullet"/>
        <w:spacing w:before="0" w:after="80"/>
      </w:pPr>
      <w:r>
        <w:rPr>
          <w:rFonts w:ascii="Arial" w:hAnsi="Arial"/>
          <w:color w:val="1F2937"/>
          <w:sz w:val="20"/>
        </w:rPr>
        <w:t>A single workspace view shows technical risk, human risk, and regulatory risk together</w:t>
      </w:r>
    </w:p>
    <w:p>
      <w:pPr>
        <w:pStyle w:val="ListBullet"/>
        <w:spacing w:before="0" w:after="80"/>
      </w:pPr>
      <w:r>
        <w:rPr>
          <w:rFonts w:ascii="Arial" w:hAnsi="Arial"/>
          <w:color w:val="1F2937"/>
          <w:sz w:val="20"/>
        </w:rPr>
        <w:t>MSPs can resell all three products as a managed security bundle with one pane of glass</w:t>
      </w:r>
    </w:p>
    <w:p>
      <w:pPr>
        <w:spacing w:before="0" w:after="80"/>
      </w:pPr>
    </w:p>
    <w:p>
      <w:r>
        <w:br w:type="page"/>
      </w:r>
    </w:p>
    <w:p>
      <w:pPr>
        <w:pStyle w:val="Heading1"/>
        <w:spacing w:before="320" w:after="160"/>
      </w:pPr>
      <w:r>
        <w:rPr>
          <w:rFonts w:ascii="Arial" w:hAnsi="Arial"/>
          <w:color w:val="1F2937"/>
          <w:sz w:val="36"/>
        </w:rPr>
        <w:t>Section 2: Market Analysis</w:t>
      </w:r>
    </w:p>
    <w:p>
      <w:pPr>
        <w:pBdr>
          <w:bottom w:val="single" w:sz="12" w:color="00876A" w:space="1"/>
        </w:pBdr>
        <w:spacing w:before="0" w:after="160"/>
      </w:pPr>
    </w:p>
    <w:p>
      <w:pPr>
        <w:pStyle w:val="Heading2"/>
        <w:spacing w:before="240" w:after="120"/>
      </w:pPr>
      <w:r>
        <w:rPr>
          <w:rFonts w:ascii="Arial" w:hAnsi="Arial"/>
          <w:color w:val="1F2937"/>
          <w:sz w:val="28"/>
        </w:rPr>
        <w:t>2.1  Overall Cybersecurity Market — 2025/2026</w:t>
      </w:r>
    </w:p>
    <w:p>
      <w:pPr>
        <w:spacing w:before="0" w:after="40"/>
      </w:pPr>
    </w:p>
    <w:tbl>
      <w:tblPr>
        <w:tblLook w:firstColumn="1" w:firstRow="1" w:lastColumn="0" w:lastRow="0" w:noHBand="0" w:noVBand="1" w:val="04A0"/>
        <w:tblW w:w="9360" w:type="dxa"/>
      </w:tblPr>
      <w:tblGrid>
        <w:gridCol w:w="2340"/>
        <w:gridCol w:w="2340"/>
        <w:gridCol w:w="2340"/>
        <w:gridCol w:w="2340"/>
      </w:tblGrid>
      <w:tr>
        <w:tc>
          <w:tcPr>
            <w:shd w:val="clear" w:color="auto" w:fill="F9FAFB"/>
            <w:tcBorders>
              <w:top w:val="single" w:sz="4" w:color="E5E7EB"/>
              <w:left w:val="single" w:sz="4" w:color="E5E7EB"/>
              <w:bottom w:val="single" w:sz="4" w:color="E5E7EB"/>
              <w:right w:val="single" w:sz="4" w:color="E5E7EB"/>
            </w:tcBorders>
            <w:tcMar>
              <w:top w:w="120" w:type="dxa"/>
              <w:bottom w:w="120" w:type="dxa"/>
              <w:left w:w="140" w:type="dxa"/>
              <w:right w:w="80" w:type="dxa"/>
            </w:tcMar>
            <w:tcW w:w="1800" w:type="dxa"/>
          </w:tcPr>
          <w:p>
            <w:pPr>
              <w:spacing w:before="0" w:after="40"/>
            </w:pPr>
            <w:r>
              <w:rPr>
                <w:rFonts w:ascii="Arial" w:hAnsi="Arial"/>
                <w:color w:val="6B7280"/>
                <w:sz w:val="18"/>
              </w:rPr>
              <w:t>Global market size (2025)</w:t>
            </w:r>
          </w:p>
        </w:tc>
        <w:tc>
          <w:tcPr>
            <w:shd w:val="clear" w:color="auto" w:fill="F9FAFB"/>
            <w:tcBorders>
              <w:top w:val="single" w:sz="4" w:color="E5E7EB"/>
              <w:left w:val="single" w:sz="4" w:color="E5E7EB"/>
              <w:bottom w:val="single" w:sz="4" w:color="E5E7EB"/>
              <w:right w:val="single" w:sz="4" w:color="E5E7EB"/>
            </w:tcBorders>
            <w:tcMar>
              <w:top w:w="80" w:type="dxa"/>
              <w:bottom w:w="120" w:type="dxa"/>
              <w:left w:w="20" w:type="dxa"/>
              <w:right w:w="140" w:type="dxa"/>
            </w:tcMar>
            <w:tcW w:w="2880" w:type="dxa"/>
          </w:tcPr>
          <w:p>
            <w:pPr>
              <w:spacing w:before="0" w:after="0"/>
            </w:pPr>
            <w:r>
              <w:rPr>
                <w:rFonts w:ascii="Arial" w:hAnsi="Arial"/>
                <w:b/>
                <w:color w:val="00876A"/>
                <w:sz w:val="26"/>
              </w:rPr>
              <w:t>$271.9 billion</w:t>
            </w:r>
          </w:p>
        </w:tc>
        <w:tc>
          <w:tcPr>
            <w:shd w:val="clear" w:color="auto" w:fill="F9FAFB"/>
            <w:tcBorders>
              <w:top w:val="single" w:sz="4" w:color="E5E7EB"/>
              <w:left w:val="single" w:sz="4" w:color="E5E7EB"/>
              <w:bottom w:val="single" w:sz="4" w:color="E5E7EB"/>
              <w:right w:val="single" w:sz="4" w:color="E5E7EB"/>
            </w:tcBorders>
            <w:tcMar>
              <w:top w:w="120" w:type="dxa"/>
              <w:bottom w:w="120" w:type="dxa"/>
              <w:left w:w="140" w:type="dxa"/>
              <w:right w:w="80" w:type="dxa"/>
            </w:tcMar>
            <w:tcW w:w="1800" w:type="dxa"/>
          </w:tcPr>
          <w:p>
            <w:pPr>
              <w:spacing w:before="0" w:after="40"/>
            </w:pPr>
            <w:r>
              <w:rPr>
                <w:rFonts w:ascii="Arial" w:hAnsi="Arial"/>
                <w:color w:val="6B7280"/>
                <w:sz w:val="18"/>
              </w:rPr>
              <w:t>Projected size (2026)</w:t>
            </w:r>
          </w:p>
        </w:tc>
        <w:tc>
          <w:tcPr>
            <w:shd w:val="clear" w:color="auto" w:fill="F9FAFB"/>
            <w:tcBorders>
              <w:top w:val="single" w:sz="4" w:color="E5E7EB"/>
              <w:left w:val="single" w:sz="4" w:color="E5E7EB"/>
              <w:bottom w:val="single" w:sz="4" w:color="E5E7EB"/>
              <w:right w:val="single" w:sz="4" w:color="E5E7EB"/>
            </w:tcBorders>
            <w:tcMar>
              <w:top w:w="80" w:type="dxa"/>
              <w:bottom w:w="120" w:type="dxa"/>
              <w:left w:w="20" w:type="dxa"/>
              <w:right w:w="140" w:type="dxa"/>
            </w:tcMar>
            <w:tcW w:w="2880" w:type="dxa"/>
          </w:tcPr>
          <w:p>
            <w:pPr>
              <w:spacing w:before="0" w:after="0"/>
            </w:pPr>
            <w:r>
              <w:rPr>
                <w:rFonts w:ascii="Arial" w:hAnsi="Arial"/>
                <w:b/>
                <w:color w:val="00876A"/>
                <w:sz w:val="26"/>
              </w:rPr>
              <w:t>$302.0 billion</w:t>
            </w:r>
          </w:p>
        </w:tc>
      </w:tr>
      <w:tr>
        <w:tc>
          <w:tcPr>
            <w:shd w:val="clear" w:color="auto" w:fill="F9FAFB"/>
            <w:tcBorders>
              <w:top w:val="single" w:sz="4" w:color="E5E7EB"/>
              <w:left w:val="single" w:sz="4" w:color="E5E7EB"/>
              <w:bottom w:val="single" w:sz="4" w:color="E5E7EB"/>
              <w:right w:val="single" w:sz="4" w:color="E5E7EB"/>
            </w:tcBorders>
            <w:tcMar>
              <w:top w:w="120" w:type="dxa"/>
              <w:bottom w:w="120" w:type="dxa"/>
              <w:left w:w="140" w:type="dxa"/>
              <w:right w:w="80" w:type="dxa"/>
            </w:tcMar>
            <w:tcW w:w="1800" w:type="dxa"/>
          </w:tcPr>
          <w:p>
            <w:pPr>
              <w:spacing w:before="0" w:after="40"/>
            </w:pPr>
            <w:r>
              <w:rPr>
                <w:rFonts w:ascii="Arial" w:hAnsi="Arial"/>
                <w:color w:val="6B7280"/>
                <w:sz w:val="18"/>
              </w:rPr>
              <w:t>CAGR (2026–2033)</w:t>
            </w:r>
          </w:p>
        </w:tc>
        <w:tc>
          <w:tcPr>
            <w:shd w:val="clear" w:color="auto" w:fill="F9FAFB"/>
            <w:tcBorders>
              <w:top w:val="single" w:sz="4" w:color="E5E7EB"/>
              <w:left w:val="single" w:sz="4" w:color="E5E7EB"/>
              <w:bottom w:val="single" w:sz="4" w:color="E5E7EB"/>
              <w:right w:val="single" w:sz="4" w:color="E5E7EB"/>
            </w:tcBorders>
            <w:tcMar>
              <w:top w:w="80" w:type="dxa"/>
              <w:bottom w:w="120" w:type="dxa"/>
              <w:left w:w="20" w:type="dxa"/>
              <w:right w:w="140" w:type="dxa"/>
            </w:tcMar>
            <w:tcW w:w="2880" w:type="dxa"/>
          </w:tcPr>
          <w:p>
            <w:pPr>
              <w:spacing w:before="0" w:after="0"/>
            </w:pPr>
            <w:r>
              <w:rPr>
                <w:rFonts w:ascii="Arial" w:hAnsi="Arial"/>
                <w:b/>
                <w:color w:val="00876A"/>
                <w:sz w:val="26"/>
              </w:rPr>
              <w:t>11.9%</w:t>
            </w:r>
          </w:p>
        </w:tc>
        <w:tc>
          <w:tcPr>
            <w:shd w:val="clear" w:color="auto" w:fill="F9FAFB"/>
            <w:tcBorders>
              <w:top w:val="single" w:sz="4" w:color="E5E7EB"/>
              <w:left w:val="single" w:sz="4" w:color="E5E7EB"/>
              <w:bottom w:val="single" w:sz="4" w:color="E5E7EB"/>
              <w:right w:val="single" w:sz="4" w:color="E5E7EB"/>
            </w:tcBorders>
            <w:tcMar>
              <w:top w:w="120" w:type="dxa"/>
              <w:bottom w:w="120" w:type="dxa"/>
              <w:left w:w="140" w:type="dxa"/>
              <w:right w:w="80" w:type="dxa"/>
            </w:tcMar>
            <w:tcW w:w="1800" w:type="dxa"/>
          </w:tcPr>
          <w:p>
            <w:pPr>
              <w:spacing w:before="0" w:after="40"/>
            </w:pPr>
            <w:r>
              <w:rPr>
                <w:rFonts w:ascii="Arial" w:hAnsi="Arial"/>
                <w:color w:val="6B7280"/>
                <w:sz w:val="18"/>
              </w:rPr>
              <w:t>VC investment (2025)</w:t>
            </w:r>
          </w:p>
        </w:tc>
        <w:tc>
          <w:tcPr>
            <w:shd w:val="clear" w:color="auto" w:fill="F9FAFB"/>
            <w:tcBorders>
              <w:top w:val="single" w:sz="4" w:color="E5E7EB"/>
              <w:left w:val="single" w:sz="4" w:color="E5E7EB"/>
              <w:bottom w:val="single" w:sz="4" w:color="E5E7EB"/>
              <w:right w:val="single" w:sz="4" w:color="E5E7EB"/>
            </w:tcBorders>
            <w:tcMar>
              <w:top w:w="80" w:type="dxa"/>
              <w:bottom w:w="120" w:type="dxa"/>
              <w:left w:w="20" w:type="dxa"/>
              <w:right w:w="140" w:type="dxa"/>
            </w:tcMar>
            <w:tcW w:w="2880" w:type="dxa"/>
          </w:tcPr>
          <w:p>
            <w:pPr>
              <w:spacing w:before="0" w:after="0"/>
            </w:pPr>
            <w:r>
              <w:rPr>
                <w:rFonts w:ascii="Arial" w:hAnsi="Arial"/>
                <w:b/>
                <w:color w:val="00876A"/>
                <w:sz w:val="26"/>
              </w:rPr>
              <w:t>$18.7 billion across 400+ deals</w:t>
            </w:r>
          </w:p>
        </w:tc>
      </w:tr>
      <w:tr>
        <w:tc>
          <w:tcPr>
            <w:shd w:val="clear" w:color="auto" w:fill="F9FAFB"/>
            <w:tcBorders>
              <w:top w:val="single" w:sz="4" w:color="E5E7EB"/>
              <w:left w:val="single" w:sz="4" w:color="E5E7EB"/>
              <w:bottom w:val="single" w:sz="4" w:color="E5E7EB"/>
              <w:right w:val="single" w:sz="4" w:color="E5E7EB"/>
            </w:tcBorders>
            <w:tcMar>
              <w:top w:w="120" w:type="dxa"/>
              <w:bottom w:w="120" w:type="dxa"/>
              <w:left w:w="140" w:type="dxa"/>
              <w:right w:w="80" w:type="dxa"/>
            </w:tcMar>
            <w:tcW w:w="1800" w:type="dxa"/>
          </w:tcPr>
          <w:p>
            <w:pPr>
              <w:spacing w:before="0" w:after="40"/>
            </w:pPr>
            <w:r>
              <w:rPr>
                <w:rFonts w:ascii="Arial" w:hAnsi="Arial"/>
                <w:color w:val="6B7280"/>
                <w:sz w:val="18"/>
              </w:rPr>
              <w:t>VC investment (2026 projected)</w:t>
            </w:r>
          </w:p>
        </w:tc>
        <w:tc>
          <w:tcPr>
            <w:shd w:val="clear" w:color="auto" w:fill="F9FAFB"/>
            <w:tcBorders>
              <w:top w:val="single" w:sz="4" w:color="E5E7EB"/>
              <w:left w:val="single" w:sz="4" w:color="E5E7EB"/>
              <w:bottom w:val="single" w:sz="4" w:color="E5E7EB"/>
              <w:right w:val="single" w:sz="4" w:color="E5E7EB"/>
            </w:tcBorders>
            <w:tcMar>
              <w:top w:w="80" w:type="dxa"/>
              <w:bottom w:w="120" w:type="dxa"/>
              <w:left w:w="20" w:type="dxa"/>
              <w:right w:w="140" w:type="dxa"/>
            </w:tcMar>
            <w:tcW w:w="2880" w:type="dxa"/>
          </w:tcPr>
          <w:p>
            <w:pPr>
              <w:spacing w:before="0" w:after="0"/>
            </w:pPr>
            <w:r>
              <w:rPr>
                <w:rFonts w:ascii="Arial" w:hAnsi="Arial"/>
                <w:b/>
                <w:color w:val="00876A"/>
                <w:sz w:val="26"/>
              </w:rPr>
              <w:t>$22.3 billion (+19% YoY)</w:t>
            </w:r>
          </w:p>
        </w:tc>
        <w:tc>
          <w:tcPr>
            <w:shd w:val="clear" w:color="auto" w:fill="F9FAFB"/>
            <w:tcBorders>
              <w:top w:val="single" w:sz="4" w:color="E5E7EB"/>
              <w:left w:val="single" w:sz="4" w:color="E5E7EB"/>
              <w:bottom w:val="single" w:sz="4" w:color="E5E7EB"/>
              <w:right w:val="single" w:sz="4" w:color="E5E7EB"/>
            </w:tcBorders>
            <w:tcMar>
              <w:top w:w="120" w:type="dxa"/>
              <w:bottom w:w="120" w:type="dxa"/>
              <w:left w:w="140" w:type="dxa"/>
              <w:right w:w="80" w:type="dxa"/>
            </w:tcMar>
            <w:tcW w:w="1800" w:type="dxa"/>
          </w:tcPr>
          <w:p>
            <w:pPr>
              <w:spacing w:before="0" w:after="40"/>
            </w:pPr>
            <w:r>
              <w:rPr>
                <w:rFonts w:ascii="Arial" w:hAnsi="Arial"/>
                <w:color w:val="6B7280"/>
                <w:sz w:val="18"/>
              </w:rPr>
              <w:t>Executives increasing cyber spend</w:t>
            </w:r>
          </w:p>
        </w:tc>
        <w:tc>
          <w:tcPr>
            <w:shd w:val="clear" w:color="auto" w:fill="F9FAFB"/>
            <w:tcBorders>
              <w:top w:val="single" w:sz="4" w:color="E5E7EB"/>
              <w:left w:val="single" w:sz="4" w:color="E5E7EB"/>
              <w:bottom w:val="single" w:sz="4" w:color="E5E7EB"/>
              <w:right w:val="single" w:sz="4" w:color="E5E7EB"/>
            </w:tcBorders>
            <w:tcMar>
              <w:top w:w="80" w:type="dxa"/>
              <w:bottom w:w="120" w:type="dxa"/>
              <w:left w:w="20" w:type="dxa"/>
              <w:right w:w="140" w:type="dxa"/>
            </w:tcMar>
            <w:tcW w:w="2880" w:type="dxa"/>
          </w:tcPr>
          <w:p>
            <w:pPr>
              <w:spacing w:before="0" w:after="0"/>
            </w:pPr>
            <w:r>
              <w:rPr>
                <w:rFonts w:ascii="Arial" w:hAnsi="Arial"/>
                <w:b/>
                <w:color w:val="00876A"/>
                <w:sz w:val="26"/>
              </w:rPr>
              <w:t>78% plan to increase budgets</w:t>
            </w:r>
          </w:p>
        </w:tc>
      </w:tr>
    </w:tbl>
    <w:p>
      <w:pPr>
        <w:spacing w:before="0" w:after="160"/>
      </w:pPr>
    </w:p>
    <w:p>
      <w:pPr>
        <w:pStyle w:val="Heading2"/>
        <w:spacing w:before="240" w:after="120"/>
      </w:pPr>
      <w:r>
        <w:rPr>
          <w:rFonts w:ascii="Arial" w:hAnsi="Arial"/>
          <w:color w:val="1F2937"/>
          <w:sz w:val="28"/>
        </w:rPr>
        <w:t>2.2  Fastest-Growing Segments (2025–2026)</w:t>
      </w:r>
    </w:p>
    <w:p>
      <w:pPr>
        <w:spacing w:before="0" w:after="140"/>
      </w:pPr>
      <w:r>
        <w:rPr>
          <w:rFonts w:ascii="Arial" w:hAnsi="Arial"/>
          <w:color w:val="1F2937"/>
          <w:sz w:val="22"/>
        </w:rPr>
        <w:t>The following categories are experiencing the highest growth rates and attracting the most venture capital and enterprise budget in 2025–2026:</w:t>
      </w:r>
    </w:p>
    <w:p>
      <w:pPr>
        <w:spacing w:before="0" w:after="60"/>
      </w:pPr>
    </w:p>
    <w:tbl>
      <w:tblPr>
        <w:tblLook w:firstColumn="1" w:firstRow="1" w:lastColumn="0" w:lastRow="0" w:noHBand="0" w:noVBand="1" w:val="04A0"/>
        <w:tblW w:w="9360" w:type="dxa"/>
      </w:tblPr>
      <w:tblGrid>
        <w:gridCol w:w="3120"/>
        <w:gridCol w:w="3120"/>
        <w:gridCol w:w="3120"/>
      </w:tblGrid>
      <w:tr>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3200" w:type="dxa"/>
          </w:tcPr>
          <w:p>
            <w:pPr>
              <w:jc w:val="left"/>
              <w:spacing w:before="0" w:after="0"/>
            </w:pPr>
            <w:r>
              <w:rPr>
                <w:rFonts w:ascii="Arial" w:hAnsi="Arial"/>
                <w:b/>
                <w:i w:val="0"/>
                <w:color w:val="FFFFFF"/>
                <w:sz w:val="20"/>
              </w:rPr>
              <w:t>Category</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1600" w:type="dxa"/>
          </w:tcPr>
          <w:p>
            <w:pPr>
              <w:jc w:val="left"/>
              <w:spacing w:before="0" w:after="0"/>
            </w:pPr>
            <w:r>
              <w:rPr>
                <w:rFonts w:ascii="Arial" w:hAnsi="Arial"/>
                <w:b/>
                <w:i w:val="0"/>
                <w:color w:val="FFFFFF"/>
                <w:sz w:val="20"/>
              </w:rPr>
              <w:t>CAGR</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4560" w:type="dxa"/>
          </w:tcPr>
          <w:p>
            <w:pPr>
              <w:jc w:val="left"/>
              <w:spacing w:before="0" w:after="0"/>
            </w:pPr>
            <w:r>
              <w:rPr>
                <w:rFonts w:ascii="Arial" w:hAnsi="Arial"/>
                <w:b/>
                <w:i w:val="0"/>
                <w:color w:val="FFFFFF"/>
                <w:sz w:val="20"/>
              </w:rPr>
              <w:t>Key Driver</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AI-Native Security Platforms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~18.6%</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Autonomous SOC; AI threat detection replacing legacy SIEM</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Compliance Automation (GRC)</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19.7%</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NIS2, DORA, SEC rules; continuous audit readiness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Data Security Posture Mgmt (DSPM)</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34.2%</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Cloud data sprawl; breach via misconfigured data stores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Identity Security Posture Mgmt (ISPM)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19.3%</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Identity-based attacks; MFA gaps; orphaned accounts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Threat Intelligence Platforms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14.7–20.2%</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SMB adoption; managed threat intel via MSP channel</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Cloud Security (CNAPP)</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~15%</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Multi-cloud; Dev-Sec-Ops; workload protection</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Cyber Risk Quantification</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12.25%</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Board-level financial risk language; insurer requirements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200" w:type="dxa"/>
          </w:tcPr>
          <w:p>
            <w:pPr>
              <w:jc w:val="left"/>
              <w:spacing w:before="0" w:after="0"/>
            </w:pPr>
            <w:r>
              <w:rPr>
                <w:rFonts w:ascii="Arial" w:hAnsi="Arial"/>
                <w:b/>
                <w:i w:val="0"/>
                <w:color w:val="1F2937"/>
                <w:sz w:val="19"/>
              </w:rPr>
              <w:t>Dark Web / Digital Risk Intelligence</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14.6–15.2%</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560" w:type="dxa"/>
          </w:tcPr>
          <w:p>
            <w:pPr>
              <w:jc w:val="left"/>
              <w:spacing w:before="0" w:after="0"/>
            </w:pPr>
            <w:r>
              <w:rPr>
                <w:rFonts w:ascii="Arial" w:hAnsi="Arial"/>
                <w:b w:val="0"/>
                <w:i w:val="0"/>
                <w:color w:val="1F2937"/>
                <w:sz w:val="19"/>
              </w:rPr>
              <w:t>Credential leaks; ransomware intelligence; brand abuse</w:t>
            </w:r>
          </w:p>
        </w:tc>
      </w:tr>
    </w:tbl>
    <w:p>
      <w:pPr>
        <w:spacing w:before="0" w:after="160"/>
      </w:pPr>
    </w:p>
    <w:p>
      <w:pPr>
        <w:pStyle w:val="Heading2"/>
        <w:spacing w:before="240" w:after="120"/>
      </w:pPr>
      <w:r>
        <w:rPr>
          <w:rFonts w:ascii="Arial" w:hAnsi="Arial"/>
          <w:color w:val="1F2937"/>
          <w:sz w:val="28"/>
        </w:rPr>
        <w:t>2.3  SMB &amp; MSP Dynamics — 2026</w:t>
      </w:r>
    </w:p>
    <w:p>
      <w:pPr>
        <w:spacing w:before="0" w:after="140"/>
      </w:pPr>
      <w:r>
        <w:rPr>
          <w:rFonts w:ascii="Arial" w:hAnsi="Arial"/>
          <w:color w:val="1F2937"/>
          <w:sz w:val="22"/>
        </w:rPr>
        <w:t>The SMB and MSP segments are the primary growth engine for CyberMeters. Three structural forces are reshaping this market in 2026:</w:t>
      </w:r>
    </w:p>
    <w:p>
      <w:pPr>
        <w:spacing w:before="0" w:after="60"/>
      </w:pPr>
    </w:p>
    <w:p>
      <w:pPr>
        <w:pStyle w:val="ListBullet"/>
        <w:spacing w:before="0" w:after="80"/>
      </w:pPr>
      <w:r>
        <w:rPr>
          <w:rFonts w:ascii="Arial" w:hAnsi="Arial"/>
          <w:b/>
          <w:color w:val="1F2937"/>
          <w:sz w:val="20"/>
        </w:rPr>
        <w:t xml:space="preserve">Cyber Insurance as a Compliance Driver: </w:t>
      </w:r>
      <w:r>
        <w:rPr>
          <w:rFonts w:ascii="Arial" w:hAnsi="Arial"/>
          <w:color w:val="1F2937"/>
          <w:sz w:val="20"/>
        </w:rPr>
        <w:t>S&amp;P Global projects 15–20% premium increases in 2026 following a 126% rise in ransomware incidents in Q1 2025. Insurers now require documented security controls, training records, and compliance frameworks as a pre-condition for coverage — forcing SMBs to operationalise compliance for the first time.</w:t>
      </w:r>
    </w:p>
    <w:p>
      <w:pPr>
        <w:pStyle w:val="ListBullet"/>
        <w:spacing w:before="0" w:after="80"/>
      </w:pPr>
      <w:r>
        <w:rPr>
          <w:rFonts w:ascii="Arial" w:hAnsi="Arial"/>
          <w:b/>
          <w:color w:val="1F2937"/>
          <w:sz w:val="20"/>
        </w:rPr>
        <w:t xml:space="preserve">Regulation is Hitting SMBs: </w:t>
      </w:r>
      <w:r>
        <w:rPr>
          <w:rFonts w:ascii="Arial" w:hAnsi="Arial"/>
          <w:color w:val="1F2937"/>
          <w:sz w:val="20"/>
        </w:rPr>
        <w:t>NIS2 (EU, October 2024), DORA (January 2025), UK Cyber Essentials mandates for government suppliers, and CMMC 2.0 for US defence contractors are all arriving simultaneously. SMBs cannot afford Big 4 consultants for compliance — they need affordable, automated tools.</w:t>
      </w:r>
    </w:p>
    <w:p>
      <w:pPr>
        <w:pStyle w:val="ListBullet"/>
        <w:spacing w:before="0" w:after="80"/>
      </w:pPr>
      <w:r>
        <w:rPr>
          <w:rFonts w:ascii="Arial" w:hAnsi="Arial"/>
          <w:b/>
          <w:color w:val="1F2937"/>
          <w:sz w:val="20"/>
        </w:rPr>
        <w:t xml:space="preserve">MSPs Selling Compliance-as-a-Service: </w:t>
      </w:r>
      <w:r>
        <w:rPr>
          <w:rFonts w:ascii="Arial" w:hAnsi="Arial"/>
          <w:color w:val="1F2937"/>
          <w:sz w:val="20"/>
        </w:rPr>
        <w:t>Cybersecurity is the fastest-growing MSP service category, growing at 18% annually in 2026. Compliance-focused MSPs are more likely to project revenue growth above 50%. Global managed cybersecurity services revenue is predicted to reach $106bn by 2026.</w:t>
      </w:r>
    </w:p>
    <w:p>
      <w:pPr>
        <w:spacing w:before="0" w:after="120"/>
      </w:pPr>
    </w:p>
    <w:p>
      <w:pPr>
        <w:pStyle w:val="Heading2"/>
        <w:spacing w:before="240" w:after="120"/>
      </w:pPr>
      <w:r>
        <w:rPr>
          <w:rFonts w:ascii="Arial" w:hAnsi="Arial"/>
          <w:color w:val="1F2937"/>
          <w:sz w:val="28"/>
        </w:rPr>
        <w:t>2.4  Category Exclusions (Overlap with Metric 1 &amp; 2)</w:t>
      </w:r>
    </w:p>
    <w:p>
      <w:pPr>
        <w:spacing w:before="0" w:after="140"/>
      </w:pPr>
      <w:r>
        <w:rPr>
          <w:rFonts w:ascii="Arial" w:hAnsi="Arial"/>
          <w:color w:val="1F2937"/>
          <w:sz w:val="22"/>
        </w:rPr>
        <w:t>The following categories were evaluated and excluded due to material overlap:</w:t>
      </w:r>
    </w:p>
    <w:p>
      <w:pPr>
        <w:spacing w:before="0" w:after="60"/>
      </w:pPr>
    </w:p>
    <w:tbl>
      <w:tblPr>
        <w:tblLook w:firstColumn="1" w:firstRow="1" w:lastColumn="0" w:lastRow="0" w:noHBand="0" w:noVBand="1" w:val="04A0"/>
        <w:tblW w:w="9360" w:type="dxa"/>
      </w:tblPr>
      <w:tblGrid>
        <w:gridCol w:w="4680"/>
        <w:gridCol w:w="4680"/>
      </w:tblGrid>
      <w:tr>
        <w:tc>
          <w:tcPr>
            <w:shd w:val="clear" w:color="auto" w:fill="F3F4F6"/>
            <w:tcBorders>
              <w:top w:val="single" w:sz="6" w:color="E5E7EB"/>
              <w:left w:val="single" w:sz="6" w:color="E5E7EB"/>
              <w:bottom w:val="single" w:sz="6" w:color="E5E7EB"/>
              <w:right w:val="single" w:sz="6"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20"/>
              </w:rPr>
              <w:t>Excluded Category</w:t>
            </w:r>
          </w:p>
        </w:tc>
        <w:tc>
          <w:tcPr>
            <w:shd w:val="clear" w:color="auto" w:fill="F3F4F6"/>
            <w:tcBorders>
              <w:top w:val="single" w:sz="6" w:color="E5E7EB"/>
              <w:left w:val="single" w:sz="6" w:color="E5E7EB"/>
              <w:bottom w:val="single" w:sz="6" w:color="E5E7EB"/>
              <w:right w:val="single" w:sz="6" w:color="E5E7EB"/>
            </w:tcBorders>
            <w:tcMar>
              <w:top w:w="100" w:type="dxa"/>
              <w:bottom w:w="100" w:type="dxa"/>
              <w:left w:w="140" w:type="dxa"/>
              <w:right w:w="140" w:type="dxa"/>
            </w:tcMar>
            <w:vAlign w:val="top"/>
            <w:tcW w:w="6560" w:type="dxa"/>
          </w:tcPr>
          <w:p>
            <w:pPr>
              <w:jc w:val="left"/>
              <w:spacing w:before="0" w:after="0"/>
            </w:pPr>
            <w:r>
              <w:rPr>
                <w:rFonts w:ascii="Arial" w:hAnsi="Arial"/>
                <w:b/>
                <w:i w:val="0"/>
                <w:color w:val="1F2937"/>
                <w:sz w:val="20"/>
              </w:rPr>
              <w:t>Reason for Exclusion</w:t>
            </w:r>
          </w:p>
        </w:tc>
      </w:tr>
      <w:tr>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991B1B"/>
                <w:sz w:val="19"/>
              </w:rPr>
              <w:t>Vulnerability Scanning</w:t>
            </w:r>
          </w:p>
        </w:tc>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Core ASM function — Metric 1 already identifies exposed services, open ports, and misconfigurations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991B1B"/>
                <w:sz w:val="19"/>
              </w:rPr>
              <w:t>Brand Monitoring / Typosquatting</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Already live in Metric 1 (CyberMeters ASM)</w:t>
            </w:r>
          </w:p>
        </w:tc>
      </w:tr>
      <w:tr>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991B1B"/>
                <w:sz w:val="19"/>
              </w:rPr>
              <w:t>Certificate Intelligence</w:t>
            </w:r>
          </w:p>
        </w:tc>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Already live in Metric 1</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991B1B"/>
                <w:sz w:val="19"/>
              </w:rPr>
              <w:t>Security Awareness Training</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Core function of Metric 2 (Human Risk Platform)</w:t>
            </w:r>
          </w:p>
        </w:tc>
      </w:tr>
      <w:tr>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991B1B"/>
                <w:sz w:val="19"/>
              </w:rPr>
              <w:t>Phishing Simulation</w:t>
            </w:r>
          </w:p>
        </w:tc>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Core function of Metric 2</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991B1B"/>
                <w:sz w:val="19"/>
              </w:rPr>
              <w:t>Human Risk Scoring</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Core function of Metric 2</w:t>
            </w:r>
          </w:p>
        </w:tc>
      </w:tr>
      <w:tr>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991B1B"/>
                <w:sz w:val="19"/>
              </w:rPr>
              <w:t>Subdomain Discovery</w:t>
            </w:r>
          </w:p>
        </w:tc>
        <w:tc>
          <w:tcPr>
            <w:shd w:val="clear" w:color="auto" w:fill="FEF2F2"/>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Core function of Metric 1 (ASM)</w:t>
            </w:r>
          </w:p>
        </w:tc>
      </w:tr>
    </w:tbl>
    <w:p>
      <w:pPr>
        <w:spacing w:before="0" w:after="80"/>
      </w:pPr>
    </w:p>
    <w:p>
      <w:r>
        <w:br w:type="page"/>
      </w:r>
    </w:p>
    <w:p>
      <w:pPr>
        <w:pStyle w:val="Heading1"/>
        <w:spacing w:before="320" w:after="160"/>
      </w:pPr>
      <w:r>
        <w:rPr>
          <w:rFonts w:ascii="Arial" w:hAnsi="Arial"/>
          <w:color w:val="1F2937"/>
          <w:sz w:val="36"/>
        </w:rPr>
        <w:t>Section 3: Recommended Metric 3</w:t>
      </w:r>
    </w:p>
    <w:p>
      <w:pPr>
        <w:pBdr>
          <w:bottom w:val="single" w:sz="12" w:color="00876A" w:space="1"/>
        </w:pBdr>
        <w:spacing w:before="0" w:after="160"/>
      </w:pPr>
    </w:p>
    <w:tbl>
      <w:tblPr>
        <w:tblLook w:firstColumn="1" w:firstRow="1" w:lastColumn="0" w:lastRow="0" w:noHBand="0" w:noVBand="1" w:val="04A0"/>
        <w:tblW w:w="9360" w:type="dxa"/>
      </w:tblPr>
      <w:tblGrid>
        <w:gridCol w:w="9360"/>
      </w:tblGrid>
      <w:tr>
        <w:tc>
          <w:tcPr>
            <w:shd w:val="clear" w:color="auto" w:fill="064E3B"/>
            <w:tcBorders>
              <w:top w:val="single" w:sz="12" w:color="00876A"/>
              <w:left w:val="single" w:sz="12" w:color="00876A"/>
              <w:bottom w:val="single" w:sz="12" w:color="00876A"/>
              <w:right w:val="single" w:sz="12" w:color="00876A"/>
            </w:tcBorders>
            <w:tcMar>
              <w:top w:w="280" w:type="dxa"/>
              <w:bottom w:w="280" w:type="dxa"/>
              <w:left w:w="320" w:type="dxa"/>
              <w:right w:w="320" w:type="dxa"/>
            </w:tcMar>
            <w:tcW w:w="9360" w:type="dxa"/>
          </w:tcPr>
          <w:p>
            <w:pPr>
              <w:spacing w:before="0" w:after="80"/>
            </w:pPr>
            <w:r>
              <w:rPr>
                <w:rFonts w:ascii="Arial" w:hAnsi="Arial"/>
                <w:b/>
                <w:caps/>
                <w:color w:val="A7F3D0"/>
                <w:sz w:val="18"/>
              </w:rPr>
              <w:t>METRIC 3 RECOMMENDATION</w:t>
            </w:r>
          </w:p>
          <w:p>
            <w:pPr>
              <w:spacing w:before="0" w:after="80"/>
            </w:pPr>
            <w:r>
              <w:rPr>
                <w:rFonts w:ascii="Arial" w:hAnsi="Arial"/>
                <w:b/>
                <w:color w:val="FFFFFF"/>
                <w:sz w:val="44"/>
              </w:rPr>
              <w:t>CyberMeters Comply</w:t>
            </w:r>
          </w:p>
          <w:p>
            <w:pPr>
              <w:spacing w:before="0" w:after="100"/>
            </w:pPr>
            <w:r>
              <w:rPr>
                <w:rFonts w:ascii="Arial" w:hAnsi="Arial"/>
                <w:color w:val="D1FAE5"/>
                <w:sz w:val="26"/>
              </w:rPr>
              <w:t>Continuous Compliance Automation Platform</w:t>
            </w:r>
          </w:p>
          <w:p>
            <w:pPr>
              <w:spacing w:before="0" w:after="0"/>
            </w:pPr>
            <w:r>
              <w:rPr>
                <w:rFonts w:ascii="Arial" w:hAnsi="Arial"/>
                <w:i/>
                <w:color w:val="A7F3D0"/>
                <w:sz w:val="22"/>
              </w:rPr>
              <w:t>"Turn your live attack surface data into compliance evidence — automatically."</w:t>
            </w:r>
          </w:p>
        </w:tc>
      </w:tr>
    </w:tbl>
    <w:p>
      <w:pPr>
        <w:spacing w:before="0" w:after="160"/>
      </w:pPr>
    </w:p>
    <w:p>
      <w:pPr>
        <w:pStyle w:val="Heading2"/>
        <w:spacing w:before="240" w:after="120"/>
      </w:pPr>
      <w:r>
        <w:rPr>
          <w:rFonts w:ascii="Arial" w:hAnsi="Arial"/>
          <w:color w:val="1F2937"/>
          <w:sz w:val="28"/>
        </w:rPr>
        <w:t>3.1  Problem Solved</w:t>
      </w:r>
    </w:p>
    <w:p>
      <w:pPr>
        <w:spacing w:before="0" w:after="140"/>
      </w:pPr>
      <w:r>
        <w:rPr>
          <w:rFonts w:ascii="Arial" w:hAnsi="Arial"/>
          <w:color w:val="1F2937"/>
          <w:sz w:val="22"/>
        </w:rPr>
        <w:t>SMBs and the MSPs serving them face a compliance crisis in 2026. Frameworks like SOC 2, ISO 27001, NIS2, DORA, Cyber Essentials, and CMMC 2.0 require continuous evidence collection, documented policies, and audit-ready reports. The current options are: (1) expensive consultants, (2) enterprise GRC platforms costing £30k–£200k/year with 6-month implementations, or (3) manual spreadsheets. None work for SMBs.</w:t>
      </w:r>
    </w:p>
    <w:p>
      <w:pPr>
        <w:spacing w:before="0" w:after="140"/>
      </w:pPr>
      <w:r>
        <w:rPr>
          <w:rFonts w:ascii="Arial" w:hAnsi="Arial"/>
          <w:color w:val="1F2937"/>
          <w:sz w:val="22"/>
        </w:rPr>
        <w:t>Meanwhile, CyberMeters already collects the technical evidence that compliance frameworks require — certificate health, open ports, vendor risk, admin exposures, and training completion data — but that data sits in dashboards rather than being mapped to compliance controls.</w:t>
      </w:r>
    </w:p>
    <w:p>
      <w:pPr>
        <w:spacing w:before="0" w:after="60"/>
      </w:pPr>
    </w:p>
    <w:tbl>
      <w:tblPr>
        <w:tblLook w:firstColumn="1" w:firstRow="1" w:lastColumn="0" w:lastRow="0" w:noHBand="0" w:noVBand="1" w:val="04A0"/>
        <w:tblW w:w="9360" w:type="dxa"/>
      </w:tblPr>
      <w:tblGrid>
        <w:gridCol w:w="9360"/>
      </w:tblGrid>
      <w:tr>
        <w:tc>
          <w:tcPr>
            <w:shd w:val="clear" w:color="auto" w:fill="F0FDF4"/>
            <w:tcBorders>
              <w:top w:val="single" w:sz="8" w:color="00876A"/>
              <w:left w:val="single" w:sz="8" w:color="00876A"/>
              <w:bottom w:val="single" w:sz="8" w:color="00876A"/>
              <w:right w:val="single" w:sz="8" w:color="00876A"/>
            </w:tcBorders>
            <w:tcMar>
              <w:top w:w="160" w:type="dxa"/>
              <w:bottom w:w="160" w:type="dxa"/>
              <w:left w:w="200" w:type="dxa"/>
              <w:right w:w="200" w:type="dxa"/>
            </w:tcMar>
            <w:tcW w:w="9360" w:type="dxa"/>
          </w:tcPr>
          <w:p>
            <w:pPr>
              <w:spacing w:before="0" w:after="80"/>
            </w:pPr>
            <w:r>
              <w:rPr>
                <w:rFonts w:ascii="Arial" w:hAnsi="Arial"/>
                <w:b/>
                <w:color w:val="064E3B"/>
                <w:sz w:val="22"/>
              </w:rPr>
              <w:t>The Core Insight</w:t>
            </w:r>
          </w:p>
          <w:p>
            <w:pPr>
              <w:spacing w:before="0" w:after="80"/>
            </w:pPr>
            <w:r>
              <w:rPr>
                <w:rFonts w:ascii="Arial" w:hAnsi="Arial"/>
                <w:b w:val="0"/>
                <w:color w:val="1F2937"/>
                <w:sz w:val="20"/>
              </w:rPr>
              <w:t>CyberMeters Comply is the only compliance platform that uses live attack surface data as compliance evidence. Every ASM scan auto-populates technical controls. Every phishing simulation auto-populates training evidence. Customers do not collect evidence manually — it arrives continuously from Metric 1 and Metric 2.</w:t>
            </w:r>
          </w:p>
        </w:tc>
      </w:tr>
    </w:tbl>
    <w:p>
      <w:pPr>
        <w:spacing w:before="0" w:after="80"/>
      </w:pPr>
    </w:p>
    <w:p>
      <w:pPr>
        <w:pStyle w:val="Heading2"/>
        <w:spacing w:before="240" w:after="120"/>
      </w:pPr>
      <w:r>
        <w:rPr>
          <w:rFonts w:ascii="Arial" w:hAnsi="Arial"/>
          <w:color w:val="1F2937"/>
          <w:sz w:val="28"/>
        </w:rPr>
        <w:t>3.2  Target Customers</w:t>
      </w:r>
    </w:p>
    <w:p>
      <w:pPr>
        <w:spacing w:before="0" w:after="4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1F2937"/>
                <w:sz w:val="19"/>
              </w:rPr>
              <w:t>Primary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7360" w:type="dxa"/>
          </w:tcPr>
          <w:p>
            <w:pPr>
              <w:jc w:val="left"/>
              <w:spacing w:before="0" w:after="0"/>
            </w:pPr>
            <w:r>
              <w:rPr>
                <w:rFonts w:ascii="Arial" w:hAnsi="Arial"/>
                <w:b w:val="0"/>
                <w:i w:val="0"/>
                <w:color w:val="1F2937"/>
                <w:sz w:val="19"/>
              </w:rPr>
              <w:t>SMBs (10–500 employees) pursuing SOC 2 Type II, ISO 27001, or Cyber Essentials certification for the first time. Typically driven by a customer security questionnaire, a cyber insurance renewal, or a new enterprise contract requirement.</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1F2937"/>
                <w:sz w:val="19"/>
              </w:rPr>
              <w:t>Secondary</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7360" w:type="dxa"/>
          </w:tcPr>
          <w:p>
            <w:pPr>
              <w:jc w:val="left"/>
              <w:spacing w:before="0" w:after="0"/>
            </w:pPr>
            <w:r>
              <w:rPr>
                <w:rFonts w:ascii="Arial" w:hAnsi="Arial"/>
                <w:b w:val="0"/>
                <w:i w:val="0"/>
                <w:color w:val="1F2937"/>
                <w:sz w:val="19"/>
              </w:rPr>
              <w:t>MSPs managing compliance on behalf of 10–200 SMB clients. Want a white-label platform that generates automated audit evidence, reduces billable hours for compliance tasks, and creates a new recurring revenue stream.</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1F2937"/>
                <w:sz w:val="19"/>
              </w:rPr>
              <w:t>Tertiary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7360" w:type="dxa"/>
          </w:tcPr>
          <w:p>
            <w:pPr>
              <w:jc w:val="left"/>
              <w:spacing w:before="0" w:after="0"/>
            </w:pPr>
            <w:r>
              <w:rPr>
                <w:rFonts w:ascii="Arial" w:hAnsi="Arial"/>
                <w:b w:val="0"/>
                <w:i w:val="0"/>
                <w:color w:val="1F2937"/>
                <w:sz w:val="19"/>
              </w:rPr>
              <w:t>Scale-up companies (Series A–C) that have outgrown manual compliance management and need continuous monitoring rather than annual point-in-time audits.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1F2937"/>
                <w:sz w:val="19"/>
              </w:rPr>
              <w:t>Vertical Focus</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7360" w:type="dxa"/>
          </w:tcPr>
          <w:p>
            <w:pPr>
              <w:jc w:val="left"/>
              <w:spacing w:before="0" w:after="0"/>
            </w:pPr>
            <w:r>
              <w:rPr>
                <w:rFonts w:ascii="Arial" w:hAnsi="Arial"/>
                <w:b w:val="0"/>
                <w:i w:val="0"/>
                <w:color w:val="1F2937"/>
                <w:sz w:val="19"/>
              </w:rPr>
              <w:t>Professional services, fintech, SaaS, healthcare-adjacent, and government suppliers — sectors where a compliance certificate is required to win contracts.</w:t>
            </w:r>
          </w:p>
        </w:tc>
      </w:tr>
    </w:tbl>
    <w:p>
      <w:pPr>
        <w:spacing w:before="0" w:after="80"/>
      </w:pPr>
    </w:p>
    <w:p>
      <w:pPr>
        <w:pStyle w:val="Heading2"/>
        <w:spacing w:before="240" w:after="120"/>
      </w:pPr>
      <w:r>
        <w:rPr>
          <w:rFonts w:ascii="Arial" w:hAnsi="Arial"/>
          <w:color w:val="1F2937"/>
          <w:sz w:val="28"/>
        </w:rPr>
        <w:t>3.3  Market Opportunity</w:t>
      </w:r>
    </w:p>
    <w:p>
      <w:pPr>
        <w:spacing w:before="0" w:after="4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Compliance Software Market (2025)</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$35.4 billion</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Compliance Software Market (2026)</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$40.8 billion</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Compliance Automation Tools CAGR</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19.7%  ($2.53B → $6.2B by 2030)</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GRC Platforms Market (2025)</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$51–65 billion (12–15% CAGR)</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SMB compliance spend driver</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Cyber insurance, NIS2, DORA, Cyber Essentials, SOC 2</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MSP compliance services growth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Fastest-growing MSP category; 50%+ revenue growth projected</w:t>
            </w:r>
          </w:p>
        </w:tc>
      </w:tr>
    </w:tbl>
    <w:p>
      <w:pPr>
        <w:spacing w:before="0" w:after="80"/>
      </w:pPr>
    </w:p>
    <w:p>
      <w:pPr>
        <w:spacing w:before="0" w:after="140"/>
      </w:pPr>
      <w:r>
        <w:rPr>
          <w:rFonts w:ascii="Arial" w:hAnsi="Arial"/>
          <w:color w:val="1F2937"/>
          <w:sz w:val="22"/>
        </w:rPr>
        <w:t>The compliance automation sub-market is growing at nearly 20% CAGR — faster than the broader GRC market — because manual compliance is failing at scale. The SMB segment is chronically underserved: Drata, Vanta, and Sprinto are all scaling-startup / enterprise-first and cost £15,000–£80,000+ per year. CyberMeters can own the SMB and MSP channel at £149–£499/month per workspace.</w:t>
      </w:r>
    </w:p>
    <w:p>
      <w:pPr>
        <w:pStyle w:val="Heading2"/>
        <w:spacing w:before="240" w:after="120"/>
      </w:pPr>
      <w:r>
        <w:rPr>
          <w:rFonts w:ascii="Arial" w:hAnsi="Arial"/>
          <w:color w:val="1F2937"/>
          <w:sz w:val="28"/>
        </w:rPr>
        <w:t>3.4  Competitive Landscape</w:t>
      </w:r>
    </w:p>
    <w:p>
      <w:pPr>
        <w:spacing w:before="0" w:after="140"/>
      </w:pPr>
      <w:r>
        <w:rPr>
          <w:rFonts w:ascii="Arial" w:hAnsi="Arial"/>
          <w:color w:val="1F2937"/>
          <w:sz w:val="22"/>
        </w:rPr>
        <w:t>The compliance automation market is dominated by enterprise-first players. None of them have a live attack surface data advantage. CyberMeters' unique position is owning the data pipeline already.</w:t>
      </w:r>
    </w:p>
    <w:p>
      <w:pPr>
        <w:spacing w:before="0" w:after="60"/>
      </w:pPr>
    </w:p>
    <w:tbl>
      <w:tblPr>
        <w:tblLook w:firstColumn="1" w:firstRow="1" w:lastColumn="0" w:lastRow="0" w:noHBand="0" w:noVBand="1" w:val="04A0"/>
        <w:tblW w:w="9360" w:type="dxa"/>
      </w:tblPr>
      <w:tblGrid>
        <w:gridCol w:w="2340"/>
        <w:gridCol w:w="2340"/>
        <w:gridCol w:w="2340"/>
        <w:gridCol w:w="2340"/>
      </w:tblGrid>
      <w:tr>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1800" w:type="dxa"/>
          </w:tcPr>
          <w:p>
            <w:pPr>
              <w:jc w:val="left"/>
              <w:spacing w:before="0" w:after="0"/>
            </w:pPr>
            <w:r>
              <w:rPr>
                <w:rFonts w:ascii="Arial" w:hAnsi="Arial"/>
                <w:b/>
                <w:i w:val="0"/>
                <w:color w:val="FFFFFF"/>
                <w:sz w:val="19"/>
              </w:rPr>
              <w:t>Competitor</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2200" w:type="dxa"/>
          </w:tcPr>
          <w:p>
            <w:pPr>
              <w:jc w:val="left"/>
              <w:spacing w:before="0" w:after="0"/>
            </w:pPr>
            <w:r>
              <w:rPr>
                <w:rFonts w:ascii="Arial" w:hAnsi="Arial"/>
                <w:b/>
                <w:i w:val="0"/>
                <w:color w:val="FFFFFF"/>
                <w:sz w:val="19"/>
              </w:rPr>
              <w:t>Positioning</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1600" w:type="dxa"/>
          </w:tcPr>
          <w:p>
            <w:pPr>
              <w:jc w:val="left"/>
              <w:spacing w:before="0" w:after="0"/>
            </w:pPr>
            <w:r>
              <w:rPr>
                <w:rFonts w:ascii="Arial" w:hAnsi="Arial"/>
                <w:b/>
                <w:i w:val="0"/>
                <w:color w:val="FFFFFF"/>
                <w:sz w:val="19"/>
              </w:rPr>
              <w:t>Price Range</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3760" w:type="dxa"/>
          </w:tcPr>
          <w:p>
            <w:pPr>
              <w:jc w:val="left"/>
              <w:spacing w:before="0" w:after="0"/>
            </w:pPr>
            <w:r>
              <w:rPr>
                <w:rFonts w:ascii="Arial" w:hAnsi="Arial"/>
                <w:b/>
                <w:i w:val="0"/>
                <w:color w:val="FFFFFF"/>
                <w:sz w:val="19"/>
              </w:rPr>
              <w:t>Weakness vs CyberMeters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1F2937"/>
                <w:sz w:val="19"/>
              </w:rPr>
              <w:t>Drata</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200" w:type="dxa"/>
          </w:tcPr>
          <w:p>
            <w:pPr>
              <w:jc w:val="left"/>
              <w:spacing w:before="0" w:after="0"/>
            </w:pPr>
            <w:r>
              <w:rPr>
                <w:rFonts w:ascii="Arial" w:hAnsi="Arial"/>
                <w:b w:val="0"/>
                <w:i w:val="0"/>
                <w:color w:val="6B7280"/>
                <w:sz w:val="19"/>
              </w:rPr>
              <w:t>Enterprise compliance automation</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£15k–£60k/yr</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760" w:type="dxa"/>
          </w:tcPr>
          <w:p>
            <w:pPr>
              <w:jc w:val="left"/>
              <w:spacing w:before="0" w:after="0"/>
            </w:pPr>
            <w:r>
              <w:rPr>
                <w:rFonts w:ascii="Arial" w:hAnsi="Arial"/>
                <w:b w:val="0"/>
                <w:i w:val="0"/>
                <w:color w:val="6B7280"/>
                <w:sz w:val="19"/>
              </w:rPr>
              <w:t>No live ASM data; enterprise pricing excludes SMBs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1F2937"/>
                <w:sz w:val="19"/>
              </w:rPr>
              <w:t>Vanta</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200" w:type="dxa"/>
          </w:tcPr>
          <w:p>
            <w:pPr>
              <w:jc w:val="left"/>
              <w:spacing w:before="0" w:after="0"/>
            </w:pPr>
            <w:r>
              <w:rPr>
                <w:rFonts w:ascii="Arial" w:hAnsi="Arial"/>
                <w:b w:val="0"/>
                <w:i w:val="0"/>
                <w:color w:val="6B7280"/>
                <w:sz w:val="19"/>
              </w:rPr>
              <w:t>Startup compliance (SOC 2, ISO)</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£8k–£40k/yr</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760" w:type="dxa"/>
          </w:tcPr>
          <w:p>
            <w:pPr>
              <w:jc w:val="left"/>
              <w:spacing w:before="0" w:after="0"/>
            </w:pPr>
            <w:r>
              <w:rPr>
                <w:rFonts w:ascii="Arial" w:hAnsi="Arial"/>
                <w:b w:val="0"/>
                <w:i w:val="0"/>
                <w:color w:val="6B7280"/>
                <w:sz w:val="19"/>
              </w:rPr>
              <w:t>No ASM integration; complex for non-technical teams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1F2937"/>
                <w:sz w:val="19"/>
              </w:rPr>
              <w:t>Sprinto</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200" w:type="dxa"/>
          </w:tcPr>
          <w:p>
            <w:pPr>
              <w:jc w:val="left"/>
              <w:spacing w:before="0" w:after="0"/>
            </w:pPr>
            <w:r>
              <w:rPr>
                <w:rFonts w:ascii="Arial" w:hAnsi="Arial"/>
                <w:b w:val="0"/>
                <w:i w:val="0"/>
                <w:color w:val="6B7280"/>
                <w:sz w:val="19"/>
              </w:rPr>
              <w:t>SMB-targeted GRC SaaS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£5k–£20k/yr</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760" w:type="dxa"/>
          </w:tcPr>
          <w:p>
            <w:pPr>
              <w:jc w:val="left"/>
              <w:spacing w:before="0" w:after="0"/>
            </w:pPr>
            <w:r>
              <w:rPr>
                <w:rFonts w:ascii="Arial" w:hAnsi="Arial"/>
                <w:b w:val="0"/>
                <w:i w:val="0"/>
                <w:color w:val="6B7280"/>
                <w:sz w:val="19"/>
              </w:rPr>
              <w:t>No attack surface context; no MSP channel</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1F2937"/>
                <w:sz w:val="19"/>
              </w:rPr>
              <w:t>Secureframe</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200" w:type="dxa"/>
          </w:tcPr>
          <w:p>
            <w:pPr>
              <w:jc w:val="left"/>
              <w:spacing w:before="0" w:after="0"/>
            </w:pPr>
            <w:r>
              <w:rPr>
                <w:rFonts w:ascii="Arial" w:hAnsi="Arial"/>
                <w:b w:val="0"/>
                <w:i w:val="0"/>
                <w:color w:val="6B7280"/>
                <w:sz w:val="19"/>
              </w:rPr>
              <w:t>Compliance + security monitoring</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£7k–£30k/yr</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760" w:type="dxa"/>
          </w:tcPr>
          <w:p>
            <w:pPr>
              <w:jc w:val="left"/>
              <w:spacing w:before="0" w:after="0"/>
            </w:pPr>
            <w:r>
              <w:rPr>
                <w:rFonts w:ascii="Arial" w:hAnsi="Arial"/>
                <w:b w:val="0"/>
                <w:i w:val="0"/>
                <w:color w:val="6B7280"/>
                <w:sz w:val="19"/>
              </w:rPr>
              <w:t>No deep ASM or human risk data</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1F2937"/>
                <w:sz w:val="19"/>
              </w:rPr>
              <w:t>TrustCloud</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200" w:type="dxa"/>
          </w:tcPr>
          <w:p>
            <w:pPr>
              <w:jc w:val="left"/>
              <w:spacing w:before="0" w:after="0"/>
            </w:pPr>
            <w:r>
              <w:rPr>
                <w:rFonts w:ascii="Arial" w:hAnsi="Arial"/>
                <w:b w:val="0"/>
                <w:i w:val="0"/>
                <w:color w:val="6B7280"/>
                <w:sz w:val="19"/>
              </w:rPr>
              <w:t>AI-driven GRC for startups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£3k–£15k/yr</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760" w:type="dxa"/>
          </w:tcPr>
          <w:p>
            <w:pPr>
              <w:jc w:val="left"/>
              <w:spacing w:before="0" w:after="0"/>
            </w:pPr>
            <w:r>
              <w:rPr>
                <w:rFonts w:ascii="Arial" w:hAnsi="Arial"/>
                <w:b w:val="0"/>
                <w:i w:val="0"/>
                <w:color w:val="6B7280"/>
                <w:sz w:val="19"/>
              </w:rPr>
              <w:t>No ASM or phishing evidence pipeline</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1F2937"/>
                <w:sz w:val="19"/>
              </w:rPr>
              <w:t>Tugboat Logic</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200" w:type="dxa"/>
          </w:tcPr>
          <w:p>
            <w:pPr>
              <w:jc w:val="left"/>
              <w:spacing w:before="0" w:after="0"/>
            </w:pPr>
            <w:r>
              <w:rPr>
                <w:rFonts w:ascii="Arial" w:hAnsi="Arial"/>
                <w:b w:val="0"/>
                <w:i w:val="0"/>
                <w:color w:val="6B7280"/>
                <w:sz w:val="19"/>
              </w:rPr>
              <w:t>ISO 27001 / SOC 2 workflow</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Enterprise only</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760" w:type="dxa"/>
          </w:tcPr>
          <w:p>
            <w:pPr>
              <w:jc w:val="left"/>
              <w:spacing w:before="0" w:after="0"/>
            </w:pPr>
            <w:r>
              <w:rPr>
                <w:rFonts w:ascii="Arial" w:hAnsi="Arial"/>
                <w:b w:val="0"/>
                <w:i w:val="0"/>
                <w:color w:val="6B7280"/>
                <w:sz w:val="19"/>
              </w:rPr>
              <w:t>No SMB/MSP channel; OneTrust overhead</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1F2937"/>
                <w:sz w:val="19"/>
              </w:rPr>
              <w:t>Big 4 Consult.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200" w:type="dxa"/>
          </w:tcPr>
          <w:p>
            <w:pPr>
              <w:jc w:val="left"/>
              <w:spacing w:before="0" w:after="0"/>
            </w:pPr>
            <w:r>
              <w:rPr>
                <w:rFonts w:ascii="Arial" w:hAnsi="Arial"/>
                <w:b w:val="0"/>
                <w:i w:val="0"/>
                <w:color w:val="6B7280"/>
                <w:sz w:val="19"/>
              </w:rPr>
              <w:t>Manual compliance audits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£50k–£500k/proj</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3760" w:type="dxa"/>
          </w:tcPr>
          <w:p>
            <w:pPr>
              <w:jc w:val="left"/>
              <w:spacing w:before="0" w:after="0"/>
            </w:pPr>
            <w:r>
              <w:rPr>
                <w:rFonts w:ascii="Arial" w:hAnsi="Arial"/>
                <w:b w:val="0"/>
                <w:i w:val="0"/>
                <w:color w:val="6B7280"/>
                <w:sz w:val="19"/>
              </w:rPr>
              <w:t>Not scalable; no continuous monitoring</w:t>
            </w:r>
          </w:p>
        </w:tc>
      </w:tr>
    </w:tbl>
    <w:p>
      <w:pPr>
        <w:spacing w:before="0" w:after="160"/>
      </w:pPr>
    </w:p>
    <w:p>
      <w:pPr>
        <w:pStyle w:val="Heading2"/>
        <w:spacing w:before="240" w:after="120"/>
      </w:pPr>
      <w:r>
        <w:rPr>
          <w:rFonts w:ascii="Arial" w:hAnsi="Arial"/>
          <w:color w:val="1F2937"/>
          <w:sz w:val="28"/>
        </w:rPr>
        <w:t>3.5  Why It Complements Metric 1 &amp; Metric 2</w:t>
      </w:r>
    </w:p>
    <w:p>
      <w:pPr>
        <w:spacing w:before="0" w:after="60"/>
      </w:pPr>
    </w:p>
    <w:tbl>
      <w:tblPr>
        <w:tblLook w:firstColumn="1" w:firstRow="1" w:lastColumn="0" w:lastRow="0" w:noHBand="0" w:noVBand="1" w:val="04A0"/>
        <w:tblW w:w="9360" w:type="dxa"/>
      </w:tblPr>
      <w:tblGrid>
        <w:gridCol w:w="9360"/>
      </w:tblGrid>
      <w:tr>
        <w:tc>
          <w:tcPr>
            <w:shd w:val="clear" w:color="auto" w:fill="F0FDF4"/>
            <w:tcBorders>
              <w:top w:val="single" w:sz="8" w:color="00876A"/>
              <w:left w:val="single" w:sz="8" w:color="00876A"/>
              <w:bottom w:val="single" w:sz="8" w:color="00876A"/>
              <w:right w:val="single" w:sz="8" w:color="00876A"/>
            </w:tcBorders>
            <w:tcMar>
              <w:top w:w="160" w:type="dxa"/>
              <w:bottom w:w="160" w:type="dxa"/>
              <w:left w:w="200" w:type="dxa"/>
              <w:right w:w="200" w:type="dxa"/>
            </w:tcMar>
            <w:tcW w:w="9360" w:type="dxa"/>
          </w:tcPr>
          <w:p>
            <w:pPr>
              <w:spacing w:before="0" w:after="80"/>
            </w:pPr>
            <w:r>
              <w:rPr>
                <w:rFonts w:ascii="Arial" w:hAnsi="Arial"/>
                <w:b/>
                <w:color w:val="064E3B"/>
                <w:sz w:val="22"/>
              </w:rPr>
              <w:t>Metric 1 (ASM)  →  Comply</w:t>
            </w:r>
          </w:p>
          <w:p>
            <w:pPr>
              <w:spacing w:before="0" w:after="80"/>
            </w:pPr>
            <w:r>
              <w:rPr>
                <w:rFonts w:ascii="Arial" w:hAnsi="Arial"/>
                <w:b w:val="0"/>
                <w:color w:val="1F2937"/>
                <w:sz w:val="20"/>
              </w:rPr>
              <w:t>• Every ASM scan auto-populates technical compliance controls (certificate validity, HSTS, vendor risk, admin surfaces)</w:t>
              <w:br/>
              <w:t>• Security posture score maps directly to compliance readiness — both measured from the same data</w:t>
              <w:br/>
              <w:t>• Customers already paying for ASM get a compliance layer with near-zero additional setup</w:t>
              <w:br/>
              <w:t>• ASM findings that trigger security issues also trigger compliance gaps — one event, two product signals</w:t>
            </w:r>
          </w:p>
        </w:tc>
      </w:tr>
    </w:tbl>
    <w:p>
      <w:pPr>
        <w:spacing w:before="0" w:after="80"/>
      </w:pPr>
    </w:p>
    <w:tbl>
      <w:tblPr>
        <w:tblLook w:firstColumn="1" w:firstRow="1" w:lastColumn="0" w:lastRow="0" w:noHBand="0" w:noVBand="1" w:val="04A0"/>
        <w:tblW w:w="9360" w:type="dxa"/>
      </w:tblPr>
      <w:tblGrid>
        <w:gridCol w:w="9360"/>
      </w:tblGrid>
      <w:tr>
        <w:tc>
          <w:tcPr>
            <w:shd w:val="clear" w:color="auto" w:fill="EFF6FF"/>
            <w:tcBorders>
              <w:top w:val="single" w:sz="8" w:color="1D4ED8"/>
              <w:left w:val="single" w:sz="8" w:color="1D4ED8"/>
              <w:bottom w:val="single" w:sz="8" w:color="1D4ED8"/>
              <w:right w:val="single" w:sz="8" w:color="1D4ED8"/>
            </w:tcBorders>
            <w:tcMar>
              <w:top w:w="160" w:type="dxa"/>
              <w:bottom w:w="160" w:type="dxa"/>
              <w:left w:w="200" w:type="dxa"/>
              <w:right w:w="200" w:type="dxa"/>
            </w:tcMar>
            <w:tcW w:w="9360" w:type="dxa"/>
          </w:tcPr>
          <w:p>
            <w:pPr>
              <w:spacing w:before="0" w:after="80"/>
            </w:pPr>
            <w:r>
              <w:rPr>
                <w:rFonts w:ascii="Arial" w:hAnsi="Arial"/>
                <w:b/>
                <w:color w:val="1D4ED8"/>
                <w:sz w:val="22"/>
              </w:rPr>
              <w:t>Metric 2 (Human Risk Platform)  →  Comply</w:t>
            </w:r>
          </w:p>
          <w:p>
            <w:pPr>
              <w:spacing w:before="0" w:after="80"/>
            </w:pPr>
            <w:r>
              <w:rPr>
                <w:rFonts w:ascii="Arial" w:hAnsi="Arial"/>
                <w:b w:val="0"/>
                <w:color w:val="1F2937"/>
                <w:sz w:val="20"/>
              </w:rPr>
              <w:t>• Phishing simulation completion rates satisfy ISO 27001 A.7.2 and SOC 2 CC1.4 training requirements</w:t>
              <w:br/>
              <w:t>• Human risk scores map to NIST CSF Awareness and Training function</w:t>
              <w:br/>
              <w:t>• Security awareness training records are automatically ingested as compliance evidence</w:t>
              <w:br/>
              <w:t>• HRM incident reports can auto-generate compliance incident records</w:t>
            </w:r>
          </w:p>
        </w:tc>
      </w:tr>
    </w:tbl>
    <w:p>
      <w:pPr>
        <w:spacing w:before="0" w:after="80"/>
      </w:pPr>
    </w:p>
    <w:tbl>
      <w:tblPr>
        <w:tblLook w:firstColumn="1" w:firstRow="1" w:lastColumn="0" w:lastRow="0" w:noHBand="0" w:noVBand="1" w:val="04A0"/>
        <w:tblW w:w="9360" w:type="dxa"/>
      </w:tblPr>
      <w:tblGrid>
        <w:gridCol w:w="9360"/>
      </w:tblGrid>
      <w:tr>
        <w:tc>
          <w:tcPr>
            <w:shd w:val="clear" w:color="auto" w:fill="FEF3C7"/>
            <w:tcBorders>
              <w:top w:val="single" w:sz="8" w:color="D97706"/>
              <w:left w:val="single" w:sz="8" w:color="D97706"/>
              <w:bottom w:val="single" w:sz="8" w:color="D97706"/>
              <w:right w:val="single" w:sz="8" w:color="D97706"/>
            </w:tcBorders>
            <w:tcMar>
              <w:top w:w="160" w:type="dxa"/>
              <w:bottom w:w="160" w:type="dxa"/>
              <w:left w:w="200" w:type="dxa"/>
              <w:right w:w="200" w:type="dxa"/>
            </w:tcMar>
            <w:tcW w:w="9360" w:type="dxa"/>
          </w:tcPr>
          <w:p>
            <w:pPr>
              <w:spacing w:before="0" w:after="80"/>
            </w:pPr>
            <w:r>
              <w:rPr>
                <w:rFonts w:ascii="Arial" w:hAnsi="Arial"/>
                <w:b/>
                <w:color w:val="D97706"/>
                <w:sz w:val="22"/>
              </w:rPr>
              <w:t>Combined Platform Effect</w:t>
            </w:r>
          </w:p>
          <w:p>
            <w:pPr>
              <w:spacing w:before="0" w:after="80"/>
            </w:pPr>
            <w:r>
              <w:rPr>
                <w:rFonts w:ascii="Arial" w:hAnsi="Arial"/>
                <w:b w:val="0"/>
                <w:color w:val="1F2937"/>
                <w:sz w:val="20"/>
              </w:rPr>
              <w:t>• A customer using all three Metrics has near-zero manual compliance work — the platform does it automatically</w:t>
              <w:br/>
              <w:t>• MSPs managing 50+ clients can provide continuous compliance monitoring at scale — not just annual audits</w:t>
              <w:br/>
              <w:t>• Cross-sell flywheel: ASM customers are the easiest Comply prospects; Comply customers need ASM to populate evidence</w:t>
              <w:br/>
              <w:t>• The three-product bundle becomes extremely hard to replace — switching cost equals losing all historical audit evidence</w:t>
            </w:r>
          </w:p>
        </w:tc>
      </w:tr>
    </w:tbl>
    <w:p>
      <w:pPr>
        <w:spacing w:before="0" w:after="80"/>
      </w:pPr>
    </w:p>
    <w:p>
      <w:pPr>
        <w:pStyle w:val="Heading2"/>
        <w:spacing w:before="240" w:after="120"/>
      </w:pPr>
      <w:r>
        <w:rPr>
          <w:rFonts w:ascii="Arial" w:hAnsi="Arial"/>
          <w:color w:val="1F2937"/>
          <w:sz w:val="28"/>
        </w:rPr>
        <w:t>3.6  Core Modules</w:t>
      </w:r>
    </w:p>
    <w:p>
      <w:pPr>
        <w:spacing w:before="0" w:after="60"/>
      </w:pPr>
    </w:p>
    <w:tbl>
      <w:tblPr>
        <w:tblLook w:firstColumn="1" w:firstRow="1" w:lastColumn="0" w:lastRow="0" w:noHBand="0" w:noVBand="1" w:val="04A0"/>
        <w:tblW w:w="9360" w:type="dxa"/>
      </w:tblPr>
      <w:tblGrid>
        <w:gridCol w:w="4680"/>
        <w:gridCol w:w="4680"/>
      </w:tblGrid>
      <w:tr>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2400" w:type="dxa"/>
          </w:tcPr>
          <w:p>
            <w:pPr>
              <w:jc w:val="left"/>
              <w:spacing w:before="0" w:after="0"/>
            </w:pPr>
            <w:r>
              <w:rPr>
                <w:rFonts w:ascii="Arial" w:hAnsi="Arial"/>
                <w:b/>
                <w:i w:val="0"/>
                <w:color w:val="FFFFFF"/>
                <w:sz w:val="20"/>
              </w:rPr>
              <w:t>Module</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6960" w:type="dxa"/>
          </w:tcPr>
          <w:p>
            <w:pPr>
              <w:jc w:val="left"/>
              <w:spacing w:before="0" w:after="0"/>
            </w:pPr>
            <w:r>
              <w:rPr>
                <w:rFonts w:ascii="Arial" w:hAnsi="Arial"/>
                <w:b/>
                <w:i w:val="0"/>
                <w:color w:val="FFFFFF"/>
                <w:sz w:val="20"/>
              </w:rPr>
              <w:t>Description</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Framework Engine</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Support for SOC 2 Type I/II, ISO 27001:2022, Cyber Essentials/Plus, NIS2, DORA, NIST CSF 2.0, CMMC 2.0, PCI DSS 4.0. Each framework maps to a standard control library.</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Evidence Ingestion</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Automatic ingestion from Metric 1 (ASM scans) and Metric 2 (phishing/training data). Manual upload for policies, contracts, and non-automated controls. Third-party integrations (HR systems, ticketing).</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Control Mapping Engine</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AI-powered engine that maps raw security findings to specific framework controls. A single ASM scan can populate dozens of controls across multiple frameworks simultaneously.</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Compliance Posture Score</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Real-time readiness score per framework (0–100%) broken down by control domain. Shows which controls are met, partially met, failing, or untested. Refreshes on every new scan.</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Policy Generator</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AI-generated security policies (Acceptable Use, Incident Response, Access Control, BYOD, etc.) that can be customised and version-controlled. Auto-stamped with review dates.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Audit Pack Builder</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One-click export of audit-ready evidence packs in PDF or ZIP. Includes evidence screenshots, timestamps, control narratives, and attestations. Formatted for specific frameworks and auditors.</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Continuous Monitoring</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Alerts when a control drifts out of compliance (e.g. certificate expires, new admin surface appears, training completion drops below threshold). Always-on — not point-in-time.</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MSP Multi-Tenant Dashboard</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White-labelled workspace management for MSPs. Compliance posture across all client workspaces. Automated monthly compliance reports per client. Alert routing to MSP before clients.</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Compliance Chat (AI)</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In-product AI assistant that answers compliance questions in plain English and explains control gaps for non-technical teams.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064E3B"/>
                <w:sz w:val="19"/>
              </w:rPr>
              <w:t>Supplier Risk Questionnaires</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960" w:type="dxa"/>
          </w:tcPr>
          <w:p>
            <w:pPr>
              <w:jc w:val="left"/>
              <w:spacing w:before="0" w:after="0"/>
            </w:pPr>
            <w:r>
              <w:rPr>
                <w:rFonts w:ascii="Arial" w:hAnsi="Arial"/>
                <w:b w:val="0"/>
                <w:i w:val="0"/>
                <w:color w:val="1F2937"/>
                <w:sz w:val="19"/>
              </w:rPr>
              <w:t>Send and track security questionnaires to vendors. Responses automatically mapped to third-party risk controls in relevant frameworks. Integrates with Metric 1 vendor detection.</w:t>
            </w:r>
          </w:p>
        </w:tc>
      </w:tr>
    </w:tbl>
    <w:p>
      <w:pPr>
        <w:spacing w:before="0" w:after="160"/>
      </w:pPr>
    </w:p>
    <w:p>
      <w:pPr>
        <w:pStyle w:val="Heading2"/>
        <w:spacing w:before="240" w:after="120"/>
      </w:pPr>
      <w:r>
        <w:rPr>
          <w:rFonts w:ascii="Arial" w:hAnsi="Arial"/>
          <w:color w:val="1F2937"/>
          <w:sz w:val="28"/>
        </w:rPr>
        <w:t>3.7  MVP Scope</w:t>
      </w:r>
    </w:p>
    <w:p>
      <w:pPr>
        <w:spacing w:before="0" w:after="140"/>
      </w:pPr>
      <w:r>
        <w:rPr>
          <w:rFonts w:ascii="Arial" w:hAnsi="Arial"/>
          <w:color w:val="1F2937"/>
          <w:sz w:val="22"/>
        </w:rPr>
        <w:t>The MVP should be achievable in 8–12 weeks and target the single highest-demand use case: Cyber Essentials certification for UK SMBs. This is the lowest-friction entry point because:</w:t>
      </w:r>
    </w:p>
    <w:p>
      <w:pPr>
        <w:pStyle w:val="ListBullet"/>
        <w:spacing w:before="0" w:after="80"/>
      </w:pPr>
      <w:r>
        <w:rPr>
          <w:rFonts w:ascii="Arial" w:hAnsi="Arial"/>
          <w:color w:val="1F2937"/>
          <w:sz w:val="20"/>
        </w:rPr>
        <w:t>Cyber Essentials has only 5 control areas — no complex trust services criteria</w:t>
      </w:r>
    </w:p>
    <w:p>
      <w:pPr>
        <w:pStyle w:val="ListBullet"/>
        <w:spacing w:before="0" w:after="80"/>
      </w:pPr>
      <w:r>
        <w:rPr>
          <w:rFonts w:ascii="Arial" w:hAnsi="Arial"/>
          <w:color w:val="1F2937"/>
          <w:sz w:val="20"/>
        </w:rPr>
        <w:t>UK government suppliers are mandated to hold it — creating urgency without persuasion</w:t>
      </w:r>
    </w:p>
    <w:p>
      <w:pPr>
        <w:pStyle w:val="ListBullet"/>
        <w:spacing w:before="0" w:after="80"/>
      </w:pPr>
      <w:r>
        <w:rPr>
          <w:rFonts w:ascii="Arial" w:hAnsi="Arial"/>
          <w:color w:val="1F2937"/>
          <w:sz w:val="20"/>
        </w:rPr>
        <w:t>CyberMeters already collects most of the technical evidence from ASM scans</w:t>
      </w:r>
    </w:p>
    <w:p>
      <w:pPr>
        <w:pStyle w:val="ListBullet"/>
        <w:spacing w:before="0" w:after="80"/>
      </w:pPr>
      <w:r>
        <w:rPr>
          <w:rFonts w:ascii="Arial" w:hAnsi="Arial"/>
          <w:color w:val="1F2937"/>
          <w:sz w:val="20"/>
        </w:rPr>
        <w:t>Cyber Essentials is the fastest path to certification (weeks, not months)</w:t>
      </w:r>
    </w:p>
    <w:p>
      <w:pPr>
        <w:spacing w:before="0" w:after="80"/>
      </w:pPr>
    </w:p>
    <w:p>
      <w:pPr>
        <w:pStyle w:val="Heading3"/>
        <w:spacing w:before="200" w:after="100"/>
      </w:pPr>
      <w:r>
        <w:rPr>
          <w:rFonts w:ascii="Arial" w:hAnsi="Arial"/>
          <w:color w:val="064E3B"/>
          <w:sz w:val="24"/>
        </w:rPr>
        <w:t>MVP Feature Set</w:t>
      </w:r>
    </w:p>
    <w:tbl>
      <w:tblPr>
        <w:tblLook w:firstColumn="1" w:firstRow="1" w:lastColumn="0" w:lastRow="0" w:noHBand="0" w:noVBand="1" w:val="04A0"/>
        <w:tblW w:w="9360" w:type="dxa"/>
      </w:tblPr>
      <w:tblGrid>
        <w:gridCol w:w="4680"/>
        <w:gridCol w:w="4680"/>
      </w:tblGrid>
      <w:tr>
        <w:tc>
          <w:tcPr>
            <w:shd w:val="clear" w:color="auto" w:fill="F3F4F6"/>
            <w:tcBorders>
              <w:top w:val="single" w:sz="6" w:color="E5E7EB"/>
              <w:left w:val="single" w:sz="6" w:color="E5E7EB"/>
              <w:bottom w:val="single" w:sz="6" w:color="E5E7EB"/>
              <w:right w:val="single" w:sz="6" w:color="E5E7EB"/>
            </w:tcBorders>
            <w:tcMar>
              <w:top w:w="100" w:type="dxa"/>
              <w:bottom w:w="100" w:type="dxa"/>
              <w:left w:w="140" w:type="dxa"/>
              <w:right w:w="140" w:type="dxa"/>
            </w:tcMar>
            <w:vAlign w:val="top"/>
            <w:tcW w:w="4680" w:type="dxa"/>
          </w:tcPr>
          <w:p>
            <w:pPr>
              <w:jc w:val="left"/>
              <w:spacing w:before="0" w:after="0"/>
            </w:pPr>
            <w:r>
              <w:rPr>
                <w:rFonts w:ascii="Arial" w:hAnsi="Arial"/>
                <w:b/>
                <w:i w:val="0"/>
                <w:color w:val="1F2937"/>
                <w:sz w:val="20"/>
              </w:rPr>
              <w:t>MVP In Scope</w:t>
            </w:r>
          </w:p>
        </w:tc>
        <w:tc>
          <w:tcPr>
            <w:shd w:val="clear" w:color="auto" w:fill="F3F4F6"/>
            <w:tcBorders>
              <w:top w:val="single" w:sz="6" w:color="E5E7EB"/>
              <w:left w:val="single" w:sz="6" w:color="E5E7EB"/>
              <w:bottom w:val="single" w:sz="6" w:color="E5E7EB"/>
              <w:right w:val="single" w:sz="6" w:color="E5E7EB"/>
            </w:tcBorders>
            <w:tcMar>
              <w:top w:w="100" w:type="dxa"/>
              <w:bottom w:w="100" w:type="dxa"/>
              <w:left w:w="140" w:type="dxa"/>
              <w:right w:w="140" w:type="dxa"/>
            </w:tcMar>
            <w:vAlign w:val="top"/>
            <w:tcW w:w="4680" w:type="dxa"/>
          </w:tcPr>
          <w:p>
            <w:pPr>
              <w:jc w:val="left"/>
              <w:spacing w:before="0" w:after="0"/>
            </w:pPr>
            <w:r>
              <w:rPr>
                <w:rFonts w:ascii="Arial" w:hAnsi="Arial"/>
                <w:b/>
                <w:i w:val="0"/>
                <w:color w:val="1F2937"/>
                <w:sz w:val="20"/>
              </w:rPr>
              <w:t>MVP Out of Scope (v2+)</w:t>
            </w:r>
          </w:p>
        </w:tc>
      </w:tr>
      <w:tr>
        <w:tc>
          <w:tcPr>
            <w:shd w:val="clear" w:color="auto" w:fill="FFFFFF"/>
            <w:tcBorders>
              <w:top w:val="single" w:sz="4" w:color="E5E7EB"/>
              <w:left w:val="single" w:sz="4" w:color="E5E7EB"/>
              <w:bottom w:val="single" w:sz="4" w:color="E5E7EB"/>
              <w:right w:val="single" w:sz="4" w:color="E5E7EB"/>
            </w:tcBorders>
            <w:tcMar>
              <w:top w:w="120" w:type="dxa"/>
              <w:bottom w:w="120" w:type="dxa"/>
              <w:left w:w="140" w:type="dxa"/>
              <w:right w:w="140" w:type="dxa"/>
            </w:tcMar>
            <w:tcW w:w="4680" w:type="dxa"/>
          </w:tcPr>
          <w:p>
            <w:pPr>
              <w:spacing w:before="0" w:after="60"/>
            </w:pPr>
            <w:r>
              <w:rPr>
                <w:rFonts w:ascii="Arial" w:hAnsi="Arial"/>
                <w:color w:val="1F2937"/>
                <w:sz w:val="19"/>
              </w:rPr>
              <w:t>• Cyber Essentials framework (5 control areas)</w:t>
            </w:r>
          </w:p>
          <w:p>
            <w:pPr>
              <w:spacing w:before="0" w:after="60"/>
            </w:pPr>
            <w:r>
              <w:rPr>
                <w:rFonts w:ascii="Arial" w:hAnsi="Arial"/>
                <w:color w:val="1F2937"/>
                <w:sz w:val="19"/>
              </w:rPr>
              <w:t>• ISO 27001 framework (Annex A controls)</w:t>
            </w:r>
          </w:p>
          <w:p>
            <w:pPr>
              <w:spacing w:before="0" w:after="60"/>
            </w:pPr>
            <w:r>
              <w:rPr>
                <w:rFonts w:ascii="Arial" w:hAnsi="Arial"/>
                <w:color w:val="1F2937"/>
                <w:sz w:val="19"/>
              </w:rPr>
              <w:t>• SOC 2 Trust Services Criteria</w:t>
            </w:r>
          </w:p>
          <w:p>
            <w:pPr>
              <w:spacing w:before="0" w:after="60"/>
            </w:pPr>
            <w:r>
              <w:rPr>
                <w:rFonts w:ascii="Arial" w:hAnsi="Arial"/>
                <w:color w:val="1F2937"/>
                <w:sz w:val="19"/>
              </w:rPr>
              <w:t>• Auto-ingestion from Metric 1 ASM scans</w:t>
            </w:r>
          </w:p>
          <w:p>
            <w:pPr>
              <w:spacing w:before="0" w:after="60"/>
            </w:pPr>
            <w:r>
              <w:rPr>
                <w:rFonts w:ascii="Arial" w:hAnsi="Arial"/>
                <w:color w:val="1F2937"/>
                <w:sz w:val="19"/>
              </w:rPr>
              <w:t>• Manual evidence upload (PDF, screenshots)</w:t>
            </w:r>
          </w:p>
          <w:p>
            <w:pPr>
              <w:spacing w:before="0" w:after="60"/>
            </w:pPr>
            <w:r>
              <w:rPr>
                <w:rFonts w:ascii="Arial" w:hAnsi="Arial"/>
                <w:color w:val="1F2937"/>
                <w:sz w:val="19"/>
              </w:rPr>
              <w:t>• Compliance posture score dashboard</w:t>
            </w:r>
          </w:p>
          <w:p>
            <w:pPr>
              <w:spacing w:before="0" w:after="60"/>
            </w:pPr>
            <w:r>
              <w:rPr>
                <w:rFonts w:ascii="Arial" w:hAnsi="Arial"/>
                <w:color w:val="1F2937"/>
                <w:sz w:val="19"/>
              </w:rPr>
              <w:t>• AI-generated Acceptable Use Policy</w:t>
            </w:r>
          </w:p>
          <w:p>
            <w:pPr>
              <w:spacing w:before="0" w:after="60"/>
            </w:pPr>
            <w:r>
              <w:rPr>
                <w:rFonts w:ascii="Arial" w:hAnsi="Arial"/>
                <w:color w:val="1F2937"/>
                <w:sz w:val="19"/>
              </w:rPr>
              <w:t>• Audit pack PDF export</w:t>
            </w:r>
          </w:p>
          <w:p>
            <w:pPr>
              <w:spacing w:before="0" w:after="60"/>
            </w:pPr>
            <w:r>
              <w:rPr>
                <w:rFonts w:ascii="Arial" w:hAnsi="Arial"/>
                <w:color w:val="1F2937"/>
                <w:sz w:val="19"/>
              </w:rPr>
              <w:t>• Control gap list with remediation guidance</w:t>
            </w:r>
          </w:p>
        </w:tc>
        <w:tc>
          <w:tcPr>
            <w:shd w:val="clear" w:color="auto" w:fill="FFFFFF"/>
            <w:tcBorders>
              <w:top w:val="single" w:sz="4" w:color="E5E7EB"/>
              <w:left w:val="single" w:sz="4" w:color="E5E7EB"/>
              <w:bottom w:val="single" w:sz="4" w:color="E5E7EB"/>
              <w:right w:val="single" w:sz="4" w:color="E5E7EB"/>
            </w:tcBorders>
            <w:tcMar>
              <w:top w:w="120" w:type="dxa"/>
              <w:bottom w:w="120" w:type="dxa"/>
              <w:left w:w="140" w:type="dxa"/>
              <w:right w:w="140" w:type="dxa"/>
            </w:tcMar>
            <w:tcW w:w="4680" w:type="dxa"/>
          </w:tcPr>
          <w:p>
            <w:pPr>
              <w:spacing w:before="0" w:after="60"/>
            </w:pPr>
            <w:r>
              <w:rPr>
                <w:rFonts w:ascii="Arial" w:hAnsi="Arial"/>
                <w:color w:val="1F2937"/>
                <w:sz w:val="19"/>
              </w:rPr>
              <w:t>• Metric 2 / HRM evidence ingestion</w:t>
            </w:r>
          </w:p>
          <w:p>
            <w:pPr>
              <w:spacing w:before="0" w:after="60"/>
            </w:pPr>
            <w:r>
              <w:rPr>
                <w:rFonts w:ascii="Arial" w:hAnsi="Arial"/>
                <w:color w:val="1F2937"/>
                <w:sz w:val="19"/>
              </w:rPr>
              <w:t>• NIS2, DORA, CMMC frameworks</w:t>
            </w:r>
          </w:p>
          <w:p>
            <w:pPr>
              <w:spacing w:before="0" w:after="60"/>
            </w:pPr>
            <w:r>
              <w:rPr>
                <w:rFonts w:ascii="Arial" w:hAnsi="Arial"/>
                <w:color w:val="1F2937"/>
                <w:sz w:val="19"/>
              </w:rPr>
              <w:t>• MSP multi-tenant dashboard</w:t>
            </w:r>
          </w:p>
          <w:p>
            <w:pPr>
              <w:spacing w:before="0" w:after="60"/>
            </w:pPr>
            <w:r>
              <w:rPr>
                <w:rFonts w:ascii="Arial" w:hAnsi="Arial"/>
                <w:color w:val="1F2937"/>
                <w:sz w:val="19"/>
              </w:rPr>
              <w:t>• Supplier questionnaires</w:t>
            </w:r>
          </w:p>
          <w:p>
            <w:pPr>
              <w:spacing w:before="0" w:after="60"/>
            </w:pPr>
            <w:r>
              <w:rPr>
                <w:rFonts w:ascii="Arial" w:hAnsi="Arial"/>
                <w:color w:val="1F2937"/>
                <w:sz w:val="19"/>
              </w:rPr>
              <w:t>• AI compliance chat assistant</w:t>
            </w:r>
          </w:p>
          <w:p>
            <w:pPr>
              <w:spacing w:before="0" w:after="60"/>
            </w:pPr>
            <w:r>
              <w:rPr>
                <w:rFonts w:ascii="Arial" w:hAnsi="Arial"/>
                <w:color w:val="1F2937"/>
                <w:sz w:val="19"/>
              </w:rPr>
              <w:t>• Continuous drift monitoring alerts</w:t>
            </w:r>
          </w:p>
          <w:p>
            <w:pPr>
              <w:spacing w:before="0" w:after="60"/>
            </w:pPr>
            <w:r>
              <w:rPr>
                <w:rFonts w:ascii="Arial" w:hAnsi="Arial"/>
                <w:color w:val="1F2937"/>
                <w:sz w:val="19"/>
              </w:rPr>
              <w:t>• Multi-framework simultaneous view</w:t>
            </w:r>
          </w:p>
          <w:p>
            <w:pPr>
              <w:spacing w:before="0" w:after="60"/>
            </w:pPr>
            <w:r>
              <w:rPr>
                <w:rFonts w:ascii="Arial" w:hAnsi="Arial"/>
                <w:color w:val="1F2937"/>
                <w:sz w:val="19"/>
              </w:rPr>
              <w:t>• White-label MSP branding</w:t>
            </w:r>
          </w:p>
        </w:tc>
      </w:tr>
    </w:tbl>
    <w:p>
      <w:pPr>
        <w:spacing w:before="0" w:after="160"/>
      </w:pPr>
    </w:p>
    <w:p>
      <w:pPr>
        <w:pStyle w:val="Heading2"/>
        <w:spacing w:before="240" w:after="120"/>
      </w:pPr>
      <w:r>
        <w:rPr>
          <w:rFonts w:ascii="Arial" w:hAnsi="Arial"/>
          <w:color w:val="1F2937"/>
          <w:sz w:val="28"/>
        </w:rPr>
        <w:t>3.8  Revenue Model</w:t>
      </w:r>
    </w:p>
    <w:p>
      <w:pPr>
        <w:spacing w:before="0" w:after="40"/>
      </w:pPr>
    </w:p>
    <w:tbl>
      <w:tblPr>
        <w:tblLook w:firstColumn="1" w:firstRow="1" w:lastColumn="0" w:lastRow="0" w:noHBand="0" w:noVBand="1" w:val="04A0"/>
        <w:tblW w:w="9360" w:type="dxa"/>
      </w:tblPr>
      <w:tblGrid>
        <w:gridCol w:w="3120"/>
        <w:gridCol w:w="3120"/>
        <w:gridCol w:w="3120"/>
      </w:tblGrid>
      <w:tr>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2000" w:type="dxa"/>
          </w:tcPr>
          <w:p>
            <w:pPr>
              <w:jc w:val="left"/>
              <w:spacing w:before="0" w:after="0"/>
            </w:pPr>
            <w:r>
              <w:rPr>
                <w:rFonts w:ascii="Arial" w:hAnsi="Arial"/>
                <w:b/>
                <w:i w:val="0"/>
                <w:color w:val="FFFFFF"/>
                <w:sz w:val="20"/>
              </w:rPr>
              <w:t>Tier</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1800" w:type="dxa"/>
          </w:tcPr>
          <w:p>
            <w:pPr>
              <w:jc w:val="left"/>
              <w:spacing w:before="0" w:after="0"/>
            </w:pPr>
            <w:r>
              <w:rPr>
                <w:rFonts w:ascii="Arial" w:hAnsi="Arial"/>
                <w:b/>
                <w:i w:val="0"/>
                <w:color w:val="FFFFFF"/>
                <w:sz w:val="20"/>
              </w:rPr>
              <w:t>Price</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5560" w:type="dxa"/>
          </w:tcPr>
          <w:p>
            <w:pPr>
              <w:jc w:val="left"/>
              <w:spacing w:before="0" w:after="0"/>
            </w:pPr>
            <w:r>
              <w:rPr>
                <w:rFonts w:ascii="Arial" w:hAnsi="Arial"/>
                <w:b/>
                <w:i w:val="0"/>
                <w:color w:val="FFFFFF"/>
                <w:sz w:val="20"/>
              </w:rPr>
              <w:t>Included</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064E3B"/>
                <w:sz w:val="19"/>
              </w:rPr>
              <w:t>Comply Starter</w:t>
            </w:r>
          </w:p>
        </w:tc>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0876A"/>
                <w:sz w:val="19"/>
              </w:rPr>
              <w:t>£99/mo</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560" w:type="dxa"/>
          </w:tcPr>
          <w:p>
            <w:pPr>
              <w:jc w:val="left"/>
              <w:spacing w:before="0" w:after="0"/>
            </w:pPr>
            <w:r>
              <w:rPr>
                <w:rFonts w:ascii="Arial" w:hAnsi="Arial"/>
                <w:b w:val="0"/>
                <w:i w:val="0"/>
                <w:color w:val="1F2937"/>
                <w:sz w:val="19"/>
              </w:rPr>
              <w:t>1 workspace · 1 framework (Cyber Essentials) · Up to 3 ASM domain connections · Manual evidence upload · PDF audit pack</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064E3B"/>
                <w:sz w:val="19"/>
              </w:rPr>
              <w:t>Comply Pro</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0876A"/>
                <w:sz w:val="19"/>
              </w:rPr>
              <w:t>£249/mo</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560" w:type="dxa"/>
          </w:tcPr>
          <w:p>
            <w:pPr>
              <w:jc w:val="left"/>
              <w:spacing w:before="0" w:after="0"/>
            </w:pPr>
            <w:r>
              <w:rPr>
                <w:rFonts w:ascii="Arial" w:hAnsi="Arial"/>
                <w:b w:val="0"/>
                <w:i w:val="0"/>
                <w:color w:val="1F2937"/>
                <w:sz w:val="19"/>
              </w:rPr>
              <w:t>1 workspace · Up to 3 frameworks · Unlimited domains · Auto-ingestion from Metric 1 &amp; 2 · Continuous monitoring · AI policy generator</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064E3B"/>
                <w:sz w:val="19"/>
              </w:rPr>
              <w:t>Comply MSP</w:t>
            </w:r>
          </w:p>
        </w:tc>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0876A"/>
                <w:sz w:val="19"/>
              </w:rPr>
              <w:t>£499/mo + £49/client</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560" w:type="dxa"/>
          </w:tcPr>
          <w:p>
            <w:pPr>
              <w:jc w:val="left"/>
              <w:spacing w:before="0" w:after="0"/>
            </w:pPr>
            <w:r>
              <w:rPr>
                <w:rFonts w:ascii="Arial" w:hAnsi="Arial"/>
                <w:b w:val="0"/>
                <w:i w:val="0"/>
                <w:color w:val="1F2937"/>
                <w:sz w:val="19"/>
              </w:rPr>
              <w:t>Unlimited client workspaces · All frameworks · White-label audit reports · MSP dashboard · Client alert routing · API access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000" w:type="dxa"/>
          </w:tcPr>
          <w:p>
            <w:pPr>
              <w:jc w:val="left"/>
              <w:spacing w:before="0" w:after="0"/>
            </w:pPr>
            <w:r>
              <w:rPr>
                <w:rFonts w:ascii="Arial" w:hAnsi="Arial"/>
                <w:b/>
                <w:i w:val="0"/>
                <w:color w:val="064E3B"/>
                <w:sz w:val="19"/>
              </w:rPr>
              <w:t>Comply Enterprise</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0876A"/>
                <w:sz w:val="19"/>
              </w:rPr>
              <w:t>Custom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560" w:type="dxa"/>
          </w:tcPr>
          <w:p>
            <w:pPr>
              <w:jc w:val="left"/>
              <w:spacing w:before="0" w:after="0"/>
            </w:pPr>
            <w:r>
              <w:rPr>
                <w:rFonts w:ascii="Arial" w:hAnsi="Arial"/>
                <w:b w:val="0"/>
                <w:i w:val="0"/>
                <w:color w:val="1F2937"/>
                <w:sz w:val="19"/>
              </w:rPr>
              <w:t>Unlimited workspaces · Custom frameworks · SSO/SCIM · Dedicated CSM · Audit liaison support · SLA guarantees</w:t>
            </w:r>
          </w:p>
        </w:tc>
      </w:tr>
    </w:tbl>
    <w:p>
      <w:pPr>
        <w:spacing w:before="0" w:after="120"/>
      </w:pPr>
    </w:p>
    <w:p>
      <w:pPr>
        <w:spacing w:before="0" w:after="140"/>
      </w:pPr>
      <w:r>
        <w:rPr>
          <w:rFonts w:ascii="Arial" w:hAnsi="Arial"/>
          <w:color w:val="1F2937"/>
          <w:sz w:val="22"/>
        </w:rPr>
        <w:t>Additional revenue lines: per-framework add-on packs (£29/mo each), audit liaison service (flat-fee certification preparation), supplier questionnaire credits (pay-per-send above plan allowance).</w:t>
      </w:r>
    </w:p>
    <w:p>
      <w:pPr>
        <w:pStyle w:val="Heading2"/>
        <w:spacing w:before="240" w:after="120"/>
      </w:pPr>
      <w:r>
        <w:rPr>
          <w:rFonts w:ascii="Arial" w:hAnsi="Arial"/>
          <w:color w:val="1F2937"/>
          <w:sz w:val="28"/>
        </w:rPr>
        <w:t>3.9  Development Complexity</w:t>
      </w:r>
    </w:p>
    <w:p>
      <w:pPr>
        <w:spacing w:before="0" w:after="4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Overall Complexity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MEDIUM — No new scan engines required. Core value is data mapping and workflow, not novel detection.</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Backend</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New D1 tables for frameworks, controls, evidence, policies. New API routes for compliance workspace. Cloudflare Worker compatible.</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Framework Library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Static JSON/YAML control libraries per framework. Cyber Essentials: 5 domains, ~25 controls. ISO 27001: Annex A, 93 controls.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Evidence Pipeline</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Internal API to pull ASM scan findings and map to control IDs. New mapping layer — the highest-value engineering work in the MVP.</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AI Integration</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Policy generation via Claude/GPT API. Compliance chat assistant. Control gap explanation. No model training required.</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Frontend</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New workspace section: Framework selector, control list, evidence upload, posture dashboard, audit pack builder. Reuses existing design system.</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MVP Timeline</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8–12 weeks to Cyber Essentials + ISO 27001 MVP with ASM evidence ingestion and PDF audit pack.</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Team Required</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2 backend engineers, 1 frontend engineer, 1 compliance SME (part-time), 1 PM.</w:t>
            </w:r>
          </w:p>
        </w:tc>
      </w:tr>
    </w:tbl>
    <w:p>
      <w:pPr>
        <w:spacing w:before="0" w:after="80"/>
      </w:pPr>
    </w:p>
    <w:p>
      <w:pPr>
        <w:pStyle w:val="Heading2"/>
        <w:spacing w:before="240" w:after="120"/>
      </w:pPr>
      <w:r>
        <w:rPr>
          <w:rFonts w:ascii="Arial" w:hAnsi="Arial"/>
          <w:color w:val="1F2937"/>
          <w:sz w:val="28"/>
        </w:rPr>
        <w:t>3.10  Three-Year Roadmap</w:t>
      </w:r>
    </w:p>
    <w:p>
      <w:pPr>
        <w:spacing w:before="0" w:after="40"/>
      </w:pPr>
    </w:p>
    <w:tbl>
      <w:tblPr>
        <w:tblLook w:firstColumn="1" w:firstRow="1" w:lastColumn="0" w:lastRow="0" w:noHBand="0" w:noVBand="1" w:val="04A0"/>
        <w:tblW w:w="9360" w:type="dxa"/>
      </w:tblPr>
      <w:tblGrid>
        <w:gridCol w:w="3120"/>
        <w:gridCol w:w="3120"/>
        <w:gridCol w:w="3120"/>
      </w:tblGrid>
      <w:tr>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1800" w:type="dxa"/>
          </w:tcPr>
          <w:p>
            <w:pPr>
              <w:jc w:val="left"/>
              <w:spacing w:before="0" w:after="0"/>
            </w:pPr>
            <w:r>
              <w:rPr>
                <w:rFonts w:ascii="Arial" w:hAnsi="Arial"/>
                <w:b/>
                <w:i w:val="0"/>
                <w:color w:val="FFFFFF"/>
                <w:sz w:val="20"/>
              </w:rPr>
              <w:t>Phase</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1600" w:type="dxa"/>
          </w:tcPr>
          <w:p>
            <w:pPr>
              <w:jc w:val="left"/>
              <w:spacing w:before="0" w:after="0"/>
            </w:pPr>
            <w:r>
              <w:rPr>
                <w:rFonts w:ascii="Arial" w:hAnsi="Arial"/>
                <w:b/>
                <w:i w:val="0"/>
                <w:color w:val="FFFFFF"/>
                <w:sz w:val="20"/>
              </w:rPr>
              <w:t>Timeline</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5960" w:type="dxa"/>
          </w:tcPr>
          <w:p>
            <w:pPr>
              <w:jc w:val="left"/>
              <w:spacing w:before="0" w:after="0"/>
            </w:pPr>
            <w:r>
              <w:rPr>
                <w:rFonts w:ascii="Arial" w:hAnsi="Arial"/>
                <w:b/>
                <w:i w:val="0"/>
                <w:color w:val="FFFFFF"/>
                <w:sz w:val="20"/>
              </w:rPr>
              <w:t>Milestones</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64E3B"/>
                <w:sz w:val="19"/>
              </w:rPr>
              <w:t>Phase 1 — MVP</w:t>
            </w:r>
          </w:p>
        </w:tc>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Q3–Q4 2026</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960" w:type="dxa"/>
          </w:tcPr>
          <w:p>
            <w:pPr>
              <w:jc w:val="left"/>
              <w:spacing w:before="0" w:after="0"/>
            </w:pPr>
            <w:r>
              <w:rPr>
                <w:rFonts w:ascii="Arial" w:hAnsi="Arial"/>
                <w:b w:val="0"/>
                <w:i w:val="0"/>
                <w:color w:val="1F2937"/>
                <w:sz w:val="19"/>
              </w:rPr>
              <w:t>Cyber Essentials + ISO 27001 · Auto-ingestion from ASM (Metric 1) · Manual evidence upload · Compliance posture score · AI policy generator · PDF audit pack · Beta launch with 10 design partners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64E3B"/>
                <w:sz w:val="19"/>
              </w:rPr>
              <w:t>Phase 2 — Growth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H1 2027</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960" w:type="dxa"/>
          </w:tcPr>
          <w:p>
            <w:pPr>
              <w:jc w:val="left"/>
              <w:spacing w:before="0" w:after="0"/>
            </w:pPr>
            <w:r>
              <w:rPr>
                <w:rFonts w:ascii="Arial" w:hAnsi="Arial"/>
                <w:b w:val="0"/>
                <w:i w:val="0"/>
                <w:color w:val="1F2937"/>
                <w:sz w:val="19"/>
              </w:rPr>
              <w:t>SOC 2 Type II · NIS2 framework · Metric 2 (HRM) evidence ingestion · MSP multi-tenant dashboard + white-label · Continuous drift monitoring · Supplier risk questionnaires · Compliance Chat AI · MSP channel launch (target: 25 MSP partners)</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64E3B"/>
                <w:sz w:val="19"/>
              </w:rPr>
              <w:t>Phase 3 — Scale</w:t>
            </w:r>
          </w:p>
        </w:tc>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H2 2027</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960" w:type="dxa"/>
          </w:tcPr>
          <w:p>
            <w:pPr>
              <w:jc w:val="left"/>
              <w:spacing w:before="0" w:after="0"/>
            </w:pPr>
            <w:r>
              <w:rPr>
                <w:rFonts w:ascii="Arial" w:hAnsi="Arial"/>
                <w:b w:val="0"/>
                <w:i w:val="0"/>
                <w:color w:val="1F2937"/>
                <w:sz w:val="19"/>
              </w:rPr>
              <w:t>DORA + CMMC 2.0 + PCI DSS 4.0 · Multi-framework simultaneous compliance · Cyber insurance readiness module · Audit liaison marketplace · API for third-party integrations (Jira, ServiceNow, Slack) · Enterprise SSO/SCIM</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800" w:type="dxa"/>
          </w:tcPr>
          <w:p>
            <w:pPr>
              <w:jc w:val="left"/>
              <w:spacing w:before="0" w:after="0"/>
            </w:pPr>
            <w:r>
              <w:rPr>
                <w:rFonts w:ascii="Arial" w:hAnsi="Arial"/>
                <w:b/>
                <w:i w:val="0"/>
                <w:color w:val="064E3B"/>
                <w:sz w:val="19"/>
              </w:rPr>
              <w:t>Phase 4 — 2028+</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600" w:type="dxa"/>
          </w:tcPr>
          <w:p>
            <w:pPr>
              <w:jc w:val="left"/>
              <w:spacing w:before="0" w:after="0"/>
            </w:pPr>
            <w:r>
              <w:rPr>
                <w:rFonts w:ascii="Arial" w:hAnsi="Arial"/>
                <w:b/>
                <w:i w:val="0"/>
                <w:color w:val="00876A"/>
                <w:sz w:val="19"/>
              </w:rPr>
              <w:t>2028–2030</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960" w:type="dxa"/>
          </w:tcPr>
          <w:p>
            <w:pPr>
              <w:jc w:val="left"/>
              <w:spacing w:before="0" w:after="0"/>
            </w:pPr>
            <w:r>
              <w:rPr>
                <w:rFonts w:ascii="Arial" w:hAnsi="Arial"/>
                <w:b w:val="0"/>
                <w:i w:val="0"/>
                <w:color w:val="1F2937"/>
                <w:sz w:val="19"/>
              </w:rPr>
              <w:t>AI-powered compliance gap prediction · Regulatory change monitoring · Cross-border multi-jurisdiction compliance (UK + EU + US) · Compliance marketplace (auditors, vCISOs, advisors) · Potential M&amp;A target for larger GRC platform</w:t>
            </w:r>
          </w:p>
        </w:tc>
      </w:tr>
    </w:tbl>
    <w:p>
      <w:pPr>
        <w:spacing w:before="0" w:after="80"/>
      </w:pPr>
    </w:p>
    <w:p>
      <w:r>
        <w:br w:type="page"/>
      </w:r>
    </w:p>
    <w:p>
      <w:pPr>
        <w:pStyle w:val="Heading1"/>
        <w:spacing w:before="320" w:after="160"/>
      </w:pPr>
      <w:r>
        <w:rPr>
          <w:rFonts w:ascii="Arial" w:hAnsi="Arial"/>
          <w:color w:val="1F2937"/>
          <w:sz w:val="36"/>
        </w:rPr>
        <w:t>Section 4: Top 5 Alternative Candidates</w:t>
      </w:r>
    </w:p>
    <w:p>
      <w:pPr>
        <w:pBdr>
          <w:bottom w:val="single" w:sz="12" w:color="00876A" w:space="1"/>
        </w:pBdr>
        <w:spacing w:before="0" w:after="160"/>
      </w:pPr>
    </w:p>
    <w:p>
      <w:pPr>
        <w:spacing w:before="0" w:after="140"/>
      </w:pPr>
      <w:r>
        <w:rPr>
          <w:rFonts w:ascii="Arial" w:hAnsi="Arial"/>
          <w:color w:val="1F2937"/>
          <w:sz w:val="22"/>
        </w:rPr>
        <w:t>The following five product categories were evaluated as alternatives to the primary recommendation. Each is a viable Metric 3 candidate. They are ranked from strongest to weakest based on market size, SMB/MSP fit, AI opportunity, and cross-sell potential with Metric 1 and 2.</w:t>
      </w:r>
    </w:p>
    <w:p>
      <w:pPr>
        <w:spacing w:before="0" w:after="80"/>
      </w:pPr>
    </w:p>
    <w:tbl>
      <w:tblPr>
        <w:tblLook w:firstColumn="1" w:firstRow="1" w:lastColumn="0" w:lastRow="0" w:noHBand="0" w:noVBand="1" w:val="04A0"/>
        <w:tblW w:w="9360" w:type="dxa"/>
      </w:tblPr>
      <w:tblGrid>
        <w:gridCol w:w="1170"/>
        <w:gridCol w:w="1170"/>
        <w:gridCol w:w="1170"/>
        <w:gridCol w:w="1170"/>
        <w:gridCol w:w="1170"/>
        <w:gridCol w:w="1170"/>
        <w:gridCol w:w="1170"/>
        <w:gridCol w:w="1170"/>
      </w:tblGrid>
      <w:tr>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480" w:type="dxa"/>
          </w:tcPr>
          <w:p>
            <w:pPr>
              <w:jc w:val="left"/>
              <w:spacing w:before="0" w:after="0"/>
            </w:pPr>
            <w:r>
              <w:rPr>
                <w:rFonts w:ascii="Arial" w:hAnsi="Arial"/>
                <w:b/>
                <w:i w:val="0"/>
                <w:color w:val="FFFFFF"/>
                <w:sz w:val="18"/>
              </w:rPr>
              <w:t>#</w:t>
            </w:r>
          </w:p>
        </w:tc>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2500" w:type="dxa"/>
          </w:tcPr>
          <w:p>
            <w:pPr>
              <w:jc w:val="left"/>
              <w:spacing w:before="0" w:after="0"/>
            </w:pPr>
            <w:r>
              <w:rPr>
                <w:rFonts w:ascii="Arial" w:hAnsi="Arial"/>
                <w:b/>
                <w:i w:val="0"/>
                <w:color w:val="FFFFFF"/>
                <w:sz w:val="18"/>
              </w:rPr>
              <w:t>Product</w:t>
            </w:r>
          </w:p>
        </w:tc>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1440" w:type="dxa"/>
          </w:tcPr>
          <w:p>
            <w:pPr>
              <w:jc w:val="left"/>
              <w:spacing w:before="0" w:after="0"/>
            </w:pPr>
            <w:r>
              <w:rPr>
                <w:rFonts w:ascii="Arial" w:hAnsi="Arial"/>
                <w:b/>
                <w:i w:val="0"/>
                <w:color w:val="FFFFFF"/>
                <w:sz w:val="18"/>
              </w:rPr>
              <w:t>Market Size</w:t>
            </w:r>
          </w:p>
        </w:tc>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840" w:type="dxa"/>
          </w:tcPr>
          <w:p>
            <w:pPr>
              <w:jc w:val="left"/>
              <w:spacing w:before="0" w:after="0"/>
            </w:pPr>
            <w:r>
              <w:rPr>
                <w:rFonts w:ascii="Arial" w:hAnsi="Arial"/>
                <w:b/>
                <w:i w:val="0"/>
                <w:color w:val="FFFFFF"/>
                <w:sz w:val="18"/>
              </w:rPr>
              <w:t>SMB Fit</w:t>
            </w:r>
          </w:p>
        </w:tc>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840" w:type="dxa"/>
          </w:tcPr>
          <w:p>
            <w:pPr>
              <w:jc w:val="left"/>
              <w:spacing w:before="0" w:after="0"/>
            </w:pPr>
            <w:r>
              <w:rPr>
                <w:rFonts w:ascii="Arial" w:hAnsi="Arial"/>
                <w:b/>
                <w:i w:val="0"/>
                <w:color w:val="FFFFFF"/>
                <w:sz w:val="18"/>
              </w:rPr>
              <w:t>MSP Fit</w:t>
            </w:r>
          </w:p>
        </w:tc>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840" w:type="dxa"/>
          </w:tcPr>
          <w:p>
            <w:pPr>
              <w:jc w:val="left"/>
              <w:spacing w:before="0" w:after="0"/>
            </w:pPr>
            <w:r>
              <w:rPr>
                <w:rFonts w:ascii="Arial" w:hAnsi="Arial"/>
                <w:b/>
                <w:i w:val="0"/>
                <w:color w:val="FFFFFF"/>
                <w:sz w:val="18"/>
              </w:rPr>
              <w:t>AI Opp.</w:t>
            </w:r>
          </w:p>
        </w:tc>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840" w:type="dxa"/>
          </w:tcPr>
          <w:p>
            <w:pPr>
              <w:jc w:val="left"/>
              <w:spacing w:before="0" w:after="0"/>
            </w:pPr>
            <w:r>
              <w:rPr>
                <w:rFonts w:ascii="Arial" w:hAnsi="Arial"/>
                <w:b/>
                <w:i w:val="0"/>
                <w:color w:val="FFFFFF"/>
                <w:sz w:val="18"/>
              </w:rPr>
              <w:t>X-Sell</w:t>
            </w:r>
          </w:p>
        </w:tc>
        <w:tc>
          <w:tcPr>
            <w:shd w:val="clear" w:color="auto" w:fill="1F2937"/>
            <w:tcBorders>
              <w:top w:val="single" w:sz="6" w:color="1F2937"/>
              <w:left w:val="single" w:sz="6" w:color="1F2937"/>
              <w:bottom w:val="single" w:sz="6" w:color="1F2937"/>
              <w:right w:val="single" w:sz="6" w:color="1F2937"/>
            </w:tcBorders>
            <w:tcMar>
              <w:top w:w="100" w:type="dxa"/>
              <w:bottom w:w="100" w:type="dxa"/>
              <w:left w:w="140" w:type="dxa"/>
              <w:right w:w="140" w:type="dxa"/>
            </w:tcMar>
            <w:vAlign w:val="top"/>
            <w:tcW w:w="1080" w:type="dxa"/>
          </w:tcPr>
          <w:p>
            <w:pPr>
              <w:jc w:val="left"/>
              <w:spacing w:before="0" w:after="0"/>
            </w:pPr>
            <w:r>
              <w:rPr>
                <w:rFonts w:ascii="Arial" w:hAnsi="Arial"/>
                <w:b/>
                <w:i w:val="0"/>
                <w:color w:val="FFFFFF"/>
                <w:sz w:val="18"/>
              </w:rPr>
              <w:t>Verdict</w:t>
            </w:r>
          </w:p>
        </w:tc>
      </w:tr>
      <w:tr>
        <w:tc>
          <w:tcPr>
            <w:shd w:val="clear" w:color="auto" w:fill="00876A"/>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80" w:type="dxa"/>
          </w:tcPr>
          <w:p>
            <w:pPr>
              <w:jc w:val="left"/>
              <w:spacing w:before="0" w:after="0"/>
            </w:pPr>
            <w:r>
              <w:rPr>
                <w:rFonts w:ascii="Arial" w:hAnsi="Arial"/>
                <w:b/>
                <w:i w:val="0"/>
                <w:color w:val="FFFFFF"/>
                <w:sz w:val="18"/>
              </w:rPr>
              <w:t>01</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500" w:type="dxa"/>
          </w:tcPr>
          <w:p>
            <w:pPr>
              <w:jc w:val="left"/>
              <w:spacing w:before="0" w:after="0"/>
            </w:pPr>
            <w:r>
              <w:rPr>
                <w:rFonts w:ascii="Arial" w:hAnsi="Arial"/>
                <w:b/>
                <w:i w:val="0"/>
                <w:color w:val="1F2937"/>
                <w:sz w:val="18"/>
              </w:rPr>
              <w:t>Cyber Risk Quantification</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440" w:type="dxa"/>
          </w:tcPr>
          <w:p>
            <w:pPr>
              <w:jc w:val="left"/>
              <w:spacing w:before="0" w:after="0"/>
            </w:pPr>
            <w:r>
              <w:rPr>
                <w:rFonts w:ascii="Arial" w:hAnsi="Arial"/>
                <w:b w:val="0"/>
                <w:i w:val="0"/>
                <w:color w:val="1F2937"/>
                <w:sz w:val="18"/>
              </w:rPr>
              <w:t>$4.84B → $9.66B</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Medium</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080" w:type="dxa"/>
          </w:tcPr>
          <w:p>
            <w:pPr>
              <w:jc w:val="left"/>
              <w:spacing w:before="0" w:after="0"/>
            </w:pPr>
            <w:r>
              <w:rPr>
                <w:rFonts w:ascii="Arial" w:hAnsi="Arial"/>
                <w:b w:val="0"/>
                <w:i w:val="0"/>
                <w:color w:val="1F2937"/>
                <w:sz w:val="18"/>
              </w:rPr>
              <w:t>Strong</w:t>
            </w:r>
          </w:p>
        </w:tc>
      </w:tr>
      <w:tr>
        <w:tc>
          <w:tcPr>
            <w:shd w:val="clear" w:color="auto" w:fill="1D4ED8"/>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80" w:type="dxa"/>
          </w:tcPr>
          <w:p>
            <w:pPr>
              <w:jc w:val="left"/>
              <w:spacing w:before="0" w:after="0"/>
            </w:pPr>
            <w:r>
              <w:rPr>
                <w:rFonts w:ascii="Arial" w:hAnsi="Arial"/>
                <w:b/>
                <w:i w:val="0"/>
                <w:color w:val="FFFFFF"/>
                <w:sz w:val="18"/>
              </w:rPr>
              <w:t>02</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500" w:type="dxa"/>
          </w:tcPr>
          <w:p>
            <w:pPr>
              <w:jc w:val="left"/>
              <w:spacing w:before="0" w:after="0"/>
            </w:pPr>
            <w:r>
              <w:rPr>
                <w:rFonts w:ascii="Arial" w:hAnsi="Arial"/>
                <w:b/>
                <w:i w:val="0"/>
                <w:color w:val="1F2937"/>
                <w:sz w:val="18"/>
              </w:rPr>
              <w:t>Dark Web Intelligence</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440" w:type="dxa"/>
          </w:tcPr>
          <w:p>
            <w:pPr>
              <w:jc w:val="left"/>
              <w:spacing w:before="0" w:after="0"/>
            </w:pPr>
            <w:r>
              <w:rPr>
                <w:rFonts w:ascii="Arial" w:hAnsi="Arial"/>
                <w:b w:val="0"/>
                <w:i w:val="0"/>
                <w:color w:val="1F2937"/>
                <w:sz w:val="18"/>
              </w:rPr>
              <w:t>$1.5B → $4.2B</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Very High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080" w:type="dxa"/>
          </w:tcPr>
          <w:p>
            <w:pPr>
              <w:jc w:val="left"/>
              <w:spacing w:before="0" w:after="0"/>
            </w:pPr>
            <w:r>
              <w:rPr>
                <w:rFonts w:ascii="Arial" w:hAnsi="Arial"/>
                <w:b w:val="0"/>
                <w:i w:val="0"/>
                <w:color w:val="1F2937"/>
                <w:sz w:val="18"/>
              </w:rPr>
              <w:t>Strong</w:t>
            </w:r>
          </w:p>
        </w:tc>
      </w:tr>
      <w:tr>
        <w:tc>
          <w:tcPr>
            <w:shd w:val="clear" w:color="auto" w:fill="7C3AED"/>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80" w:type="dxa"/>
          </w:tcPr>
          <w:p>
            <w:pPr>
              <w:jc w:val="left"/>
              <w:spacing w:before="0" w:after="0"/>
            </w:pPr>
            <w:r>
              <w:rPr>
                <w:rFonts w:ascii="Arial" w:hAnsi="Arial"/>
                <w:b/>
                <w:i w:val="0"/>
                <w:color w:val="FFFFFF"/>
                <w:sz w:val="18"/>
              </w:rPr>
              <w:t>03</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500" w:type="dxa"/>
          </w:tcPr>
          <w:p>
            <w:pPr>
              <w:jc w:val="left"/>
              <w:spacing w:before="0" w:after="0"/>
            </w:pPr>
            <w:r>
              <w:rPr>
                <w:rFonts w:ascii="Arial" w:hAnsi="Arial"/>
                <w:b/>
                <w:i w:val="0"/>
                <w:color w:val="1F2937"/>
                <w:sz w:val="18"/>
              </w:rPr>
              <w:t>Vuln Mgmt &amp; Remediation</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440" w:type="dxa"/>
          </w:tcPr>
          <w:p>
            <w:pPr>
              <w:jc w:val="left"/>
              <w:spacing w:before="0" w:after="0"/>
            </w:pPr>
            <w:r>
              <w:rPr>
                <w:rFonts w:ascii="Arial" w:hAnsi="Arial"/>
                <w:b w:val="0"/>
                <w:i w:val="0"/>
                <w:color w:val="1F2937"/>
                <w:sz w:val="18"/>
              </w:rPr>
              <w:t>$14.5B market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Very 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Very 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Very 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080" w:type="dxa"/>
          </w:tcPr>
          <w:p>
            <w:pPr>
              <w:jc w:val="left"/>
              <w:spacing w:before="0" w:after="0"/>
            </w:pPr>
            <w:r>
              <w:rPr>
                <w:rFonts w:ascii="Arial" w:hAnsi="Arial"/>
                <w:b w:val="0"/>
                <w:i w:val="0"/>
                <w:color w:val="1F2937"/>
                <w:sz w:val="18"/>
              </w:rPr>
              <w:t>Competitive</w:t>
            </w:r>
          </w:p>
        </w:tc>
      </w:tr>
      <w:tr>
        <w:tc>
          <w:tcPr>
            <w:shd w:val="clear" w:color="auto" w:fill="D97706"/>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80" w:type="dxa"/>
          </w:tcPr>
          <w:p>
            <w:pPr>
              <w:jc w:val="left"/>
              <w:spacing w:before="0" w:after="0"/>
            </w:pPr>
            <w:r>
              <w:rPr>
                <w:rFonts w:ascii="Arial" w:hAnsi="Arial"/>
                <w:b/>
                <w:i w:val="0"/>
                <w:color w:val="FFFFFF"/>
                <w:sz w:val="18"/>
              </w:rPr>
              <w:t>04</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500" w:type="dxa"/>
          </w:tcPr>
          <w:p>
            <w:pPr>
              <w:jc w:val="left"/>
              <w:spacing w:before="0" w:after="0"/>
            </w:pPr>
            <w:r>
              <w:rPr>
                <w:rFonts w:ascii="Arial" w:hAnsi="Arial"/>
                <w:b/>
                <w:i w:val="0"/>
                <w:color w:val="1F2937"/>
                <w:sz w:val="18"/>
              </w:rPr>
              <w:t>Identity Security (ISPM)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440" w:type="dxa"/>
          </w:tcPr>
          <w:p>
            <w:pPr>
              <w:jc w:val="left"/>
              <w:spacing w:before="0" w:after="0"/>
            </w:pPr>
            <w:r>
              <w:rPr>
                <w:rFonts w:ascii="Arial" w:hAnsi="Arial"/>
                <w:b w:val="0"/>
                <w:i w:val="0"/>
                <w:color w:val="1F2937"/>
                <w:sz w:val="18"/>
              </w:rPr>
              <w:t>$16.7B → $83.6B</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Medium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Medium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Very High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Medium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080" w:type="dxa"/>
          </w:tcPr>
          <w:p>
            <w:pPr>
              <w:jc w:val="left"/>
              <w:spacing w:before="0" w:after="0"/>
            </w:pPr>
            <w:r>
              <w:rPr>
                <w:rFonts w:ascii="Arial" w:hAnsi="Arial"/>
                <w:b w:val="0"/>
                <w:i w:val="0"/>
                <w:color w:val="1F2937"/>
                <w:sz w:val="18"/>
              </w:rPr>
              <w:t>Dominated</w:t>
            </w:r>
          </w:p>
        </w:tc>
      </w:tr>
      <w:tr>
        <w:tc>
          <w:tcPr>
            <w:shd w:val="clear" w:color="auto" w:fill="9F1239"/>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480" w:type="dxa"/>
          </w:tcPr>
          <w:p>
            <w:pPr>
              <w:jc w:val="left"/>
              <w:spacing w:before="0" w:after="0"/>
            </w:pPr>
            <w:r>
              <w:rPr>
                <w:rFonts w:ascii="Arial" w:hAnsi="Arial"/>
                <w:b/>
                <w:i w:val="0"/>
                <w:color w:val="FFFFFF"/>
                <w:sz w:val="18"/>
              </w:rPr>
              <w:t>05</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500" w:type="dxa"/>
          </w:tcPr>
          <w:p>
            <w:pPr>
              <w:jc w:val="left"/>
              <w:spacing w:before="0" w:after="0"/>
            </w:pPr>
            <w:r>
              <w:rPr>
                <w:rFonts w:ascii="Arial" w:hAnsi="Arial"/>
                <w:b/>
                <w:i w:val="0"/>
                <w:color w:val="1F2937"/>
                <w:sz w:val="18"/>
              </w:rPr>
              <w:t>IR Orchestration (SOAR)</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440" w:type="dxa"/>
          </w:tcPr>
          <w:p>
            <w:pPr>
              <w:jc w:val="left"/>
              <w:spacing w:before="0" w:after="0"/>
            </w:pPr>
            <w:r>
              <w:rPr>
                <w:rFonts w:ascii="Arial" w:hAnsi="Arial"/>
                <w:b w:val="0"/>
                <w:i w:val="0"/>
                <w:color w:val="1F2937"/>
                <w:sz w:val="18"/>
              </w:rPr>
              <w:t>$2.3B market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Medium</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Very 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Very 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840" w:type="dxa"/>
          </w:tcPr>
          <w:p>
            <w:pPr>
              <w:jc w:val="left"/>
              <w:spacing w:before="0" w:after="0"/>
            </w:pPr>
            <w:r>
              <w:rPr>
                <w:rFonts w:ascii="Arial" w:hAnsi="Arial"/>
                <w:b w:val="0"/>
                <w:i w:val="0"/>
                <w:color w:val="1F2937"/>
                <w:sz w:val="18"/>
              </w:rPr>
              <w:t>High</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080" w:type="dxa"/>
          </w:tcPr>
          <w:p>
            <w:pPr>
              <w:jc w:val="left"/>
              <w:spacing w:before="0" w:after="0"/>
            </w:pPr>
            <w:r>
              <w:rPr>
                <w:rFonts w:ascii="Arial" w:hAnsi="Arial"/>
                <w:b w:val="0"/>
                <w:i w:val="0"/>
                <w:color w:val="1F2937"/>
                <w:sz w:val="18"/>
              </w:rPr>
              <w:t>Niche</w:t>
            </w:r>
          </w:p>
        </w:tc>
      </w:tr>
    </w:tbl>
    <w:p>
      <w:pPr>
        <w:spacing w:before="0" w:after="200"/>
      </w:pPr>
    </w:p>
    <w:tbl>
      <w:tblPr>
        <w:tblLook w:firstColumn="1" w:firstRow="1" w:lastColumn="0" w:lastRow="0" w:noHBand="0" w:noVBand="1" w:val="04A0"/>
        <w:tblW w:w="9360" w:type="dxa"/>
      </w:tblPr>
      <w:tblGrid>
        <w:gridCol w:w="9360"/>
      </w:tblGrid>
      <w:tr>
        <w:tc>
          <w:tcPr>
            <w:shd w:val="clear" w:color="auto" w:fill="00876A"/>
            <w:tcBorders>
              <w:top w:val="single" w:sz="8" w:color="00876A"/>
              <w:left w:val="single" w:sz="8" w:color="00876A"/>
              <w:bottom w:val="single" w:sz="8" w:color="00876A"/>
              <w:right w:val="single" w:sz="8" w:color="00876A"/>
            </w:tcBorders>
            <w:tcMar>
              <w:top w:w="180" w:type="dxa"/>
              <w:bottom w:w="180" w:type="dxa"/>
              <w:left w:w="220" w:type="dxa"/>
              <w:right w:w="220" w:type="dxa"/>
            </w:tcMar>
            <w:tcW w:w="9360" w:type="dxa"/>
          </w:tcPr>
          <w:p>
            <w:pPr>
              <w:spacing w:before="0" w:after="60"/>
            </w:pPr>
            <w:r>
              <w:rPr>
                <w:rFonts w:ascii="Arial" w:hAnsi="Arial"/>
                <w:color w:val="FFFFFF"/>
                <w:sz w:val="19"/>
              </w:rPr>
              <w:t xml:space="preserve">Alternative 01: </w:t>
            </w:r>
            <w:r>
              <w:rPr>
                <w:rFonts w:ascii="Arial" w:hAnsi="Arial"/>
                <w:b/>
                <w:color w:val="FFFFFF"/>
                <w:sz w:val="28"/>
              </w:rPr>
              <w:t>Cyber Risk Quantification Platform</w:t>
            </w:r>
          </w:p>
          <w:p>
            <w:pPr>
              <w:spacing w:before="0" w:after="0"/>
            </w:pPr>
            <w:r>
              <w:rPr>
                <w:rFonts w:ascii="Arial" w:hAnsi="Arial"/>
                <w:i/>
                <w:color w:val="FFFFFF"/>
                <w:sz w:val="20"/>
              </w:rPr>
              <w:t>"Translate your security posture into board-level financial risk language"</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Market Size</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$4.84 billion (2025) → $9.66 billion (2031) at 12.25% CAGR</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Core Problem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Boards and insurers demand that cyber risk be expressed in financial terms (£/$ impact). Security teams speak in CVEs; executives speak in revenue at risk and insurance premiums.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SMB Fit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Medium — primarily a board/enterprise reporting layer; growing SMB adoption via SaaS delivery</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MSP Fit</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MSPs can offer as a value-add boardroom reporting service</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AI Opportunity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AI can auto-calculate financial impact ranges, run Monte Carlo simulations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Cross-Sell</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ASM posture score + compliance readiness → financial risk dollar value</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Key Competitors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Bitsight, SecurityScorecard, Safe Security (SAFE One), Axio, Prevalent</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Complements</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Strong — converts CyberMeters posture score to boardroom language (£ at risk). Excellent companion to Comply.</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Why Not Primary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Primarily an enterprise reporting layer, not a standalone SMB product. CyberMeters already has a posture score — this extends it rather than creating a distinct category. Better as a future Metric 3 module or Metric 1 upgrade.</w:t>
            </w:r>
          </w:p>
        </w:tc>
      </w:tr>
    </w:tbl>
    <w:p>
      <w:pPr>
        <w:spacing w:before="0" w:after="80"/>
      </w:pPr>
    </w:p>
    <w:p>
      <w:pPr>
        <w:spacing w:before="0" w:after="120"/>
      </w:pPr>
    </w:p>
    <w:tbl>
      <w:tblPr>
        <w:tblLook w:firstColumn="1" w:firstRow="1" w:lastColumn="0" w:lastRow="0" w:noHBand="0" w:noVBand="1" w:val="04A0"/>
        <w:tblW w:w="9360" w:type="dxa"/>
      </w:tblPr>
      <w:tblGrid>
        <w:gridCol w:w="9360"/>
      </w:tblGrid>
      <w:tr>
        <w:tc>
          <w:tcPr>
            <w:shd w:val="clear" w:color="auto" w:fill="1D4ED8"/>
            <w:tcBorders>
              <w:top w:val="single" w:sz="8" w:color="1D4ED8"/>
              <w:left w:val="single" w:sz="8" w:color="1D4ED8"/>
              <w:bottom w:val="single" w:sz="8" w:color="1D4ED8"/>
              <w:right w:val="single" w:sz="8" w:color="1D4ED8"/>
            </w:tcBorders>
            <w:tcMar>
              <w:top w:w="180" w:type="dxa"/>
              <w:bottom w:w="180" w:type="dxa"/>
              <w:left w:w="220" w:type="dxa"/>
              <w:right w:w="220" w:type="dxa"/>
            </w:tcMar>
            <w:tcW w:w="9360" w:type="dxa"/>
          </w:tcPr>
          <w:p>
            <w:pPr>
              <w:spacing w:before="0" w:after="60"/>
            </w:pPr>
            <w:r>
              <w:rPr>
                <w:rFonts w:ascii="Arial" w:hAnsi="Arial"/>
                <w:color w:val="FFFFFF"/>
                <w:sz w:val="19"/>
              </w:rPr>
              <w:t xml:space="preserve">Alternative 02: </w:t>
            </w:r>
            <w:r>
              <w:rPr>
                <w:rFonts w:ascii="Arial" w:hAnsi="Arial"/>
                <w:b/>
                <w:color w:val="FFFFFF"/>
                <w:sz w:val="28"/>
              </w:rPr>
              <w:t>Dark Web &amp; Digital Risk Intelligence</w:t>
            </w:r>
          </w:p>
          <w:p>
            <w:pPr>
              <w:spacing w:before="0" w:after="0"/>
            </w:pPr>
            <w:r>
              <w:rPr>
                <w:rFonts w:ascii="Arial" w:hAnsi="Arial"/>
                <w:i/>
                <w:color w:val="FFFFFF"/>
                <w:sz w:val="20"/>
              </w:rPr>
              <w:t>"Monitor what attackers know about your organisation that you don't"</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Market Size</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$1.5 billion dark web monitoring (2025) → $4.2 billion (2034) at 15.2% CAGR</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Core Problem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Leaked credentials, stolen session tokens, ransomware group reconnaissance, and stolen IP appear on dark web forums and Telegram channels before organisations know they've been compromised.</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SMB Fit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credential monitoring is relevant for any size organisation; SaaS delivery is affordable</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MSP Fit</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Very High — MSPs can monitor dark web for all clients and alert proactively; high perceived value</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AI Opportunity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AI can cluster leaked data, identify high-risk credential sets, predict breach likelihood</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Cross-Sell</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natural extension of ASM (Metric 1): "We found your domain exposed; here is what attackers already have"</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Key Competitors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Recorded Future, Flashpoint, ZeroFox, SpyCloud, DarkOwl, Cybersixgill, Flare</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Complements</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ASM identifies the external attack surface; Dark Web Intel identifies what attackers are already exploiting. Natural "before breach" + "after breach" pairing.</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Why Not Primary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Smaller addressable market at the SMB level. Overlaps conceptually with brand monitoring already in Metric 1. Better positioned as a Metric 1 module upgrade — adding credential monitoring to the existing ASM subscription.</w:t>
            </w:r>
          </w:p>
        </w:tc>
      </w:tr>
    </w:tbl>
    <w:p>
      <w:pPr>
        <w:spacing w:before="0" w:after="80"/>
      </w:pPr>
    </w:p>
    <w:p>
      <w:pPr>
        <w:spacing w:before="0" w:after="120"/>
      </w:pPr>
    </w:p>
    <w:tbl>
      <w:tblPr>
        <w:tblLook w:firstColumn="1" w:firstRow="1" w:lastColumn="0" w:lastRow="0" w:noHBand="0" w:noVBand="1" w:val="04A0"/>
        <w:tblW w:w="9360" w:type="dxa"/>
      </w:tblPr>
      <w:tblGrid>
        <w:gridCol w:w="9360"/>
      </w:tblGrid>
      <w:tr>
        <w:tc>
          <w:tcPr>
            <w:shd w:val="clear" w:color="auto" w:fill="7C3AED"/>
            <w:tcBorders>
              <w:top w:val="single" w:sz="8" w:color="7C3AED"/>
              <w:left w:val="single" w:sz="8" w:color="7C3AED"/>
              <w:bottom w:val="single" w:sz="8" w:color="7C3AED"/>
              <w:right w:val="single" w:sz="8" w:color="7C3AED"/>
            </w:tcBorders>
            <w:tcMar>
              <w:top w:w="180" w:type="dxa"/>
              <w:bottom w:w="180" w:type="dxa"/>
              <w:left w:w="220" w:type="dxa"/>
              <w:right w:w="220" w:type="dxa"/>
            </w:tcMar>
            <w:tcW w:w="9360" w:type="dxa"/>
          </w:tcPr>
          <w:p>
            <w:pPr>
              <w:spacing w:before="0" w:after="60"/>
            </w:pPr>
            <w:r>
              <w:rPr>
                <w:rFonts w:ascii="Arial" w:hAnsi="Arial"/>
                <w:color w:val="FFFFFF"/>
                <w:sz w:val="19"/>
              </w:rPr>
              <w:t xml:space="preserve">Alternative 03: </w:t>
            </w:r>
            <w:r>
              <w:rPr>
                <w:rFonts w:ascii="Arial" w:hAnsi="Arial"/>
                <w:b/>
                <w:color w:val="FFFFFF"/>
                <w:sz w:val="28"/>
              </w:rPr>
              <w:t>Vulnerability Management &amp; Remediation Orchestration</w:t>
            </w:r>
          </w:p>
          <w:p>
            <w:pPr>
              <w:spacing w:before="0" w:after="0"/>
            </w:pPr>
            <w:r>
              <w:rPr>
                <w:rFonts w:ascii="Arial" w:hAnsi="Arial"/>
                <w:i/>
                <w:color w:val="FFFFFF"/>
                <w:sz w:val="20"/>
              </w:rPr>
              <w:t>"Close the gap between finding vulnerabilities and fixing them"</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Market Size</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$14.5 billion security &amp; vulnerability management market; Tenable $725M ARR; Qualys $500M+ ARR</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Core Problem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Organisations identify vulnerabilities through scanning but lack automated workflows to prioritise, assign, track, and verify remediation. Mean time to remediate critical vulns averages 60+ days.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SMB Fit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SMBs need simple prioritised to-do lists for security fixes, not complex enterprise vuln platforms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MSP Fit</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Very High — MSPs managing remediation SLAs for clients; strong recurring revenue model</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AI Opportunity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Very High — AI can prioritise CVEs by real-world exploitability, auto-assign tickets, predict patch windows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Cross-Sell</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Very High — CyberMeters ASM already identifies misconfigurations; adding "fix it" workflow is a natural upsell</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Key Competitors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Tenable (acquired Vulcan Cyber $147M in 2025), Qualys TruRisk Eliminate, Rapid7, Wiz, Orca Security, Palo Alto Cortex</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Complements</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Converts ASM from "report findings" to "close findings". Very natural extension of Metric 1. Could be a Metric 1 premium tier rather than a separate product.</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Why Not Primary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Highly competitive market dominated by Tenable and Qualys with 10+ years head start. Tenable acquired Vulcan Cyber for $147M in 2025 to close exactly this gap. High development cost; difficult differentiation; slow enterprise sales cycle.</w:t>
            </w:r>
          </w:p>
        </w:tc>
      </w:tr>
    </w:tbl>
    <w:p>
      <w:pPr>
        <w:spacing w:before="0" w:after="80"/>
      </w:pPr>
    </w:p>
    <w:p>
      <w:pPr>
        <w:spacing w:before="0" w:after="120"/>
      </w:pPr>
    </w:p>
    <w:tbl>
      <w:tblPr>
        <w:tblLook w:firstColumn="1" w:firstRow="1" w:lastColumn="0" w:lastRow="0" w:noHBand="0" w:noVBand="1" w:val="04A0"/>
        <w:tblW w:w="9360" w:type="dxa"/>
      </w:tblPr>
      <w:tblGrid>
        <w:gridCol w:w="9360"/>
      </w:tblGrid>
      <w:tr>
        <w:tc>
          <w:tcPr>
            <w:shd w:val="clear" w:color="auto" w:fill="D97706"/>
            <w:tcBorders>
              <w:top w:val="single" w:sz="8" w:color="D97706"/>
              <w:left w:val="single" w:sz="8" w:color="D97706"/>
              <w:bottom w:val="single" w:sz="8" w:color="D97706"/>
              <w:right w:val="single" w:sz="8" w:color="D97706"/>
            </w:tcBorders>
            <w:tcMar>
              <w:top w:w="180" w:type="dxa"/>
              <w:bottom w:w="180" w:type="dxa"/>
              <w:left w:w="220" w:type="dxa"/>
              <w:right w:w="220" w:type="dxa"/>
            </w:tcMar>
            <w:tcW w:w="9360" w:type="dxa"/>
          </w:tcPr>
          <w:p>
            <w:pPr>
              <w:spacing w:before="0" w:after="60"/>
            </w:pPr>
            <w:r>
              <w:rPr>
                <w:rFonts w:ascii="Arial" w:hAnsi="Arial"/>
                <w:color w:val="FFFFFF"/>
                <w:sz w:val="19"/>
              </w:rPr>
              <w:t xml:space="preserve">Alternative 04: </w:t>
            </w:r>
            <w:r>
              <w:rPr>
                <w:rFonts w:ascii="Arial" w:hAnsi="Arial"/>
                <w:b/>
                <w:color w:val="FFFFFF"/>
                <w:sz w:val="28"/>
              </w:rPr>
              <w:t>Identity Security Posture Management (ISPM)</w:t>
            </w:r>
          </w:p>
          <w:p>
            <w:pPr>
              <w:spacing w:before="0" w:after="0"/>
            </w:pPr>
            <w:r>
              <w:rPr>
                <w:rFonts w:ascii="Arial" w:hAnsi="Arial"/>
                <w:i/>
                <w:color w:val="FFFFFF"/>
                <w:sz w:val="20"/>
              </w:rPr>
              <w:t>"Find and fix identity risks before attackers exploit them"</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Market Size</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$16.66 billion (2025) → $83.62 billion (2034) at 19.63% CAGR — fastest-growing category researched</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Core Problem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Over 80% of breaches involve compromised credentials or identity misconfigurations. Orphaned accounts, excessive permissions, MFA gaps, and shadow identity providers create a vast identity attack surface.</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SMB Fit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Medium — SMBs typically use Microsoft/Google for identity; limited budget for standalone ISPM</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MSP Fit</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Medium — requires deep directory access (Azure AD, Active Directory connectors) which adds complexity</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AI Opportunity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Very High — AI can detect anomalous permission patterns, auto-remediate orphaned accounts, predict identity risk</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Cross-Sell</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Medium — identity surface is a third dimension alongside technical (ASM) and human (HRM) attack surfaces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Key Competitors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Microsoft Entra / Defender for Identity, CrowdStrike Falcon Identity, Okta, Saviynt, SailPoint, Silverfort, Oort (acquired by Cisco)</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Complements</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Adds identity risk to complement technical surface (ASM) and human risk (HRM). Logically a "fourth dimension" of the platform.</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Why Not Primary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Dominated by Microsoft (Entra ID / Defender for Identity) which most SMBs already use as their identity provider. Extremely difficult to displace. Requires deep directory access which adds trust and compliance barriers. Market is large but enterprise-first.</w:t>
            </w:r>
          </w:p>
        </w:tc>
      </w:tr>
    </w:tbl>
    <w:p>
      <w:pPr>
        <w:spacing w:before="0" w:after="80"/>
      </w:pPr>
    </w:p>
    <w:p>
      <w:pPr>
        <w:spacing w:before="0" w:after="120"/>
      </w:pPr>
    </w:p>
    <w:tbl>
      <w:tblPr>
        <w:tblLook w:firstColumn="1" w:firstRow="1" w:lastColumn="0" w:lastRow="0" w:noHBand="0" w:noVBand="1" w:val="04A0"/>
        <w:tblW w:w="9360" w:type="dxa"/>
      </w:tblPr>
      <w:tblGrid>
        <w:gridCol w:w="9360"/>
      </w:tblGrid>
      <w:tr>
        <w:tc>
          <w:tcPr>
            <w:shd w:val="clear" w:color="auto" w:fill="9F1239"/>
            <w:tcBorders>
              <w:top w:val="single" w:sz="8" w:color="9F1239"/>
              <w:left w:val="single" w:sz="8" w:color="9F1239"/>
              <w:bottom w:val="single" w:sz="8" w:color="9F1239"/>
              <w:right w:val="single" w:sz="8" w:color="9F1239"/>
            </w:tcBorders>
            <w:tcMar>
              <w:top w:w="180" w:type="dxa"/>
              <w:bottom w:w="180" w:type="dxa"/>
              <w:left w:w="220" w:type="dxa"/>
              <w:right w:w="220" w:type="dxa"/>
            </w:tcMar>
            <w:tcW w:w="9360" w:type="dxa"/>
          </w:tcPr>
          <w:p>
            <w:pPr>
              <w:spacing w:before="0" w:after="60"/>
            </w:pPr>
            <w:r>
              <w:rPr>
                <w:rFonts w:ascii="Arial" w:hAnsi="Arial"/>
                <w:color w:val="FFFFFF"/>
                <w:sz w:val="19"/>
              </w:rPr>
              <w:t xml:space="preserve">Alternative 05: </w:t>
            </w:r>
            <w:r>
              <w:rPr>
                <w:rFonts w:ascii="Arial" w:hAnsi="Arial"/>
                <w:b/>
                <w:color w:val="FFFFFF"/>
                <w:sz w:val="28"/>
              </w:rPr>
              <w:t>Incident Response Orchestration (SOAR-Lite)</w:t>
            </w:r>
          </w:p>
          <w:p>
            <w:pPr>
              <w:spacing w:before="0" w:after="0"/>
            </w:pPr>
            <w:r>
              <w:rPr>
                <w:rFonts w:ascii="Arial" w:hAnsi="Arial"/>
                <w:i/>
                <w:color w:val="FFFFFF"/>
                <w:sz w:val="20"/>
              </w:rPr>
              <w:t>"Automate the first 60 minutes of a security incident"</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Market Size</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$2.3 billion SOAR market (2025) growing at 16.5% CAGR; strong MSP demand for affordable playbooks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Core Problem</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When a breach occurs, most SMBs have no documented response plan, no playbook, and no coordination tool. The average SMB spends 6+ hours in the dark before containment begins.</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SMB Fit</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Medium — without a dedicated security team, playbook orchestration has limited value today</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MSP Fit</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Very High — MSPs need scalable incident response across many clients; high recurring revenue potential</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AI Opportunity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Very High — AI can triage alerts, recommend containment actions, auto-generate incident reports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Cross-Sell</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High — ASM findings trigger incident response playbooks; Comply documents response for audit evidence</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Key Competitors</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Palo Alto XSOAR, Splunk SOAR, Tines, Torq, Swimlane, D3 Security, Intezer</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Complements</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ASM findings trigger playbooks. Phishing simulation failures trigger automated remediation. Comply documents incident response for audit evidence. Strong future platform fit.</w:t>
            </w:r>
          </w:p>
        </w:tc>
      </w:tr>
      <w:tr>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800" w:type="dxa"/>
          </w:tcPr>
          <w:p>
            <w:pPr>
              <w:jc w:val="left"/>
              <w:spacing w:before="0" w:after="0"/>
            </w:pPr>
            <w:r>
              <w:rPr>
                <w:rFonts w:ascii="Arial" w:hAnsi="Arial"/>
                <w:b/>
                <w:i w:val="0"/>
                <w:color w:val="1F2937"/>
                <w:sz w:val="19"/>
              </w:rPr>
              <w:t>Why Not Primary</w:t>
            </w:r>
          </w:p>
        </w:tc>
        <w:tc>
          <w:tcPr>
            <w:shd w:val="clear" w:color="auto" w:fill="F9FAFB"/>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6560" w:type="dxa"/>
          </w:tcPr>
          <w:p>
            <w:pPr>
              <w:jc w:val="left"/>
              <w:spacing w:before="0" w:after="0"/>
            </w:pPr>
            <w:r>
              <w:rPr>
                <w:rFonts w:ascii="Arial" w:hAnsi="Arial"/>
                <w:b w:val="0"/>
                <w:i w:val="0"/>
                <w:color w:val="1F2937"/>
                <w:sz w:val="19"/>
              </w:rPr>
              <w:t>SOAR adoption among SMBs remains low — complexity and integration burden without a SOC or security team. Better positioned as a future Metric 4 once the compliance layer establishes a formal incident response policy framework.</w:t>
            </w:r>
          </w:p>
        </w:tc>
      </w:tr>
    </w:tbl>
    <w:p>
      <w:pPr>
        <w:spacing w:before="0" w:after="80"/>
      </w:pPr>
    </w:p>
    <w:p>
      <w:pPr>
        <w:spacing w:before="0" w:after="120"/>
      </w:pPr>
    </w:p>
    <w:p>
      <w:r>
        <w:br w:type="page"/>
      </w:r>
    </w:p>
    <w:p>
      <w:pPr>
        <w:pStyle w:val="Heading1"/>
        <w:spacing w:before="320" w:after="160"/>
      </w:pPr>
      <w:r>
        <w:rPr>
          <w:rFonts w:ascii="Arial" w:hAnsi="Arial"/>
          <w:color w:val="1F2937"/>
          <w:sz w:val="36"/>
        </w:rPr>
        <w:t>Section 5: Final Recommendation</w:t>
      </w:r>
    </w:p>
    <w:p>
      <w:pPr>
        <w:pBdr>
          <w:bottom w:val="single" w:sz="12" w:color="00876A" w:space="1"/>
        </w:pBdr>
        <w:spacing w:before="0" w:after="160"/>
      </w:pPr>
    </w:p>
    <w:p>
      <w:pPr>
        <w:spacing w:before="0" w:after="140"/>
      </w:pPr>
      <w:r>
        <w:rPr>
          <w:rFonts w:ascii="Arial" w:hAnsi="Arial"/>
          <w:color w:val="1F2937"/>
          <w:sz w:val="22"/>
        </w:rPr>
        <w:t>After analysing the 2025–2026 cybersecurity market landscape, evaluating six primary candidate categories, and stress-testing each against CyberMeters' current platform, competitive position, and SMB/MSP go-to-market, the recommendation is clear:</w:t>
      </w:r>
    </w:p>
    <w:p>
      <w:pPr>
        <w:spacing w:before="0" w:after="80"/>
      </w:pPr>
    </w:p>
    <w:tbl>
      <w:tblPr>
        <w:tblLook w:firstColumn="1" w:firstRow="1" w:lastColumn="0" w:lastRow="0" w:noHBand="0" w:noVBand="1" w:val="04A0"/>
        <w:tblW w:w="9360" w:type="dxa"/>
      </w:tblPr>
      <w:tblGrid>
        <w:gridCol w:w="9360"/>
      </w:tblGrid>
      <w:tr>
        <w:tc>
          <w:tcPr>
            <w:shd w:val="clear" w:color="auto" w:fill="064E3B"/>
            <w:tcBorders>
              <w:top w:val="single" w:sz="16" w:color="00876A"/>
              <w:left w:val="single" w:sz="16" w:color="00876A"/>
              <w:bottom w:val="single" w:sz="16" w:color="00876A"/>
              <w:right w:val="single" w:sz="16" w:color="00876A"/>
            </w:tcBorders>
            <w:tcMar>
              <w:top w:w="300" w:type="dxa"/>
              <w:bottom w:w="300" w:type="dxa"/>
              <w:left w:w="340" w:type="dxa"/>
              <w:right w:w="340" w:type="dxa"/>
            </w:tcMar>
            <w:tcW w:w="9360" w:type="dxa"/>
          </w:tcPr>
          <w:p>
            <w:pPr>
              <w:spacing w:before="0" w:after="80"/>
            </w:pPr>
            <w:r>
              <w:rPr>
                <w:rFonts w:ascii="Arial" w:hAnsi="Arial"/>
                <w:b/>
                <w:caps/>
                <w:color w:val="A7F3D0"/>
                <w:sz w:val="18"/>
              </w:rPr>
              <w:t>METRIC 3: CYBERMETERS COMPLY</w:t>
            </w:r>
          </w:p>
          <w:p>
            <w:pPr>
              <w:spacing w:before="0" w:after="80"/>
            </w:pPr>
            <w:r>
              <w:rPr>
                <w:rFonts w:ascii="Arial" w:hAnsi="Arial"/>
                <w:b/>
                <w:color w:val="FFFFFF"/>
                <w:sz w:val="36"/>
              </w:rPr>
              <w:t>Continuous Compliance Automation Platform</w:t>
            </w:r>
          </w:p>
          <w:p>
            <w:pPr>
              <w:pBdr>
                <w:bottom w:val="single" w:sz="4" w:color="4ADE80" w:space="1"/>
              </w:pBdr>
              <w:spacing w:before="0" w:after="100"/>
            </w:pPr>
          </w:p>
          <w:p>
            <w:pPr>
              <w:spacing w:before="0" w:after="100"/>
            </w:pPr>
            <w:r>
              <w:rPr>
                <w:rFonts w:ascii="Arial" w:hAnsi="Arial"/>
                <w:color w:val="D1FAE5"/>
                <w:sz w:val="22"/>
              </w:rPr>
              <w:t>CyberMeters Comply turns live attack surface data into compliance evidence — automatically. No manual collection. No consultant required. Always audit-ready.</w:t>
            </w:r>
          </w:p>
          <w:p>
            <w:pPr>
              <w:spacing w:before="0" w:after="0"/>
            </w:pPr>
            <w:r>
              <w:rPr>
                <w:rFonts w:ascii="Arial" w:hAnsi="Arial"/>
                <w:b/>
                <w:color w:val="A7F3D0"/>
                <w:sz w:val="20"/>
              </w:rPr>
              <w:t>Launch target: Q3 2026  ·  MVP frameworks: Cyber Essentials + ISO 27001</w:t>
            </w:r>
          </w:p>
        </w:tc>
      </w:tr>
    </w:tbl>
    <w:p>
      <w:pPr>
        <w:spacing w:before="0" w:after="160"/>
      </w:pPr>
    </w:p>
    <w:p>
      <w:pPr>
        <w:pStyle w:val="Heading2"/>
        <w:spacing w:before="240" w:after="120"/>
      </w:pPr>
      <w:r>
        <w:rPr>
          <w:rFonts w:ascii="Arial" w:hAnsi="Arial"/>
          <w:color w:val="1F2937"/>
          <w:sz w:val="28"/>
        </w:rPr>
        <w:t>5.1  The Case in Six Points</w:t>
      </w:r>
    </w:p>
    <w:p>
      <w:pPr>
        <w:spacing w:before="0" w:after="60"/>
      </w:pPr>
    </w:p>
    <w:tbl>
      <w:tblPr>
        <w:tblLook w:firstColumn="1" w:firstRow="1" w:lastColumn="0" w:lastRow="0" w:noHBand="0" w:noVBand="1" w:val="04A0"/>
        <w:tblW w:w="9360" w:type="dxa"/>
      </w:tblPr>
      <w:tblGrid>
        <w:gridCol w:w="4680"/>
        <w:gridCol w:w="4680"/>
      </w:tblGrid>
      <w:tr>
        <w:tc>
          <w:tcPr>
            <w:shd w:val="clear" w:color="auto" w:fill="00876A"/>
            <w:tcBorders>
              <w:top w:val="single" w:sz="4" w:color="00876A"/>
              <w:left w:val="single" w:sz="4" w:color="00876A"/>
              <w:bottom w:val="single" w:sz="4" w:color="00876A"/>
              <w:right w:val="single" w:sz="4" w:color="00876A"/>
            </w:tcBorders>
            <w:tcMar>
              <w:top w:w="140" w:type="dxa"/>
              <w:bottom w:w="140" w:type="dxa"/>
              <w:left w:w="60" w:type="dxa"/>
              <w:right w:w="60" w:type="dxa"/>
            </w:tcMar>
            <w:tcW w:w="600" w:type="dxa"/>
            <w:vAlign w:val="center"/>
          </w:tcPr>
          <w:p>
            <w:pPr>
              <w:jc w:val="center"/>
              <w:spacing w:before="0" w:after="0"/>
            </w:pPr>
            <w:r>
              <w:rPr>
                <w:rFonts w:ascii="Arial" w:hAnsi="Arial"/>
                <w:b/>
                <w:color w:val="FFFFFF"/>
                <w:sz w:val="28"/>
              </w:rPr>
              <w:t>01</w:t>
            </w:r>
          </w:p>
        </w:tc>
        <w:tc>
          <w:tcPr>
            <w:shd w:val="clear" w:color="auto" w:fill="F9FAFB"/>
            <w:tcBorders>
              <w:top w:val="single" w:sz="4" w:color="E5E7EB"/>
              <w:left w:val="single" w:sz="4" w:color="E5E7EB"/>
              <w:bottom w:val="single" w:sz="4" w:color="E5E7EB"/>
              <w:right w:val="single" w:sz="4" w:color="E5E7EB"/>
            </w:tcBorders>
            <w:tcMar>
              <w:top w:w="140" w:type="dxa"/>
              <w:bottom w:w="140" w:type="dxa"/>
              <w:left w:w="180" w:type="dxa"/>
              <w:right w:w="180" w:type="dxa"/>
            </w:tcMar>
            <w:tcW w:w="8760" w:type="dxa"/>
          </w:tcPr>
          <w:p>
            <w:pPr>
              <w:spacing w:before="0" w:after="60"/>
            </w:pPr>
            <w:r>
              <w:rPr>
                <w:rFonts w:ascii="Arial" w:hAnsi="Arial"/>
                <w:b/>
                <w:color w:val="064E3B"/>
                <w:sz w:val="22"/>
              </w:rPr>
              <w:t>Unique Data Advantage</w:t>
            </w:r>
          </w:p>
          <w:p>
            <w:pPr>
              <w:spacing w:before="0" w:after="0"/>
            </w:pPr>
            <w:r>
              <w:rPr>
                <w:rFonts w:ascii="Arial" w:hAnsi="Arial"/>
                <w:color w:val="1F2937"/>
                <w:sz w:val="20"/>
              </w:rPr>
              <w:t>CyberMeters is the only compliance platform that can auto-populate technical controls from live attack surface scans. This is a structural moat no competitor can replicate without owning the ASM layer. Drata, Vanta, and Sprinto all require manual evidence upload for the controls CyberMeters can auto-fill.</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00876A"/>
            <w:tcBorders>
              <w:top w:val="single" w:sz="4" w:color="00876A"/>
              <w:left w:val="single" w:sz="4" w:color="00876A"/>
              <w:bottom w:val="single" w:sz="4" w:color="00876A"/>
              <w:right w:val="single" w:sz="4" w:color="00876A"/>
            </w:tcBorders>
            <w:tcMar>
              <w:top w:w="140" w:type="dxa"/>
              <w:bottom w:w="140" w:type="dxa"/>
              <w:left w:w="60" w:type="dxa"/>
              <w:right w:w="60" w:type="dxa"/>
            </w:tcMar>
            <w:tcW w:w="600" w:type="dxa"/>
            <w:vAlign w:val="center"/>
          </w:tcPr>
          <w:p>
            <w:pPr>
              <w:jc w:val="center"/>
              <w:spacing w:before="0" w:after="0"/>
            </w:pPr>
            <w:r>
              <w:rPr>
                <w:rFonts w:ascii="Arial" w:hAnsi="Arial"/>
                <w:b/>
                <w:color w:val="FFFFFF"/>
                <w:sz w:val="28"/>
              </w:rPr>
              <w:t>02</w:t>
            </w:r>
          </w:p>
        </w:tc>
        <w:tc>
          <w:tcPr>
            <w:shd w:val="clear" w:color="auto" w:fill="F9FAFB"/>
            <w:tcBorders>
              <w:top w:val="single" w:sz="4" w:color="E5E7EB"/>
              <w:left w:val="single" w:sz="4" w:color="E5E7EB"/>
              <w:bottom w:val="single" w:sz="4" w:color="E5E7EB"/>
              <w:right w:val="single" w:sz="4" w:color="E5E7EB"/>
            </w:tcBorders>
            <w:tcMar>
              <w:top w:w="140" w:type="dxa"/>
              <w:bottom w:w="140" w:type="dxa"/>
              <w:left w:w="180" w:type="dxa"/>
              <w:right w:w="180" w:type="dxa"/>
            </w:tcMar>
            <w:tcW w:w="8760" w:type="dxa"/>
          </w:tcPr>
          <w:p>
            <w:pPr>
              <w:spacing w:before="0" w:after="60"/>
            </w:pPr>
            <w:r>
              <w:rPr>
                <w:rFonts w:ascii="Arial" w:hAnsi="Arial"/>
                <w:b/>
                <w:color w:val="064E3B"/>
                <w:sz w:val="22"/>
              </w:rPr>
              <w:t>Perfect Market Timing</w:t>
            </w:r>
          </w:p>
          <w:p>
            <w:pPr>
              <w:spacing w:before="0" w:after="0"/>
            </w:pPr>
            <w:r>
              <w:rPr>
                <w:rFonts w:ascii="Arial" w:hAnsi="Arial"/>
                <w:color w:val="1F2937"/>
                <w:sz w:val="20"/>
              </w:rPr>
              <w:t>NIS2 (October 2024), DORA (January 2025), and upcoming Cyber Essentials mandates for UK government suppliers have created acute compliance urgency across the SMB market in 2026. Insurers are raising premiums and requiring proof of controls. Customers need a solution now — not in two years.</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00876A"/>
            <w:tcBorders>
              <w:top w:val="single" w:sz="4" w:color="00876A"/>
              <w:left w:val="single" w:sz="4" w:color="00876A"/>
              <w:bottom w:val="single" w:sz="4" w:color="00876A"/>
              <w:right w:val="single" w:sz="4" w:color="00876A"/>
            </w:tcBorders>
            <w:tcMar>
              <w:top w:w="140" w:type="dxa"/>
              <w:bottom w:w="140" w:type="dxa"/>
              <w:left w:w="60" w:type="dxa"/>
              <w:right w:w="60" w:type="dxa"/>
            </w:tcMar>
            <w:tcW w:w="600" w:type="dxa"/>
            <w:vAlign w:val="center"/>
          </w:tcPr>
          <w:p>
            <w:pPr>
              <w:jc w:val="center"/>
              <w:spacing w:before="0" w:after="0"/>
            </w:pPr>
            <w:r>
              <w:rPr>
                <w:rFonts w:ascii="Arial" w:hAnsi="Arial"/>
                <w:b/>
                <w:color w:val="FFFFFF"/>
                <w:sz w:val="28"/>
              </w:rPr>
              <w:t>03</w:t>
            </w:r>
          </w:p>
        </w:tc>
        <w:tc>
          <w:tcPr>
            <w:shd w:val="clear" w:color="auto" w:fill="F9FAFB"/>
            <w:tcBorders>
              <w:top w:val="single" w:sz="4" w:color="E5E7EB"/>
              <w:left w:val="single" w:sz="4" w:color="E5E7EB"/>
              <w:bottom w:val="single" w:sz="4" w:color="E5E7EB"/>
              <w:right w:val="single" w:sz="4" w:color="E5E7EB"/>
            </w:tcBorders>
            <w:tcMar>
              <w:top w:w="140" w:type="dxa"/>
              <w:bottom w:w="140" w:type="dxa"/>
              <w:left w:w="180" w:type="dxa"/>
              <w:right w:w="180" w:type="dxa"/>
            </w:tcMar>
            <w:tcW w:w="8760" w:type="dxa"/>
          </w:tcPr>
          <w:p>
            <w:pPr>
              <w:spacing w:before="0" w:after="60"/>
            </w:pPr>
            <w:r>
              <w:rPr>
                <w:rFonts w:ascii="Arial" w:hAnsi="Arial"/>
                <w:b/>
                <w:color w:val="064E3B"/>
                <w:sz w:val="22"/>
              </w:rPr>
              <w:t>Massive &amp; Underserved Market</w:t>
            </w:r>
          </w:p>
          <w:p>
            <w:pPr>
              <w:spacing w:before="0" w:after="0"/>
            </w:pPr>
            <w:r>
              <w:rPr>
                <w:rFonts w:ascii="Arial" w:hAnsi="Arial"/>
                <w:color w:val="1F2937"/>
                <w:sz w:val="20"/>
              </w:rPr>
              <w:t>The compliance automation market is growing at 19.7% CAGR and the $2.5B automation sub-market is dominated by enterprise-first vendors. SMBs below 500 employees are chronically underserved. CyberMeters can own this segment with affordable, automated, MSP-friendly pricing.</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00876A"/>
            <w:tcBorders>
              <w:top w:val="single" w:sz="4" w:color="00876A"/>
              <w:left w:val="single" w:sz="4" w:color="00876A"/>
              <w:bottom w:val="single" w:sz="4" w:color="00876A"/>
              <w:right w:val="single" w:sz="4" w:color="00876A"/>
            </w:tcBorders>
            <w:tcMar>
              <w:top w:w="140" w:type="dxa"/>
              <w:bottom w:w="140" w:type="dxa"/>
              <w:left w:w="60" w:type="dxa"/>
              <w:right w:w="60" w:type="dxa"/>
            </w:tcMar>
            <w:tcW w:w="600" w:type="dxa"/>
            <w:vAlign w:val="center"/>
          </w:tcPr>
          <w:p>
            <w:pPr>
              <w:jc w:val="center"/>
              <w:spacing w:before="0" w:after="0"/>
            </w:pPr>
            <w:r>
              <w:rPr>
                <w:rFonts w:ascii="Arial" w:hAnsi="Arial"/>
                <w:b/>
                <w:color w:val="FFFFFF"/>
                <w:sz w:val="28"/>
              </w:rPr>
              <w:t>04</w:t>
            </w:r>
          </w:p>
        </w:tc>
        <w:tc>
          <w:tcPr>
            <w:shd w:val="clear" w:color="auto" w:fill="F9FAFB"/>
            <w:tcBorders>
              <w:top w:val="single" w:sz="4" w:color="E5E7EB"/>
              <w:left w:val="single" w:sz="4" w:color="E5E7EB"/>
              <w:bottom w:val="single" w:sz="4" w:color="E5E7EB"/>
              <w:right w:val="single" w:sz="4" w:color="E5E7EB"/>
            </w:tcBorders>
            <w:tcMar>
              <w:top w:w="140" w:type="dxa"/>
              <w:bottom w:w="140" w:type="dxa"/>
              <w:left w:w="180" w:type="dxa"/>
              <w:right w:w="180" w:type="dxa"/>
            </w:tcMar>
            <w:tcW w:w="8760" w:type="dxa"/>
          </w:tcPr>
          <w:p>
            <w:pPr>
              <w:spacing w:before="0" w:after="60"/>
            </w:pPr>
            <w:r>
              <w:rPr>
                <w:rFonts w:ascii="Arial" w:hAnsi="Arial"/>
                <w:b/>
                <w:color w:val="064E3B"/>
                <w:sz w:val="22"/>
              </w:rPr>
              <w:t>Exceptional Cross-Sell Economics</w:t>
            </w:r>
          </w:p>
          <w:p>
            <w:pPr>
              <w:spacing w:before="0" w:after="0"/>
            </w:pPr>
            <w:r>
              <w:rPr>
                <w:rFonts w:ascii="Arial" w:hAnsi="Arial"/>
                <w:color w:val="1F2937"/>
                <w:sz w:val="20"/>
              </w:rPr>
              <w:t>ASM customers are already generating the evidence Comply needs. A single upsell conversation can add £99–249/month per workspace. MSPs managing 50 clients become £25k–£30k/year accounts. Every new Comply customer is also the easiest ASM and HRM prospect.</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00876A"/>
            <w:tcBorders>
              <w:top w:val="single" w:sz="4" w:color="00876A"/>
              <w:left w:val="single" w:sz="4" w:color="00876A"/>
              <w:bottom w:val="single" w:sz="4" w:color="00876A"/>
              <w:right w:val="single" w:sz="4" w:color="00876A"/>
            </w:tcBorders>
            <w:tcMar>
              <w:top w:w="140" w:type="dxa"/>
              <w:bottom w:w="140" w:type="dxa"/>
              <w:left w:w="60" w:type="dxa"/>
              <w:right w:w="60" w:type="dxa"/>
            </w:tcMar>
            <w:tcW w:w="600" w:type="dxa"/>
            <w:vAlign w:val="center"/>
          </w:tcPr>
          <w:p>
            <w:pPr>
              <w:jc w:val="center"/>
              <w:spacing w:before="0" w:after="0"/>
            </w:pPr>
            <w:r>
              <w:rPr>
                <w:rFonts w:ascii="Arial" w:hAnsi="Arial"/>
                <w:b/>
                <w:color w:val="FFFFFF"/>
                <w:sz w:val="28"/>
              </w:rPr>
              <w:t>05</w:t>
            </w:r>
          </w:p>
        </w:tc>
        <w:tc>
          <w:tcPr>
            <w:shd w:val="clear" w:color="auto" w:fill="F9FAFB"/>
            <w:tcBorders>
              <w:top w:val="single" w:sz="4" w:color="E5E7EB"/>
              <w:left w:val="single" w:sz="4" w:color="E5E7EB"/>
              <w:bottom w:val="single" w:sz="4" w:color="E5E7EB"/>
              <w:right w:val="single" w:sz="4" w:color="E5E7EB"/>
            </w:tcBorders>
            <w:tcMar>
              <w:top w:w="140" w:type="dxa"/>
              <w:bottom w:w="140" w:type="dxa"/>
              <w:left w:w="180" w:type="dxa"/>
              <w:right w:w="180" w:type="dxa"/>
            </w:tcMar>
            <w:tcW w:w="8760" w:type="dxa"/>
          </w:tcPr>
          <w:p>
            <w:pPr>
              <w:spacing w:before="0" w:after="60"/>
            </w:pPr>
            <w:r>
              <w:rPr>
                <w:rFonts w:ascii="Arial" w:hAnsi="Arial"/>
                <w:b/>
                <w:color w:val="064E3B"/>
                <w:sz w:val="22"/>
              </w:rPr>
              <w:t>Sticky, High-Retention Revenue</w:t>
            </w:r>
          </w:p>
          <w:p>
            <w:pPr>
              <w:spacing w:before="0" w:after="0"/>
            </w:pPr>
            <w:r>
              <w:rPr>
                <w:rFonts w:ascii="Arial" w:hAnsi="Arial"/>
                <w:color w:val="1F2937"/>
                <w:sz w:val="20"/>
              </w:rPr>
              <w:t>Compliance platforms have the highest customer retention in SaaS. Once a customer's audit history, evidence, and policies are in the platform, switching cost is prohibitive. Net revenue retention of 90%+ is standard. The compliance renewal is also the security renewal.</w:t>
            </w:r>
          </w:p>
        </w:tc>
      </w:tr>
    </w:tbl>
    <w:p>
      <w:pPr>
        <w:spacing w:before="0" w:after="80"/>
      </w:pPr>
    </w:p>
    <w:tbl>
      <w:tblPr>
        <w:tblLook w:firstColumn="1" w:firstRow="1" w:lastColumn="0" w:lastRow="0" w:noHBand="0" w:noVBand="1" w:val="04A0"/>
        <w:tblW w:w="9360" w:type="dxa"/>
      </w:tblPr>
      <w:tblGrid>
        <w:gridCol w:w="4680"/>
        <w:gridCol w:w="4680"/>
      </w:tblGrid>
      <w:tr>
        <w:tc>
          <w:tcPr>
            <w:shd w:val="clear" w:color="auto" w:fill="00876A"/>
            <w:tcBorders>
              <w:top w:val="single" w:sz="4" w:color="00876A"/>
              <w:left w:val="single" w:sz="4" w:color="00876A"/>
              <w:bottom w:val="single" w:sz="4" w:color="00876A"/>
              <w:right w:val="single" w:sz="4" w:color="00876A"/>
            </w:tcBorders>
            <w:tcMar>
              <w:top w:w="140" w:type="dxa"/>
              <w:bottom w:w="140" w:type="dxa"/>
              <w:left w:w="60" w:type="dxa"/>
              <w:right w:w="60" w:type="dxa"/>
            </w:tcMar>
            <w:tcW w:w="600" w:type="dxa"/>
            <w:vAlign w:val="center"/>
          </w:tcPr>
          <w:p>
            <w:pPr>
              <w:jc w:val="center"/>
              <w:spacing w:before="0" w:after="0"/>
            </w:pPr>
            <w:r>
              <w:rPr>
                <w:rFonts w:ascii="Arial" w:hAnsi="Arial"/>
                <w:b/>
                <w:color w:val="FFFFFF"/>
                <w:sz w:val="28"/>
              </w:rPr>
              <w:t>06</w:t>
            </w:r>
          </w:p>
        </w:tc>
        <w:tc>
          <w:tcPr>
            <w:shd w:val="clear" w:color="auto" w:fill="F9FAFB"/>
            <w:tcBorders>
              <w:top w:val="single" w:sz="4" w:color="E5E7EB"/>
              <w:left w:val="single" w:sz="4" w:color="E5E7EB"/>
              <w:bottom w:val="single" w:sz="4" w:color="E5E7EB"/>
              <w:right w:val="single" w:sz="4" w:color="E5E7EB"/>
            </w:tcBorders>
            <w:tcMar>
              <w:top w:w="140" w:type="dxa"/>
              <w:bottom w:w="140" w:type="dxa"/>
              <w:left w:w="180" w:type="dxa"/>
              <w:right w:w="180" w:type="dxa"/>
            </w:tcMar>
            <w:tcW w:w="8760" w:type="dxa"/>
          </w:tcPr>
          <w:p>
            <w:pPr>
              <w:spacing w:before="0" w:after="60"/>
            </w:pPr>
            <w:r>
              <w:rPr>
                <w:rFonts w:ascii="Arial" w:hAnsi="Arial"/>
                <w:b/>
                <w:color w:val="064E3B"/>
                <w:sz w:val="22"/>
              </w:rPr>
              <w:t>Medium Development Complexity</w:t>
            </w:r>
          </w:p>
          <w:p>
            <w:pPr>
              <w:spacing w:before="0" w:after="0"/>
            </w:pPr>
            <w:r>
              <w:rPr>
                <w:rFonts w:ascii="Arial" w:hAnsi="Arial"/>
                <w:color w:val="1F2937"/>
                <w:sz w:val="20"/>
              </w:rPr>
              <w:t>Comply requires no new scan engines, no novel detection, and no machine learning models. The core value is data mapping and workflow — an area CyberMeters engineers already know well. An 8–12 week MVP is achievable with two backend engineers and one frontend engineer.</w:t>
            </w:r>
          </w:p>
        </w:tc>
      </w:tr>
    </w:tbl>
    <w:p>
      <w:pPr>
        <w:spacing w:before="0" w:after="80"/>
      </w:pPr>
    </w:p>
    <w:p>
      <w:pPr>
        <w:spacing w:before="0" w:after="120"/>
      </w:pPr>
    </w:p>
    <w:p>
      <w:pPr>
        <w:pStyle w:val="Heading2"/>
        <w:spacing w:before="240" w:after="120"/>
      </w:pPr>
      <w:r>
        <w:rPr>
          <w:rFonts w:ascii="Arial" w:hAnsi="Arial"/>
          <w:color w:val="1F2937"/>
          <w:sz w:val="28"/>
        </w:rPr>
        <w:t>5.2  Recommended Sequencing</w:t>
      </w:r>
    </w:p>
    <w:p>
      <w:pPr>
        <w:spacing w:before="0" w:after="140"/>
      </w:pPr>
      <w:r>
        <w:rPr>
          <w:rFonts w:ascii="Arial" w:hAnsi="Arial"/>
          <w:color w:val="1F2937"/>
          <w:sz w:val="22"/>
        </w:rPr>
        <w:t>The three Metrics should be developed in parallel where possible, with Comply designed to leverage the already-live ASM data pipeline from day one.</w:t>
      </w:r>
    </w:p>
    <w:p>
      <w:pPr>
        <w:spacing w:before="0" w:after="60"/>
      </w:pPr>
    </w:p>
    <w:tbl>
      <w:tblPr>
        <w:tblLook w:firstColumn="1" w:firstRow="1" w:lastColumn="0" w:lastRow="0" w:noHBand="0" w:noVBand="1" w:val="04A0"/>
        <w:tblW w:w="9360" w:type="dxa"/>
      </w:tblPr>
      <w:tblGrid>
        <w:gridCol w:w="3120"/>
        <w:gridCol w:w="3120"/>
        <w:gridCol w:w="3120"/>
      </w:tblGrid>
      <w:tr>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1200" w:type="dxa"/>
          </w:tcPr>
          <w:p>
            <w:pPr>
              <w:jc w:val="left"/>
              <w:spacing w:before="0" w:after="0"/>
            </w:pPr>
            <w:r>
              <w:rPr>
                <w:rFonts w:ascii="Arial" w:hAnsi="Arial"/>
                <w:b/>
                <w:i w:val="0"/>
                <w:color w:val="FFFFFF"/>
                <w:sz w:val="20"/>
              </w:rPr>
              <w:t>Timeline</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2400" w:type="dxa"/>
          </w:tcPr>
          <w:p>
            <w:pPr>
              <w:jc w:val="left"/>
              <w:spacing w:before="0" w:after="0"/>
            </w:pPr>
            <w:r>
              <w:rPr>
                <w:rFonts w:ascii="Arial" w:hAnsi="Arial"/>
                <w:b/>
                <w:i w:val="0"/>
                <w:color w:val="FFFFFF"/>
                <w:sz w:val="20"/>
              </w:rPr>
              <w:t>Action</w:t>
            </w:r>
          </w:p>
        </w:tc>
        <w:tc>
          <w:tcPr>
            <w:shd w:val="clear" w:color="auto" w:fill="00876A"/>
            <w:tcBorders>
              <w:top w:val="single" w:sz="6" w:color="00876A"/>
              <w:left w:val="single" w:sz="6" w:color="00876A"/>
              <w:bottom w:val="single" w:sz="6" w:color="00876A"/>
              <w:right w:val="single" w:sz="6" w:color="00876A"/>
            </w:tcBorders>
            <w:tcMar>
              <w:top w:w="100" w:type="dxa"/>
              <w:bottom w:w="100" w:type="dxa"/>
              <w:left w:w="140" w:type="dxa"/>
              <w:right w:w="140" w:type="dxa"/>
            </w:tcMar>
            <w:vAlign w:val="top"/>
            <w:tcW w:w="5760" w:type="dxa"/>
          </w:tcPr>
          <w:p>
            <w:pPr>
              <w:jc w:val="left"/>
              <w:spacing w:before="0" w:after="0"/>
            </w:pPr>
            <w:r>
              <w:rPr>
                <w:rFonts w:ascii="Arial" w:hAnsi="Arial"/>
                <w:b/>
                <w:i w:val="0"/>
                <w:color w:val="FFFFFF"/>
                <w:sz w:val="20"/>
              </w:rPr>
              <w:t>Expected Outcome</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200" w:type="dxa"/>
          </w:tcPr>
          <w:p>
            <w:pPr>
              <w:jc w:val="left"/>
              <w:spacing w:before="0" w:after="0"/>
            </w:pPr>
            <w:r>
              <w:rPr>
                <w:rFonts w:ascii="Arial" w:hAnsi="Arial"/>
                <w:b/>
                <w:i w:val="0"/>
                <w:color w:val="064E3B"/>
                <w:sz w:val="19"/>
              </w:rPr>
              <w:t>Q3 2026</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1F2937"/>
                <w:sz w:val="19"/>
              </w:rPr>
              <w:t>Metric 3 engineering kickoff</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760" w:type="dxa"/>
          </w:tcPr>
          <w:p>
            <w:pPr>
              <w:jc w:val="left"/>
              <w:spacing w:before="0" w:after="0"/>
            </w:pPr>
            <w:r>
              <w:rPr>
                <w:rFonts w:ascii="Arial" w:hAnsi="Arial"/>
                <w:b w:val="0"/>
                <w:i w:val="0"/>
                <w:color w:val="1F2937"/>
                <w:sz w:val="19"/>
              </w:rPr>
              <w:t>Framework data model, control library (Cyber Essentials + ISO 27001), evidence ingestion API from Metric 1</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200" w:type="dxa"/>
          </w:tcPr>
          <w:p>
            <w:pPr>
              <w:jc w:val="left"/>
              <w:spacing w:before="0" w:after="0"/>
            </w:pPr>
            <w:r>
              <w:rPr>
                <w:rFonts w:ascii="Arial" w:hAnsi="Arial"/>
                <w:b/>
                <w:i w:val="0"/>
                <w:color w:val="064E3B"/>
                <w:sz w:val="19"/>
              </w:rPr>
              <w:t>Q4 2026</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1F2937"/>
                <w:sz w:val="19"/>
              </w:rPr>
              <w:t>Closed beta launch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760" w:type="dxa"/>
          </w:tcPr>
          <w:p>
            <w:pPr>
              <w:jc w:val="left"/>
              <w:spacing w:before="0" w:after="0"/>
            </w:pPr>
            <w:r>
              <w:rPr>
                <w:rFonts w:ascii="Arial" w:hAnsi="Arial"/>
                <w:b w:val="0"/>
                <w:i w:val="0"/>
                <w:color w:val="1F2937"/>
                <w:sz w:val="19"/>
              </w:rPr>
              <w:t>10 design partner customers (mix of direct SMBs and 2–3 MSPs). Validate evidence auto-population quality and compliance posture scoring.</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200" w:type="dxa"/>
          </w:tcPr>
          <w:p>
            <w:pPr>
              <w:jc w:val="left"/>
              <w:spacing w:before="0" w:after="0"/>
            </w:pPr>
            <w:r>
              <w:rPr>
                <w:rFonts w:ascii="Arial" w:hAnsi="Arial"/>
                <w:b/>
                <w:i w:val="0"/>
                <w:color w:val="064E3B"/>
                <w:sz w:val="19"/>
              </w:rPr>
              <w:t>Q4 2026</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1F2937"/>
                <w:sz w:val="19"/>
              </w:rPr>
              <w:t>Paid launch: Comply Starter + Pro</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760" w:type="dxa"/>
          </w:tcPr>
          <w:p>
            <w:pPr>
              <w:jc w:val="left"/>
              <w:spacing w:before="0" w:after="0"/>
            </w:pPr>
            <w:r>
              <w:rPr>
                <w:rFonts w:ascii="Arial" w:hAnsi="Arial"/>
                <w:b w:val="0"/>
                <w:i w:val="0"/>
                <w:color w:val="1F2937"/>
                <w:sz w:val="19"/>
              </w:rPr>
              <w:t>Public pricing, self-serve onboarding. Target: 50 paying customers in first 90 days.</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200" w:type="dxa"/>
          </w:tcPr>
          <w:p>
            <w:pPr>
              <w:jc w:val="left"/>
              <w:spacing w:before="0" w:after="0"/>
            </w:pPr>
            <w:r>
              <w:rPr>
                <w:rFonts w:ascii="Arial" w:hAnsi="Arial"/>
                <w:b/>
                <w:i w:val="0"/>
                <w:color w:val="064E3B"/>
                <w:sz w:val="19"/>
              </w:rPr>
              <w:t>Q1 2027</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1F2937"/>
                <w:sz w:val="19"/>
              </w:rPr>
              <w:t>MSP channel launch</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760" w:type="dxa"/>
          </w:tcPr>
          <w:p>
            <w:pPr>
              <w:jc w:val="left"/>
              <w:spacing w:before="0" w:after="0"/>
            </w:pPr>
            <w:r>
              <w:rPr>
                <w:rFonts w:ascii="Arial" w:hAnsi="Arial"/>
                <w:b w:val="0"/>
                <w:i w:val="0"/>
                <w:color w:val="1F2937"/>
                <w:sz w:val="19"/>
              </w:rPr>
              <w:t>Comply MSP tier. Partner with 5 anchor MSPs offering Comply as white-label managed compliance service to their SMB books.</w:t>
            </w:r>
          </w:p>
        </w:tc>
      </w:tr>
      <w:tr>
        <w:tc>
          <w:tcPr>
            <w:shd w:val="clear" w:color="auto" w:fill="D1FAE5"/>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200" w:type="dxa"/>
          </w:tcPr>
          <w:p>
            <w:pPr>
              <w:jc w:val="left"/>
              <w:spacing w:before="0" w:after="0"/>
            </w:pPr>
            <w:r>
              <w:rPr>
                <w:rFonts w:ascii="Arial" w:hAnsi="Arial"/>
                <w:b/>
                <w:i w:val="0"/>
                <w:color w:val="064E3B"/>
                <w:sz w:val="19"/>
              </w:rPr>
              <w:t>H1 2027</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1F2937"/>
                <w:sz w:val="19"/>
              </w:rPr>
              <w:t>SOC 2 + NIS2 frameworks</w:t>
            </w:r>
          </w:p>
        </w:tc>
        <w:tc>
          <w:tcPr>
            <w:shd w:val="clear" w:color="auto" w:fill="F0FDF4"/>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760" w:type="dxa"/>
          </w:tcPr>
          <w:p>
            <w:pPr>
              <w:jc w:val="left"/>
              <w:spacing w:before="0" w:after="0"/>
            </w:pPr>
            <w:r>
              <w:rPr>
                <w:rFonts w:ascii="Arial" w:hAnsi="Arial"/>
                <w:b w:val="0"/>
                <w:i w:val="0"/>
                <w:color w:val="1F2937"/>
                <w:sz w:val="19"/>
              </w:rPr>
              <w:t>Expand to US market via SOC 2. EU market via NIS2 compliance. Metric 2 (HRM) evidence pipeline live.</w:t>
            </w:r>
          </w:p>
        </w:tc>
      </w:tr>
      <w:tr>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1200" w:type="dxa"/>
          </w:tcPr>
          <w:p>
            <w:pPr>
              <w:jc w:val="left"/>
              <w:spacing w:before="0" w:after="0"/>
            </w:pPr>
            <w:r>
              <w:rPr>
                <w:rFonts w:ascii="Arial" w:hAnsi="Arial"/>
                <w:b/>
                <w:i w:val="0"/>
                <w:color w:val="064E3B"/>
                <w:sz w:val="19"/>
              </w:rPr>
              <w:t>H2 2027</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2400" w:type="dxa"/>
          </w:tcPr>
          <w:p>
            <w:pPr>
              <w:jc w:val="left"/>
              <w:spacing w:before="0" w:after="0"/>
            </w:pPr>
            <w:r>
              <w:rPr>
                <w:rFonts w:ascii="Arial" w:hAnsi="Arial"/>
                <w:b/>
                <w:i w:val="0"/>
                <w:color w:val="1F2937"/>
                <w:sz w:val="19"/>
              </w:rPr>
              <w:t>Cross-sell automation</w:t>
            </w:r>
          </w:p>
        </w:tc>
        <w:tc>
          <w:tcPr>
            <w:shd w:val="clear" w:color="auto" w:fill="FFFFFF"/>
            <w:tcBorders>
              <w:top w:val="single" w:sz="4" w:color="E5E7EB"/>
              <w:left w:val="single" w:sz="4" w:color="E5E7EB"/>
              <w:bottom w:val="single" w:sz="4" w:color="E5E7EB"/>
              <w:right w:val="single" w:sz="4" w:color="E5E7EB"/>
            </w:tcBorders>
            <w:tcMar>
              <w:top w:w="100" w:type="dxa"/>
              <w:bottom w:w="100" w:type="dxa"/>
              <w:left w:w="140" w:type="dxa"/>
              <w:right w:w="140" w:type="dxa"/>
            </w:tcMar>
            <w:vAlign w:val="top"/>
            <w:tcW w:w="5760" w:type="dxa"/>
          </w:tcPr>
          <w:p>
            <w:pPr>
              <w:jc w:val="left"/>
              <w:spacing w:before="0" w:after="0"/>
            </w:pPr>
            <w:r>
              <w:rPr>
                <w:rFonts w:ascii="Arial" w:hAnsi="Arial"/>
                <w:b w:val="0"/>
                <w:i w:val="0"/>
                <w:color w:val="1F2937"/>
                <w:sz w:val="19"/>
              </w:rPr>
              <w:t>In-product triggers: ASM finding → "This would fail your ISO 27001 audit" → upsell to Comply. Comply gap → "Fix this with another ASM scan" → upsell to Metric 1.</w:t>
            </w:r>
          </w:p>
        </w:tc>
      </w:tr>
    </w:tbl>
    <w:p>
      <w:pPr>
        <w:spacing w:before="0" w:after="160"/>
      </w:pPr>
    </w:p>
    <w:p>
      <w:pPr>
        <w:pStyle w:val="Heading2"/>
        <w:spacing w:before="240" w:after="120"/>
      </w:pPr>
      <w:r>
        <w:rPr>
          <w:rFonts w:ascii="Arial" w:hAnsi="Arial"/>
          <w:color w:val="1F2937"/>
          <w:sz w:val="28"/>
        </w:rPr>
        <w:t>5.3  The CyberMeters Platform Vision (2026–2030)</w:t>
      </w:r>
    </w:p>
    <w:p>
      <w:pPr>
        <w:spacing w:before="0" w:after="80"/>
      </w:pPr>
    </w:p>
    <w:tbl>
      <w:tblPr>
        <w:tblLook w:firstColumn="1" w:firstRow="1" w:lastColumn="0" w:lastRow="0" w:noHBand="0" w:noVBand="1" w:val="04A0"/>
        <w:tblW w:w="9360" w:type="dxa"/>
      </w:tblPr>
      <w:tblGrid>
        <w:gridCol w:w="3120"/>
        <w:gridCol w:w="3120"/>
        <w:gridCol w:w="3120"/>
      </w:tblGrid>
      <w:tr>
        <w:tc>
          <w:tcPr>
            <w:shd w:val="clear" w:color="auto" w:fill="F0FDF4"/>
            <w:tcBorders>
              <w:top w:val="single" w:sz="4" w:color="E5E7EB"/>
              <w:left w:val="single" w:sz="4" w:color="E5E7EB"/>
              <w:bottom w:val="single" w:sz="4" w:color="E5E7EB"/>
              <w:right w:val="single" w:sz="4" w:color="E5E7EB"/>
            </w:tcBorders>
            <w:tcMar>
              <w:top w:w="160" w:type="dxa"/>
              <w:bottom w:w="160" w:type="dxa"/>
              <w:left w:w="180" w:type="dxa"/>
              <w:right w:w="180" w:type="dxa"/>
            </w:tcMar>
            <w:tcW w:w="3120" w:type="dxa"/>
          </w:tcPr>
          <w:p>
            <w:pPr>
              <w:spacing w:before="0" w:after="60"/>
            </w:pPr>
            <w:r>
              <w:rPr>
                <w:rFonts w:ascii="Arial" w:hAnsi="Arial"/>
                <w:b/>
                <w:caps/>
                <w:color w:val="00876A"/>
                <w:sz w:val="18"/>
              </w:rPr>
              <w:t>Metric 1</w:t>
            </w:r>
          </w:p>
          <w:p>
            <w:pPr>
              <w:spacing w:before="0" w:after="60"/>
            </w:pPr>
            <w:r>
              <w:rPr>
                <w:rFonts w:ascii="Arial" w:hAnsi="Arial"/>
                <w:b/>
                <w:color w:val="1F2937"/>
                <w:sz w:val="24"/>
              </w:rPr>
              <w:t>CyberMeters ASM</w:t>
            </w:r>
          </w:p>
          <w:p>
            <w:pPr>
              <w:spacing w:before="0" w:after="80"/>
            </w:pPr>
            <w:r>
              <w:rPr>
                <w:rFonts w:ascii="Arial" w:hAnsi="Arial"/>
                <w:i/>
                <w:color w:val="6B7280"/>
                <w:sz w:val="19"/>
              </w:rPr>
              <w:t>Attack Surface Management</w:t>
            </w:r>
          </w:p>
          <w:p>
            <w:pPr>
              <w:spacing w:before="0" w:after="0"/>
            </w:pPr>
            <w:r>
              <w:rPr>
                <w:rFonts w:ascii="Arial" w:hAnsi="Arial"/>
                <w:b/>
                <w:color w:val="00876A"/>
                <w:sz w:val="20"/>
              </w:rPr>
              <w:t>"What is exposed?"</w:t>
            </w:r>
          </w:p>
        </w:tc>
        <w:tc>
          <w:tcPr>
            <w:shd w:val="clear" w:color="auto" w:fill="EFF6FF"/>
            <w:tcBorders>
              <w:top w:val="single" w:sz="4" w:color="E5E7EB"/>
              <w:left w:val="single" w:sz="4" w:color="E5E7EB"/>
              <w:bottom w:val="single" w:sz="4" w:color="E5E7EB"/>
              <w:right w:val="single" w:sz="4" w:color="E5E7EB"/>
            </w:tcBorders>
            <w:tcMar>
              <w:top w:w="160" w:type="dxa"/>
              <w:bottom w:w="160" w:type="dxa"/>
              <w:left w:w="180" w:type="dxa"/>
              <w:right w:w="180" w:type="dxa"/>
            </w:tcMar>
            <w:tcW w:w="3120" w:type="dxa"/>
          </w:tcPr>
          <w:p>
            <w:pPr>
              <w:spacing w:before="0" w:after="60"/>
            </w:pPr>
            <w:r>
              <w:rPr>
                <w:rFonts w:ascii="Arial" w:hAnsi="Arial"/>
                <w:b/>
                <w:caps/>
                <w:color w:val="1D4ED8"/>
                <w:sz w:val="18"/>
              </w:rPr>
              <w:t>Metric 2</w:t>
            </w:r>
          </w:p>
          <w:p>
            <w:pPr>
              <w:spacing w:before="0" w:after="60"/>
            </w:pPr>
            <w:r>
              <w:rPr>
                <w:rFonts w:ascii="Arial" w:hAnsi="Arial"/>
                <w:b/>
                <w:color w:val="1F2937"/>
                <w:sz w:val="24"/>
              </w:rPr>
              <w:t>Human Risk Platform</w:t>
            </w:r>
          </w:p>
          <w:p>
            <w:pPr>
              <w:spacing w:before="0" w:after="80"/>
            </w:pPr>
            <w:r>
              <w:rPr>
                <w:rFonts w:ascii="Arial" w:hAnsi="Arial"/>
                <w:i/>
                <w:color w:val="6B7280"/>
                <w:sz w:val="19"/>
              </w:rPr>
              <w:t>Human Attack Surface</w:t>
            </w:r>
          </w:p>
          <w:p>
            <w:pPr>
              <w:spacing w:before="0" w:after="0"/>
            </w:pPr>
            <w:r>
              <w:rPr>
                <w:rFonts w:ascii="Arial" w:hAnsi="Arial"/>
                <w:b/>
                <w:color w:val="1D4ED8"/>
                <w:sz w:val="20"/>
              </w:rPr>
              <w:t>"Who is the weakest link?"</w:t>
            </w:r>
          </w:p>
        </w:tc>
        <w:tc>
          <w:tcPr>
            <w:shd w:val="clear" w:color="auto" w:fill="F5F3FF"/>
            <w:tcBorders>
              <w:top w:val="single" w:sz="4" w:color="E5E7EB"/>
              <w:left w:val="single" w:sz="4" w:color="E5E7EB"/>
              <w:bottom w:val="single" w:sz="4" w:color="E5E7EB"/>
              <w:right w:val="single" w:sz="4" w:color="E5E7EB"/>
            </w:tcBorders>
            <w:tcMar>
              <w:top w:w="160" w:type="dxa"/>
              <w:bottom w:w="160" w:type="dxa"/>
              <w:left w:w="180" w:type="dxa"/>
              <w:right w:w="180" w:type="dxa"/>
            </w:tcMar>
            <w:tcW w:w="3120" w:type="dxa"/>
          </w:tcPr>
          <w:p>
            <w:pPr>
              <w:spacing w:before="0" w:after="60"/>
            </w:pPr>
            <w:r>
              <w:rPr>
                <w:rFonts w:ascii="Arial" w:hAnsi="Arial"/>
                <w:b/>
                <w:caps/>
                <w:color w:val="7C3AED"/>
                <w:sz w:val="18"/>
              </w:rPr>
              <w:t>Metric 3</w:t>
            </w:r>
          </w:p>
          <w:p>
            <w:pPr>
              <w:spacing w:before="0" w:after="60"/>
            </w:pPr>
            <w:r>
              <w:rPr>
                <w:rFonts w:ascii="Arial" w:hAnsi="Arial"/>
                <w:b/>
                <w:color w:val="1F2937"/>
                <w:sz w:val="24"/>
              </w:rPr>
              <w:t>CyberMeters Comply</w:t>
            </w:r>
          </w:p>
          <w:p>
            <w:pPr>
              <w:spacing w:before="0" w:after="80"/>
            </w:pPr>
            <w:r>
              <w:rPr>
                <w:rFonts w:ascii="Arial" w:hAnsi="Arial"/>
                <w:i/>
                <w:color w:val="6B7280"/>
                <w:sz w:val="19"/>
              </w:rPr>
              <w:t>Compliance Automation</w:t>
            </w:r>
          </w:p>
          <w:p>
            <w:pPr>
              <w:spacing w:before="0" w:after="0"/>
            </w:pPr>
            <w:r>
              <w:rPr>
                <w:rFonts w:ascii="Arial" w:hAnsi="Arial"/>
                <w:b/>
                <w:color w:val="7C3AED"/>
                <w:sz w:val="20"/>
              </w:rPr>
              <w:t>"Are we compliant and can we prove it?"</w:t>
            </w:r>
          </w:p>
        </w:tc>
      </w:tr>
    </w:tbl>
    <w:p>
      <w:pPr>
        <w:spacing w:before="0" w:after="160"/>
      </w:pPr>
    </w:p>
    <w:tbl>
      <w:tblPr>
        <w:tblLook w:firstColumn="1" w:firstRow="1" w:lastColumn="0" w:lastRow="0" w:noHBand="0" w:noVBand="1" w:val="04A0"/>
        <w:tblW w:w="9360" w:type="dxa"/>
      </w:tblPr>
      <w:tblGrid>
        <w:gridCol w:w="9360"/>
      </w:tblGrid>
      <w:tr>
        <w:tc>
          <w:tcPr>
            <w:shd w:val="clear" w:color="auto" w:fill="F0FDF4"/>
            <w:tcBorders>
              <w:top w:val="single" w:sz="8" w:color="00876A"/>
              <w:left w:val="single" w:sz="8" w:color="00876A"/>
              <w:bottom w:val="single" w:sz="8" w:color="00876A"/>
              <w:right w:val="single" w:sz="8" w:color="00876A"/>
            </w:tcBorders>
            <w:tcMar>
              <w:top w:w="160" w:type="dxa"/>
              <w:bottom w:w="160" w:type="dxa"/>
              <w:left w:w="200" w:type="dxa"/>
              <w:right w:w="200" w:type="dxa"/>
            </w:tcMar>
            <w:tcW w:w="9360" w:type="dxa"/>
          </w:tcPr>
          <w:p>
            <w:pPr>
              <w:spacing w:before="0" w:after="80"/>
            </w:pPr>
            <w:r>
              <w:rPr>
                <w:rFonts w:ascii="Arial" w:hAnsi="Arial"/>
                <w:b/>
                <w:color w:val="064E3B"/>
                <w:sz w:val="22"/>
              </w:rPr>
              <w:t>The Platform Flywheel</w:t>
            </w:r>
          </w:p>
          <w:p>
            <w:pPr>
              <w:spacing w:before="0" w:after="80"/>
            </w:pPr>
            <w:r>
              <w:rPr>
                <w:rFonts w:ascii="Arial" w:hAnsi="Arial"/>
                <w:b w:val="0"/>
                <w:color w:val="1F2937"/>
                <w:sz w:val="20"/>
              </w:rPr>
              <w:t>Every new ASM customer is a Comply prospect. Every Comply customer needs ASM to auto-populate evidence. Every HRM customer generates training records that Comply turns into audit evidence. The three products create a closed loop: the more products a customer uses, the harder it is to leave, the more automated their security and compliance posture becomes, and the higher the LTV for CyberMeters.</w:t>
              <w:br/>
              <w:br/>
              <w:t>This is not three independent products — it is one integrated security intelligence platform with three complementary angles of attack: external surface, human surface, and regulatory surface. No competitor owns all three. CyberMeters should.</w:t>
            </w:r>
          </w:p>
        </w:tc>
      </w:tr>
    </w:tbl>
    <w:p>
      <w:pPr>
        <w:spacing w:before="0" w:after="80"/>
      </w:pPr>
    </w:p>
    <w:p>
      <w:pPr>
        <w:spacing w:before="0" w:after="160"/>
      </w:pPr>
    </w:p>
    <w:p>
      <w:pPr>
        <w:pBdr>
          <w:bottom w:val="single" w:sz="8" w:color="00876A" w:space="1"/>
        </w:pBdr>
        <w:spacing w:before="0" w:after="120"/>
      </w:pPr>
    </w:p>
    <w:p>
      <w:pPr>
        <w:jc w:val="center"/>
        <w:spacing w:before="0" w:after="0"/>
      </w:pPr>
      <w:r>
        <w:rPr>
          <w:rFonts w:ascii="Arial" w:hAnsi="Arial"/>
          <w:color w:val="6B7280"/>
          <w:sz w:val="17"/>
        </w:rPr>
        <w:t>Prepared by CyberMeters Strategic Intelligence  ·  June 2026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