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Descriptivo: Modelo Entidad-Relación (MER) - VE ABSOLUTA v2.0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Introducción y Contexto Arquitectónico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presente documento detalla el Modelo Entidad-Relación (MER) estructurado de </w:t>
      </w:r>
      <w:r w:rsidDel="00000000" w:rsidR="00000000" w:rsidRPr="00000000">
        <w:rPr>
          <w:b w:val="1"/>
          <w:bCs w:val="1"/>
          <w:rtl w:val="0"/>
        </w:rPr>
        <w:t xml:space="preserve">VE ABSOLUTA</w:t>
      </w:r>
      <w:r w:rsidDel="00000000" w:rsidR="00000000" w:rsidRPr="00000000">
        <w:rPr>
          <w:rtl w:val="0"/>
        </w:rPr>
        <w:t xml:space="preserve">. De acuerdo con las decisiones tácticas de ingeniería establecidas para asegurar la entrega del Examen Transversal, el diseño de persistencia se ha desacoplado de la gestión de usuarios para priorizar la integridad, eficiencia y trazabilidad del motor central de Inteligencia Artificial (Deepfake Detection).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base de datos relacional (PostgreSQL) actúa exclusivamente como un repositorio de metadatos analíticos y evidencias forenses, delegando el almacenamiento de objetos multimedia binarios a una infraestructura externa (CDN Cloudinary).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Diccionario de Datos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Entidad: analisis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la tabla única y principal en esta fase del proyecto, encargada de almacenar los registros de las auditorías periciales de imágenes ejecutadas por el sistema. Está diseñada para ser transaccional y garantizar consultas indexadas ultrarrápidas.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Atributo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Tipo de Dato (PostgreSQL)</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Restricciones</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Descripción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id</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BIGINT</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PK, GENERATED ALWAYS AS IDENTITY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Clave Primaria. Identificador único, autoincremental y obligatorio para cada peritaje individual.</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nombre_archivo</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VARCHAR(255)</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NOT NULL</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Nombre original del archivo de imagen cargado desde la interfaz de usuario.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ruta_archivo</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VARCHAR(500)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NOT NULL</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Almacena la URL segura provista por el CDN de Cloudinary. Evita guardar binarios pesados en la base de datos relacional.</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prediccion</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VARCHAR(10)</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NOT NULL, CHECK (IN ('REAL', 'FAKE'))</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Veredicto final normalizado por el servicio backend. Actúa como etiqueta clasificatoria.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confianza</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DOUBLE PRECISION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NOT NULL</w:t>
            </w:r>
          </w:p>
        </w:tc>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Porcentaje decimal de certeza devuelto por el modelo de Deep Learning Vision Transformer (ViT).</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fecha</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TIMESTAMP</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NOT NULL, DEFAULT CURRENT_TIMESTAMP</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Sello cronológico del registro con la hora oficial local para trazabilidad temporal.</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shd w:fill="auto" w:val="clear"/>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Diagrama Entidad-Relación Lógico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Representación estructurada del modelo adaptado a las necesidades del MVP actual (Código Mermaid compatible con visores estándar):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erDiagram</w:t>
        <w:br w:type="textWrapping"/>
        <w:t xml:space="preserve">    analisis {</w:t>
        <w:br w:type="textWrapping"/>
        <w:t xml:space="preserve">        BIGINT id PK</w:t>
        <w:br w:type="textWrapping"/>
        <w:t xml:space="preserve">        VARCHAR nombre_archivo</w:t>
        <w:br w:type="textWrapping"/>
        <w:t xml:space="preserve">        VARCHAR ruta_archivo</w:t>
        <w:br w:type="textWrapping"/>
        <w:t xml:space="preserve">        VARCHAR prediccion</w:t>
        <w:br w:type="textWrapping"/>
        <w:t xml:space="preserve">        DOUBLE_PRECISION confianza</w:t>
        <w:br w:type="textWrapping"/>
        <w:t xml:space="preserve">        TIMESTAMP fecha</w:t>
        <w:br w:type="textWrapping"/>
        <w:t xml:space="preserve">    }</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rFonts w:ascii="Arial" w:cs="Arial" w:eastAsia="Arial" w:hAnsi="Arial"/>
          <w:shd w:fill="f4f4f4" w:val="clear"/>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Justificación Técnica de Decisiones (Defensa de Arquitectura)</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Aislamiento Estratégico (Eliminación de las Entidades relacionadas a Usuarios):</w:t>
      </w:r>
      <w:r w:rsidDel="00000000" w:rsidR="00000000" w:rsidRPr="00000000">
        <w:rPr>
          <w:rtl w:val="0"/>
        </w:rPr>
        <w:t xml:space="preserve"> Para asegurar la entrega funcional del motor de IA y el backend central dentro de los plazos del Examen Transversal, se tomó la decisión táctica de convertir el login en Deuda Técnica. Esto independiza la tabla análisis, garantizando que el flujo de inserción de evidencias opere sin bloqueos de integridad referencial.</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Eficiencia del Cómputo (Uso de CDN Externo):</w:t>
      </w:r>
      <w:r w:rsidDel="00000000" w:rsidR="00000000" w:rsidRPr="00000000">
        <w:rPr>
          <w:rtl w:val="0"/>
        </w:rPr>
        <w:t xml:space="preserve"> El uso del atributo ruta_archivo delegando el peso multimedia a Cloudinary asegura que PostgreSQL se mantenga liviano y que las operaciones de Input/Output (I/O) del disco del servidor no colapsen durante los Sprints de pruebas masivas.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Precisión Científica (DOUBLE PRECISION):</w:t>
      </w:r>
      <w:r w:rsidDel="00000000" w:rsidR="00000000" w:rsidRPr="00000000">
        <w:rPr>
          <w:rtl w:val="0"/>
        </w:rPr>
        <w:t xml:space="preserve"> Utilizar la precisión doble para el atributo confianza permite persistir el nivel de exactitud cruda emitido por la inferencia en FastAPI, lo cual es crítico para medir y auditar posteriormente la evolución del modelo frente a la meta del 85% de Accuracy.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