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SHOW DATABASES; - shows all current databases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 DATABASE name; - creates database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DROP DATABASE name; - deletes entire database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 database; - sets active database for all table functions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TABLE name (field1 varchar(50),field2 varchar(50),field3 varchar(50),field4 varchar(10),field5 varchar(12)); - creates columns with the designated columns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SHOW TABLES; - lists all tables in current active database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DROP TABLE name; - deletes entire table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SELECT * FROM tablename; - shows all data stored in table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SHOW FIELDS FROM tablename; - shows all fields and field variable types in table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name ( - creates table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field1 varchar(50) PRIMARY KEY, - cannot be null, primary key set to this field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field2 varchar(50) NOTNULL - cannot be null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field3 varchar(50) UNIQUE - no two items in this field can have the same of this entry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field4 int AUTO_ICREMENT - starts with value 1, counts up each entry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tablename (field1,field2,field3) VALUES (value,value,value); - enter data into table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tablename SELECT * FROM tablename2; - inserts entire table2 into table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SELECT field1,field2 FROM tablename; - Select only specific fields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field1 FROM tablename WHERE field2=’specificvalue’; - Select all field1 only where field2 is a specific value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ALTER TABLE tablename ADD field6 varchar(50); - add a new field to table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ALTER TABLE tablename MODIFY field2 varchar(10); - modifies the field to the type listed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Constraints can be applied to modified values (field2 int AUTO_INCREMENT)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ALTER TABLE tablename AUTO_INCREMENT=5; - moves next increment to value and counts up from there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DELETE field1 FROM tablename; - deletes field from table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DELETE FROM tablename WHERE field1=’value’; - deletes entries where specific field is specific value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CREATE INDEX indexname ON tablename (field3); - creates index for specified table based on specified column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CREATE INDEX indexname ON tablename (field2,field4) - creates an index based on more than one column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ALTER TABLE tablename DROP INDEX indexname; - remove index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TRUNCATE TABLE tablename; - clear all table entries but do not delete table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tablename; - count all records in a table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field1) FROM tablename - counts all single occurrences of argument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SELECT AVG(field2) FROM tablename; - selects average number of integer field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SELECT COUNT(*),AVG(field1) FROM tablename; - Selects count of all, and then average of integers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SUM used same way as AVG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LIKE ‘%S’ - anything that ends in -S.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CREATE VIEW viewname AS SELECT COUNT(*),AVG(field1),SUM(field2) FROM tablename WHERE field4 &gt; 50; - Creates a table out of the results of query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SELECT tablename.field1, tablename.field2 FROM tablename INNER JOIN tablename2 ON tablename.field1=tablename2.field2 - combines two tables where the ON exists in both fields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LEFT JOIN - combines two where the information from the first table will populate even if there is missing information in the second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RIGHT JOIN - opposite of left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+UNION SELECT * FROM tablename - populates information from another table, but number of columns must match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SELECT x FROM y ORDER BY parameters: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ASC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LIMIT #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SELECT field1,field2 FROM tablename WHERE field1=(SELECT MAX(field1) FROM tablename) - returns MIN (or MAX) of the listed parameter, and the attached information from additional fields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UCASE(field) - Displays as all uppercase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LCASE(field) - Displays as all lowercase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Now() as fieldname - displays current time/date in column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