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7tuxh1500618927925" w:id="1"/>
      <w:bookmarkEnd w:id="1"/>
      <w:r>
        <w:rPr/>
        <w:t>1. 任务描述：使用TensorRT（GIE）的单精度模型转换加速Openpose模型的inference过程达到可用级别。</w:t>
      </w:r>
    </w:p>
    <w:p>
      <w:pPr/>
      <w:bookmarkStart w:name="34nvmn1500886219785" w:id="2"/>
      <w:bookmarkEnd w:id="2"/>
    </w:p>
    <w:p>
      <w:pPr/>
      <w:bookmarkStart w:name="5ubiv1500886219785" w:id="3"/>
      <w:bookmarkEnd w:id="3"/>
      <w:r>
        <w:rPr/>
        <w:t>2. TensorRT介绍：</w:t>
      </w:r>
    </w:p>
    <w:p>
      <w:pPr/>
      <w:bookmarkStart w:name="56lkpb1500886219785" w:id="4"/>
      <w:bookmarkEnd w:id="4"/>
      <w:r>
        <w:rPr/>
        <w:t>i)对已训练的神经网络进行优化、验证和部署;</w:t>
      </w:r>
    </w:p>
    <w:p>
      <w:pPr/>
      <w:bookmarkStart w:name="81pspu1500886219785" w:id="5"/>
      <w:bookmarkEnd w:id="5"/>
      <w:r>
        <w:rPr/>
        <w:t>ii)C++库，官方API： TX1：/usr/share/doc/gie/doc/API/index.html；</w:t>
      </w:r>
    </w:p>
    <w:p>
      <w:pPr/>
      <w:bookmarkStart w:name="72exgx1500886318628" w:id="6"/>
      <w:bookmarkEnd w:id="6"/>
      <w:r>
        <w:rPr/>
        <w:t>iii)适用于Jetson TX1和Pascal架构的显卡（Tesla P100, K80, M4 and Titan X等），支持fp16特性---半精度运算;</w:t>
      </w:r>
    </w:p>
    <w:p>
      <w:pPr/>
      <w:bookmarkStart w:name="27yaxw1500886219785" w:id="7"/>
      <w:bookmarkEnd w:id="7"/>
      <w:r>
        <w:rPr/>
        <w:t>iv)对inference过程加速，只能用来做Inference，不能用来做train;</w:t>
      </w:r>
    </w:p>
    <w:p>
      <w:pPr/>
      <w:bookmarkStart w:name="0siij1500886219785" w:id="8"/>
      <w:bookmarkEnd w:id="8"/>
      <w:r>
        <w:rPr/>
        <w:t>v)解析caffe模型--&gt;NvCaffeParser,根据prototxt文件和caffemodel权值，转化为支持半精度的新的模型;</w:t>
      </w:r>
    </w:p>
    <w:p>
      <w:pPr/>
      <w:bookmarkStart w:name="73xzvl1500886219785" w:id="9"/>
      <w:bookmarkEnd w:id="9"/>
      <w:r>
        <w:rPr/>
        <w:t>vi)支持caffe中大部分的层;</w:t>
      </w:r>
    </w:p>
    <w:p>
      <w:pPr/>
      <w:bookmarkStart w:name="43gols1500886217951" w:id="10"/>
      <w:bookmarkEnd w:id="10"/>
    </w:p>
    <w:p>
      <w:pPr/>
      <w:bookmarkStart w:name="41mvnl1500619855739" w:id="11"/>
      <w:bookmarkEnd w:id="11"/>
      <w:r>
        <w:rPr/>
        <w:t>3.官方加速效果：</w:t>
      </w:r>
    </w:p>
    <w:p>
      <w:pPr/>
      <w:bookmarkStart w:name="9hwxz1500882927088" w:id="12"/>
      <w:bookmarkEnd w:id="12"/>
      <w:r>
        <w:drawing>
          <wp:inline distT="0" distR="0" distB="0" distL="0">
            <wp:extent cx="5267325" cy="2962871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lzfo1500882927088" w:id="13"/>
      <w:bookmarkEnd w:id="13"/>
    </w:p>
    <w:p>
      <w:pPr/>
      <w:bookmarkStart w:name="49pfro1500620374238" w:id="14"/>
      <w:bookmarkEnd w:id="14"/>
      <w:r>
        <w:drawing>
          <wp:inline distT="0" distR="0" distB="0" distL="0">
            <wp:extent cx="5267325" cy="3145931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nksz1500619994378" w:id="15"/>
      <w:bookmarkEnd w:id="15"/>
    </w:p>
    <w:p>
      <w:pPr/>
      <w:bookmarkStart w:name="91ghzk1500887022823" w:id="16"/>
      <w:bookmarkEnd w:id="16"/>
      <w:r>
        <w:rPr/>
        <w:t>4.试用：</w:t>
      </w:r>
    </w:p>
    <w:p>
      <w:pPr/>
      <w:bookmarkStart w:name="86phml1500619770989" w:id="17"/>
      <w:bookmarkEnd w:id="17"/>
      <w:r>
        <w:rPr/>
        <w:t>1)常见模型单精度模式的加速比</w:t>
      </w:r>
    </w:p>
    <w:p>
      <w:pPr/>
      <w:bookmarkStart w:name="53fajy1500883098889" w:id="18"/>
      <w:bookmarkEnd w:id="18"/>
      <w:r>
        <w:rPr/>
        <w:t>数据来源：TX1自带gie samples &amp; caffe中的model</w:t>
      </w:r>
    </w:p>
    <w:p>
      <w:pPr/>
      <w:bookmarkStart w:name="95fehe1500884118310" w:id="19"/>
      <w:bookmarkEnd w:id="19"/>
      <w:r>
        <w:rPr/>
        <w:t>model\half2  普通t   单精度t    加速比</w:t>
      </w:r>
    </w:p>
    <w:p>
      <w:pPr/>
      <w:bookmarkStart w:name="85ydvl1500618986062" w:id="20"/>
      <w:bookmarkEnd w:id="20"/>
      <w:r>
        <w:rPr/>
        <w:t>mnist              1.6       1.2        1.3(batch=12)</w:t>
      </w:r>
    </w:p>
    <w:p>
      <w:pPr/>
      <w:bookmarkStart w:name="28yqai1500618986062" w:id="21"/>
      <w:bookmarkEnd w:id="21"/>
      <w:r>
        <w:rPr/>
        <w:t>googlenet       27.6     16.8      1.6</w:t>
      </w:r>
    </w:p>
    <w:p>
      <w:pPr/>
      <w:bookmarkStart w:name="26xfpn1500618986062" w:id="22"/>
      <w:bookmarkEnd w:id="22"/>
      <w:r>
        <w:rPr/>
        <w:t>alexnet           22.6     14.7      1.5</w:t>
      </w:r>
    </w:p>
    <w:p>
      <w:pPr/>
      <w:bookmarkStart w:name="75inif1500619083165" w:id="23"/>
      <w:bookmarkEnd w:id="23"/>
      <w:r>
        <w:rPr/>
        <w:t>Vgg16</w:t>
      </w:r>
    </w:p>
    <w:p>
      <w:pPr/>
      <w:bookmarkStart w:name="63mjtq1500883047804" w:id="24"/>
      <w:bookmarkEnd w:id="24"/>
      <w:r>
        <w:rPr/>
        <w:t>Vgg19</w:t>
      </w:r>
    </w:p>
    <w:p>
      <w:pPr/>
      <w:bookmarkStart w:name="25kwsx1500619091067" w:id="25"/>
      <w:bookmarkEnd w:id="25"/>
      <w:r>
        <w:rPr/>
        <w:t>ResNet</w:t>
      </w:r>
    </w:p>
    <w:p>
      <w:pPr/>
      <w:bookmarkStart w:name="1loui1500884422131" w:id="26"/>
      <w:bookmarkEnd w:id="26"/>
      <w:r>
        <w:rPr/>
        <w:t>例图：googlenet加速比</w:t>
      </w:r>
    </w:p>
    <w:p>
      <w:pPr/>
      <w:bookmarkStart w:name="88moio1500884929362" w:id="27"/>
      <w:bookmarkEnd w:id="27"/>
      <w:r>
        <w:drawing>
          <wp:inline distT="0" distR="0" distB="0" distL="0">
            <wp:extent cx="5267325" cy="4864360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mzwy1500884929362" w:id="28"/>
      <w:bookmarkEnd w:id="28"/>
    </w:p>
    <w:p>
      <w:pPr/>
      <w:bookmarkStart w:name="88sexm1500886043425" w:id="29"/>
      <w:bookmarkEnd w:id="29"/>
      <w:r>
        <w:rPr/>
        <w:t>2）官方数据显示batch越大则差异越显著，对于特定模型的影响测试如下：</w:t>
      </w:r>
    </w:p>
    <w:p>
      <w:pPr/>
      <w:bookmarkStart w:name="4jonr1500886036380" w:id="30"/>
      <w:bookmarkEnd w:id="30"/>
      <w:r>
        <w:rPr/>
        <w:t>数据源：caffe自带bvlc_reference_caffenet模型</w:t>
      </w:r>
    </w:p>
    <w:p>
      <w:pPr/>
      <w:bookmarkStart w:name="27sevt1500869464119" w:id="31"/>
      <w:bookmarkEnd w:id="31"/>
      <w:r>
        <w:rPr/>
        <w:t>batch\half2  普通   单精度  加速比</w:t>
      </w:r>
    </w:p>
    <w:p>
      <w:pPr/>
      <w:bookmarkStart w:name="76trdq1500869465442" w:id="32"/>
      <w:bookmarkEnd w:id="32"/>
      <w:r>
        <w:rPr/>
        <w:t>1                  18.6   14.4       1.3</w:t>
      </w:r>
    </w:p>
    <w:p>
      <w:pPr/>
      <w:bookmarkStart w:name="70pxzw1500869449140" w:id="33"/>
      <w:bookmarkEnd w:id="33"/>
      <w:r>
        <w:rPr/>
        <w:t>2                  21.7   14.2       1.5</w:t>
      </w:r>
    </w:p>
    <w:p>
      <w:pPr/>
      <w:bookmarkStart w:name="25excu1500869452180" w:id="34"/>
      <w:bookmarkEnd w:id="34"/>
      <w:r>
        <w:rPr/>
        <w:t>4                  29.7   18.7       1.6`</w:t>
      </w:r>
    </w:p>
    <w:p>
      <w:pPr/>
      <w:bookmarkStart w:name="2bbkc1500883388578" w:id="35"/>
      <w:bookmarkEnd w:id="35"/>
      <w:r>
        <w:rPr/>
        <w:t>8                  58.1   36.2       1.6</w:t>
      </w:r>
    </w:p>
    <w:p>
      <w:pPr/>
      <w:bookmarkStart w:name="77tesb1500883468582" w:id="36"/>
      <w:bookmarkEnd w:id="36"/>
      <w:r>
        <w:rPr/>
        <w:t>16                112.4  56.8      2.0</w:t>
      </w:r>
    </w:p>
    <w:p>
      <w:pPr/>
      <w:bookmarkStart w:name="2dqms1500869374281" w:id="37"/>
      <w:bookmarkEnd w:id="37"/>
      <w:r>
        <w:rPr/>
        <w:t>日志提示：half2 requires even maximum batch size; rounding up to 2</w:t>
      </w:r>
    </w:p>
    <w:p>
      <w:pPr/>
      <w:bookmarkStart w:name="87zela1500885552389" w:id="38"/>
      <w:bookmarkEnd w:id="38"/>
      <w:r>
        <w:drawing>
          <wp:inline distT="0" distR="0" distB="0" distL="0">
            <wp:extent cx="5267325" cy="5109018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idhg1500619125852" w:id="39"/>
      <w:bookmarkEnd w:id="39"/>
    </w:p>
    <w:p>
      <w:pPr/>
      <w:bookmarkStart w:name="24ylgh1500885560724" w:id="40"/>
      <w:bookmarkEnd w:id="40"/>
      <w:r>
        <w:rPr/>
        <w:t>5.分析：</w:t>
      </w:r>
    </w:p>
    <w:p>
      <w:pPr/>
      <w:bookmarkStart w:name="76akhw1500886490186" w:id="41"/>
      <w:bookmarkEnd w:id="41"/>
      <w:r>
        <w:rPr/>
        <w:t>加速比低于官方影响因素分析：</w:t>
      </w:r>
    </w:p>
    <w:p>
      <w:pPr/>
      <w:bookmarkStart w:name="18ooam1500619152667" w:id="42"/>
      <w:bookmarkEnd w:id="42"/>
      <w:r>
        <w:rPr/>
        <w:t>i)模型简单，层数少，无法体现单精度优势；</w:t>
      </w:r>
    </w:p>
    <w:p>
      <w:pPr/>
      <w:bookmarkStart w:name="28xpze1500619178630" w:id="43"/>
      <w:bookmarkEnd w:id="43"/>
      <w:r>
        <w:rPr/>
        <w:t>ii)参数设置原因，批处理数(取决于精度需求和硬件条件，决定梯度下降的方向和收敛的效果和速率，以及内存的利用率）；</w:t>
      </w:r>
    </w:p>
    <w:p>
      <w:pPr/>
      <w:bookmarkStart w:name="72zimw1500619891396" w:id="44"/>
      <w:bookmarkEnd w:id="44"/>
      <w:r>
        <w:rPr/>
        <w:t>一些模型（vgg16,vgg19)无法顺利运行因素分析：</w:t>
      </w:r>
    </w:p>
    <w:p>
      <w:pPr/>
      <w:bookmarkStart w:name="66gzqq1500619510204" w:id="45"/>
      <w:bookmarkEnd w:id="45"/>
      <w:r>
        <w:rPr/>
        <w:t>i)参数设置不当，输出类型参考prototxt最后一层配置，或需加一层输出层；</w:t>
      </w:r>
    </w:p>
    <w:p>
      <w:pPr/>
      <w:bookmarkStart w:name="6oamz1500619503849" w:id="46"/>
      <w:bookmarkEnd w:id="46"/>
      <w:r>
        <w:rPr/>
        <w:t>ii)模型含有gie不支持的层；</w:t>
      </w:r>
    </w:p>
    <w:p>
      <w:pPr/>
      <w:bookmarkStart w:name="91hoea1500885800653" w:id="47"/>
      <w:bookmarkEnd w:id="47"/>
      <w:r>
        <w:drawing>
          <wp:inline distT="0" distR="0" distB="0" distL="0">
            <wp:extent cx="5267325" cy="296287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untw1500885753116" w:id="48"/>
      <w:bookmarkEnd w:id="48"/>
    </w:p>
    <w:p>
      <w:pPr/>
      <w:bookmarkStart w:name="88aqbt1500620515544" w:id="49"/>
      <w:bookmarkEnd w:id="49"/>
      <w:r>
        <w:rPr/>
        <w:t>6.方向：</w:t>
      </w:r>
    </w:p>
    <w:p>
      <w:pPr/>
      <w:bookmarkStart w:name="22bnma1500619707293" w:id="50"/>
      <w:bookmarkEnd w:id="50"/>
      <w:r>
        <w:rPr/>
        <w:t>1.转换任意的CNN/RNN（非.caffemodel的模型使其可以被TensorRT执行&amp;&amp;用TensorRT转换CNN/RNN的模型为支持单精度的模型）</w:t>
      </w:r>
    </w:p>
    <w:p>
      <w:pPr/>
      <w:bookmarkStart w:name="70reia1500620667306" w:id="51"/>
      <w:bookmarkEnd w:id="51"/>
      <w:r>
        <w:rPr/>
        <w:t>2.分析openpose的prototxt使可运行在TensorRT上。</w:t>
      </w:r>
    </w:p>
    <w:p>
      <w:pPr/>
      <w:bookmarkStart w:name="30qosf1500620527350" w:id="52"/>
      <w:bookmarkEnd w:id="52"/>
    </w:p>
    <w:p>
      <w:pPr/>
      <w:bookmarkStart w:name="19xnds1500884333575" w:id="53"/>
      <w:bookmarkEnd w:id="53"/>
      <w:r>
        <w:rPr>
          <w:color w:val="393939"/>
        </w:rPr>
        <w:t>7.参考：</w:t>
      </w:r>
    </w:p>
    <w:p>
      <w:pPr/>
      <w:bookmarkStart w:name="41kwzv1500884336019" w:id="54"/>
      <w:bookmarkEnd w:id="54"/>
      <w:hyperlink r:id="rId8">
        <w:r>
          <w:rPr>
            <w:color w:val="003884"/>
            <w:u w:val="single"/>
          </w:rPr>
          <w:t>https://github.com/dusty-nv/jetson-inference</w:t>
        </w:r>
      </w:hyperlink>
      <w:r>
        <w:rPr>
          <w:color w:val="393939"/>
        </w:rPr>
        <w:t xml:space="preserve">TensorRT部署推理网络（TX1) </w:t>
      </w:r>
    </w:p>
    <w:p>
      <w:pPr/>
      <w:bookmarkStart w:name="13gdlk1500620742079" w:id="55"/>
      <w:bookmarkEnd w:id="55"/>
      <w:hyperlink r:id="rId9">
        <w:r>
          <w:rPr>
            <w:color w:val="003884"/>
            <w:u w:val="single"/>
          </w:rPr>
          <w:t>http://on-demand.gputechconf.com/gtc/2017/presentation/s7458-chris-gottbrath-deploying-unique-microservices-tensorrt.pdf</w:t>
        </w:r>
      </w:hyperlink>
      <w:r>
        <w:rPr>
          <w:color w:val="393939"/>
        </w:rPr>
        <w:t xml:space="preserve">TensorRT 8bit推理 </w:t>
      </w:r>
    </w:p>
    <w:p>
      <w:pPr/>
      <w:bookmarkStart w:name="51inpw1500620559801" w:id="56"/>
      <w:bookmarkEnd w:id="56"/>
      <w:hyperlink r:id="rId10">
        <w:r>
          <w:rPr>
            <w:color w:val="003884"/>
            <w:u w:val="single"/>
          </w:rPr>
          <w:t>http://on-demand.gputechconf.com/gtc/2017/presentation/s7310-8-bit-inference-with-tensorrt.pdf</w:t>
        </w:r>
      </w:hyperlink>
      <w:r>
        <w:rPr>
          <w:color w:val="393939"/>
        </w:rPr>
        <w:t>TensorRT部署深度学习网络</w:t>
      </w:r>
    </w:p>
    <w:p>
      <w:pPr/>
      <w:bookmarkStart w:name="8wkww1500620602265" w:id="57"/>
      <w:bookmarkEnd w:id="57"/>
      <w:hyperlink r:id="rId11">
        <w:r>
          <w:rPr>
            <w:color w:val="003884"/>
            <w:u w:val="single"/>
          </w:rPr>
          <w:t>https://handong1587.github.io/deep_learning/2015/10/09/object-detection.html</w:t>
        </w:r>
      </w:hyperlink>
      <w:r>
        <w:rPr>
          <w:color w:val="393939"/>
        </w:rPr>
        <w:t xml:space="preserve">TensorRT目标探测 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on-demand.gputechconf.com/gtc/2017/presentation/s7310-8-bit-inference-with-tensorrt.pdf" TargetMode="External" Type="http://schemas.openxmlformats.org/officeDocument/2006/relationships/hyperlink"/>
<Relationship Id="rId11" Target="https://handong1587.github.io/deep_learning/2015/10/09/object-detection.html" TargetMode="External" Type="http://schemas.openxmlformats.org/officeDocument/2006/relationships/hyperlink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https://github.com/dusty-nv/jetson-inference" TargetMode="External" Type="http://schemas.openxmlformats.org/officeDocument/2006/relationships/hyperlink"/>
<Relationship Id="rId9" Target="http://on-demand.gputechconf.com/gtc/2017/presentation/s7458-chris-gottbrath-deploying-unique-microservices-tensorrt.pdf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2017-07-24T09:04:08Z</dcterms:created>
  <dc:creator>Apache POI</dc:creator>
</cp:coreProperties>
</file>