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微软雅黑" w:eastAsia="微软雅黑" w:hAnsi="微软雅黑"/>
          <w:sz w:val="28"/>
        </w:rPr>
        <w:t>最高人民法院关于适用《中华人民共和国公司法》若干问题的规定（一）</w:t>
        <w:cr/>
      </w:r>
    </w:p>
    <w:p>
      <w:r>
        <w:rPr>
          <w:rFonts w:ascii="微软雅黑" w:eastAsia="微软雅黑" w:hAnsi="微软雅黑"/>
          <w:sz w:val="24"/>
        </w:rPr>
        <w:t>为正确适用2005年10月27日十届全国人大常委会第十八次会议修订的《中华人民共和国公司法》，对人民法院在审理相关的民事纠纷案件中，具体适用公司法的有关问题规定如下：</w:t>
        <w:cr/>
      </w:r>
    </w:p>
    <w:p>
      <w:r>
        <w:rPr>
          <w:rFonts w:ascii="微软雅黑" w:eastAsia="微软雅黑" w:hAnsi="微软雅黑"/>
          <w:sz w:val="24"/>
        </w:rPr>
        <w:t xml:space="preserve">第一条  </w:t>
        <w:cr/>
      </w:r>
    </w:p>
    <w:p>
      <w:r>
        <w:rPr>
          <w:rFonts w:ascii="微软雅黑" w:eastAsia="微软雅黑" w:hAnsi="微软雅黑"/>
          <w:sz w:val="24"/>
        </w:rPr>
        <w:t>公司法实施后，人民法院尚未审结的和新受理的民事案件，其民事行为或事件发生在公司法实施以前的，适用当时的法律法规和司法解释。</w:t>
        <w:cr/>
      </w:r>
    </w:p>
    <w:p>
      <w:r>
        <w:rPr>
          <w:rFonts w:ascii="微软雅黑" w:eastAsia="微软雅黑" w:hAnsi="微软雅黑"/>
          <w:sz w:val="24"/>
        </w:rPr>
        <w:t xml:space="preserve">第二条  </w:t>
        <w:cr/>
      </w:r>
    </w:p>
    <w:p>
      <w:r>
        <w:rPr>
          <w:rFonts w:ascii="微软雅黑" w:eastAsia="微软雅黑" w:hAnsi="微软雅黑"/>
          <w:sz w:val="24"/>
        </w:rPr>
        <w:t>因公司法实施前有关民事行为或者事件发生纠纷起诉到人民法院的，如当时的法律法规和司法解释没有明确规定时，可参照适用公司法的有关规定。</w:t>
        <w:cr/>
      </w:r>
    </w:p>
    <w:p>
      <w:r>
        <w:rPr>
          <w:rFonts w:ascii="微软雅黑" w:eastAsia="微软雅黑" w:hAnsi="微软雅黑"/>
          <w:sz w:val="24"/>
        </w:rPr>
        <w:t xml:space="preserve">第三条  </w:t>
        <w:cr/>
      </w:r>
    </w:p>
    <w:p>
      <w:r>
        <w:rPr>
          <w:rFonts w:ascii="微软雅黑" w:eastAsia="微软雅黑" w:hAnsi="微软雅黑"/>
          <w:sz w:val="24"/>
        </w:rPr>
        <w:t>原告以公司法第二十二条第二款、第七十四条第二款规定事由，向人民法院提起诉讼时，超过公司法规定期限的，人民法院不予受理。</w:t>
        <w:cr/>
      </w:r>
    </w:p>
    <w:p>
      <w:r>
        <w:rPr>
          <w:rFonts w:ascii="微软雅黑" w:eastAsia="微软雅黑" w:hAnsi="微软雅黑"/>
          <w:sz w:val="24"/>
        </w:rPr>
        <w:t xml:space="preserve">第四条  </w:t>
        <w:cr/>
      </w:r>
    </w:p>
    <w:p>
      <w:r>
        <w:rPr>
          <w:rFonts w:ascii="微软雅黑" w:eastAsia="微软雅黑" w:hAnsi="微软雅黑"/>
          <w:sz w:val="24"/>
        </w:rPr>
        <w:t>公司法第一百五十一条规定的180日以上连续持股期间，应为股东向人民法院提起诉讼时，已期满的持股时间；规定的合计持有公司百分之一以上股份，是指两个以上股东持股份额的合计。</w:t>
        <w:cr/>
      </w:r>
    </w:p>
    <w:p>
      <w:r>
        <w:rPr>
          <w:rFonts w:ascii="微软雅黑" w:eastAsia="微软雅黑" w:hAnsi="微软雅黑"/>
          <w:sz w:val="24"/>
        </w:rPr>
        <w:t xml:space="preserve">第五条  </w:t>
        <w:cr/>
      </w:r>
    </w:p>
    <w:p>
      <w:r>
        <w:rPr>
          <w:rFonts w:ascii="微软雅黑" w:eastAsia="微软雅黑" w:hAnsi="微软雅黑"/>
          <w:sz w:val="24"/>
        </w:rPr>
        <w:t>人民法院对公司法实施前已经终审的案件依法进行再审时，不适用公司法的规定。</w:t>
        <w:cr/>
      </w:r>
    </w:p>
    <w:p>
      <w:r>
        <w:rPr>
          <w:rFonts w:ascii="微软雅黑" w:eastAsia="微软雅黑" w:hAnsi="微软雅黑"/>
          <w:sz w:val="24"/>
        </w:rPr>
        <w:t xml:space="preserve">第六条  </w:t>
        <w:cr/>
      </w:r>
    </w:p>
    <w:p>
      <w:r>
        <w:rPr>
          <w:rFonts w:ascii="微软雅黑" w:eastAsia="微软雅黑" w:hAnsi="微软雅黑"/>
          <w:sz w:val="24"/>
        </w:rPr>
        <w:t>本规定自公布之日起实施。</w:t>
        <w:cr/>
      </w:r>
    </w:p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Bdr>
        <w:top w:val="thick"/>
      </w:pBdr>
      <w:jc w:val="center"/>
      <w:textAlignment w:val="center"/>
    </w:pPr>
    <w:r>
      <w:rPr>
        <w:rFonts w:ascii="微软雅黑" w:eastAsia="微软雅黑" w:hAnsi="微软雅黑"/>
        <w:sz w:val="24"/>
      </w:rPr>
      <w:t>第</w:t>
    </w:r>
    <w:r>
      <w:fldChar w:fldCharType="begin"/>
    </w:r>
    <w:r>
      <w:rPr>
        <w:rFonts w:ascii="微软雅黑" w:eastAsia="微软雅黑" w:hAnsi="微软雅黑"/>
        <w:sz w:val="24"/>
      </w:rPr>
      <w:instrText xml:space="preserve">PAGE  \* MERGEFORMAT</w:instrText>
      <w:fldChar w:fldCharType="end"/>
    </w:r>
    <w:r>
      <w:rPr>
        <w:rFonts w:ascii="微软雅黑" w:eastAsia="微软雅黑" w:hAnsi="微软雅黑"/>
        <w:sz w:val="24"/>
      </w:rPr>
      <w:t>页</w:t>
    </w:r>
  </w:p>
</w:ft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标题 1" w:type="paragraph">
    <w:name w:val="标题 1"/>
    <w:uiPriority w:val="1"/>
    <w:unhideWhenUsed/>
    <w:qFormat/>
    <w:pPr>
      <w:outlineLvl w:val="1"/>
    </w:p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  <Relationship Id="rId3" Type="http://schemas.openxmlformats.org/officeDocument/2006/relationships/footer" Target="footer1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2020-01-14T09:42:15Z</dcterms:created>
  <dc:creator>Apache POI</dc:creator>
</coreProperties>
</file>