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C6" w:rsidRDefault="007674C6" w:rsidP="007674C6">
      <w:pPr>
        <w:pStyle w:val="a3"/>
        <w:spacing w:before="0" w:beforeAutospacing="0" w:after="0" w:afterAutospacing="0" w:line="270" w:lineRule="atLeast"/>
        <w:jc w:val="center"/>
        <w:rPr>
          <w:rFonts w:ascii="微软雅黑" w:eastAsia="微软雅黑" w:hAnsi="微软雅黑"/>
          <w:color w:val="777777"/>
          <w:sz w:val="18"/>
          <w:szCs w:val="18"/>
        </w:rPr>
      </w:pPr>
      <w:bookmarkStart w:id="0" w:name="_GoBack"/>
      <w:r>
        <w:rPr>
          <w:rStyle w:val="a4"/>
          <w:rFonts w:ascii="微软雅黑" w:eastAsia="微软雅黑" w:hAnsi="微软雅黑" w:hint="eastAsia"/>
          <w:color w:val="777777"/>
          <w:sz w:val="27"/>
          <w:szCs w:val="27"/>
        </w:rPr>
        <w:t>国务院关于开展优先股试点的指导意见</w:t>
      </w:r>
      <w:bookmarkEnd w:id="0"/>
    </w:p>
    <w:p w:rsidR="007674C6" w:rsidRDefault="007674C6" w:rsidP="007674C6">
      <w:pPr>
        <w:pStyle w:val="a3"/>
        <w:spacing w:before="0" w:beforeAutospacing="0" w:after="0" w:afterAutospacing="0" w:line="270" w:lineRule="atLeast"/>
        <w:jc w:val="center"/>
        <w:rPr>
          <w:rFonts w:ascii="微软雅黑" w:eastAsia="微软雅黑" w:hAnsi="微软雅黑" w:hint="eastAsia"/>
          <w:color w:val="777777"/>
          <w:sz w:val="18"/>
          <w:szCs w:val="18"/>
        </w:rPr>
      </w:pPr>
      <w:r>
        <w:rPr>
          <w:rFonts w:ascii="微软雅黑" w:eastAsia="微软雅黑" w:hAnsi="微软雅黑" w:hint="eastAsia"/>
          <w:color w:val="777777"/>
          <w:sz w:val="18"/>
          <w:szCs w:val="18"/>
        </w:rPr>
        <w:t> </w:t>
      </w:r>
    </w:p>
    <w:p w:rsidR="007674C6" w:rsidRDefault="007674C6" w:rsidP="007674C6">
      <w:pPr>
        <w:pStyle w:val="a3"/>
        <w:spacing w:before="0" w:beforeAutospacing="0" w:after="0" w:afterAutospacing="0" w:line="270" w:lineRule="atLeast"/>
        <w:jc w:val="right"/>
        <w:rPr>
          <w:rFonts w:ascii="微软雅黑" w:eastAsia="微软雅黑" w:hAnsi="微软雅黑" w:hint="eastAsia"/>
          <w:color w:val="777777"/>
          <w:sz w:val="18"/>
          <w:szCs w:val="18"/>
        </w:rPr>
      </w:pPr>
      <w:r>
        <w:rPr>
          <w:rFonts w:ascii="微软雅黑" w:eastAsia="微软雅黑" w:hAnsi="微软雅黑" w:hint="eastAsia"/>
          <w:color w:val="777777"/>
          <w:sz w:val="18"/>
          <w:szCs w:val="18"/>
        </w:rPr>
        <w:t>国发〔</w:t>
      </w:r>
      <w:r>
        <w:rPr>
          <w:rFonts w:ascii="inherit" w:eastAsia="微软雅黑" w:hAnsi="inherit"/>
          <w:color w:val="777777"/>
          <w:sz w:val="18"/>
          <w:szCs w:val="18"/>
        </w:rPr>
        <w:t>2013</w:t>
      </w:r>
      <w:r>
        <w:rPr>
          <w:rFonts w:ascii="微软雅黑" w:eastAsia="微软雅黑" w:hAnsi="微软雅黑" w:hint="eastAsia"/>
          <w:color w:val="777777"/>
          <w:sz w:val="18"/>
          <w:szCs w:val="18"/>
        </w:rPr>
        <w:t>〕</w:t>
      </w:r>
      <w:r>
        <w:rPr>
          <w:rFonts w:ascii="inherit" w:eastAsia="微软雅黑" w:hAnsi="inherit"/>
          <w:color w:val="777777"/>
          <w:sz w:val="18"/>
          <w:szCs w:val="18"/>
        </w:rPr>
        <w:t>46</w:t>
      </w:r>
      <w:r>
        <w:rPr>
          <w:rFonts w:ascii="微软雅黑" w:eastAsia="微软雅黑" w:hAnsi="微软雅黑" w:hint="eastAsia"/>
          <w:color w:val="777777"/>
          <w:sz w:val="18"/>
          <w:szCs w:val="18"/>
        </w:rPr>
        <w:t>号</w:t>
      </w:r>
    </w:p>
    <w:p w:rsidR="007674C6" w:rsidRDefault="007674C6" w:rsidP="007674C6">
      <w:pPr>
        <w:pStyle w:val="a3"/>
        <w:spacing w:before="0" w:beforeAutospacing="0" w:after="0" w:afterAutospacing="0" w:line="270" w:lineRule="atLeast"/>
        <w:rPr>
          <w:rFonts w:ascii="微软雅黑" w:eastAsia="微软雅黑" w:hAnsi="微软雅黑" w:hint="eastAsia"/>
          <w:color w:val="777777"/>
          <w:sz w:val="18"/>
          <w:szCs w:val="18"/>
        </w:rPr>
      </w:pPr>
      <w:r>
        <w:rPr>
          <w:rFonts w:ascii="inherit" w:eastAsia="微软雅黑" w:hAnsi="inherit"/>
          <w:color w:val="777777"/>
          <w:sz w:val="21"/>
          <w:szCs w:val="21"/>
        </w:rPr>
        <w:t>各省、自治区、直辖市人民政府，国务院各部委、各直属机构：</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为贯彻落实党的十八大、十八届三中全会精神，深化金融体制改革，支持实体经济发展，依照公司法、证券法相关规定，国务院决定开展优先股试点。开展优先股试点，有利于进一步深化企业股份制改革，为发行人提供灵活的直接融资工具，优化企业财务结构，推动企业兼并重组；有利于丰富证券品种，为投资者提供多元化的投资渠道，提高直接融资比重，促进资本市场稳定发展。为稳妥有序开展优先股试点，现提出如下指导意见。</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一、优先股股东的权利与义务</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（一）优先股的含义。优先股是指依照公司法，在一般规定的普通种类股份之外，另行规定的其他种类股份，其股份持有人优先于普通股股东分配公司利润和剩余财产，但参与公司决策管理等权利受到限制。</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除本指导意见另有规定以外，优先股股东的权利、义务以及优先股股份的管理应当符合公司法的规定。试点期间不允许发行在股息分配和剩余财产分配上具有不同优先顺序的优先股，但允许发行在其他条款上具有不同设置的优先股。</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（二）优先分配利润。优先股股东按照约定的票面股息率，优先于普通股股东分配公司利润。公司应当以现金的形式向优先股股东支付股息，在完全支付约定的股息之前，不得向普通股股东分配利润。</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公司应当在公司章程中明确以下事项：（</w:t>
      </w:r>
      <w:r>
        <w:rPr>
          <w:rFonts w:ascii="inherit" w:eastAsia="微软雅黑" w:hAnsi="inherit"/>
          <w:color w:val="777777"/>
          <w:sz w:val="21"/>
          <w:szCs w:val="21"/>
        </w:rPr>
        <w:t>1</w:t>
      </w:r>
      <w:r>
        <w:rPr>
          <w:rFonts w:ascii="inherit" w:eastAsia="微软雅黑" w:hAnsi="inherit"/>
          <w:color w:val="777777"/>
          <w:sz w:val="21"/>
          <w:szCs w:val="21"/>
        </w:rPr>
        <w:t>）优先股股息率是采用固定股息率还是浮动股息率，并相应明确固定股息率水平或浮动股息率计算方法。（</w:t>
      </w:r>
      <w:r>
        <w:rPr>
          <w:rFonts w:ascii="inherit" w:eastAsia="微软雅黑" w:hAnsi="inherit"/>
          <w:color w:val="777777"/>
          <w:sz w:val="21"/>
          <w:szCs w:val="21"/>
        </w:rPr>
        <w:t>2</w:t>
      </w:r>
      <w:r>
        <w:rPr>
          <w:rFonts w:ascii="inherit" w:eastAsia="微软雅黑" w:hAnsi="inherit"/>
          <w:color w:val="777777"/>
          <w:sz w:val="21"/>
          <w:szCs w:val="21"/>
        </w:rPr>
        <w:t>）公司在有可分配税后利润的情况下是否必须分配利润。（</w:t>
      </w:r>
      <w:r>
        <w:rPr>
          <w:rFonts w:ascii="inherit" w:eastAsia="微软雅黑" w:hAnsi="inherit"/>
          <w:color w:val="777777"/>
          <w:sz w:val="21"/>
          <w:szCs w:val="21"/>
        </w:rPr>
        <w:t>3</w:t>
      </w:r>
      <w:r>
        <w:rPr>
          <w:rFonts w:ascii="inherit" w:eastAsia="微软雅黑" w:hAnsi="inherit"/>
          <w:color w:val="777777"/>
          <w:sz w:val="21"/>
          <w:szCs w:val="21"/>
        </w:rPr>
        <w:t>）如果公司因本会计年度可分配利润不足而未向优先股股东足额派发股息，差额部分是否累积到下一会计年度。（</w:t>
      </w:r>
      <w:r>
        <w:rPr>
          <w:rFonts w:ascii="inherit" w:eastAsia="微软雅黑" w:hAnsi="inherit"/>
          <w:color w:val="777777"/>
          <w:sz w:val="21"/>
          <w:szCs w:val="21"/>
        </w:rPr>
        <w:t>4</w:t>
      </w:r>
      <w:r>
        <w:rPr>
          <w:rFonts w:ascii="inherit" w:eastAsia="微软雅黑" w:hAnsi="inherit"/>
          <w:color w:val="777777"/>
          <w:sz w:val="21"/>
          <w:szCs w:val="21"/>
        </w:rPr>
        <w:t>）优先股股东按照约定的股息</w:t>
      </w:r>
      <w:r>
        <w:rPr>
          <w:rFonts w:ascii="inherit" w:eastAsia="微软雅黑" w:hAnsi="inherit"/>
          <w:color w:val="777777"/>
          <w:sz w:val="21"/>
          <w:szCs w:val="21"/>
        </w:rPr>
        <w:lastRenderedPageBreak/>
        <w:t>率分配股息后，是否有权同普通股股东一起参加剩余利润分配。（</w:t>
      </w:r>
      <w:r>
        <w:rPr>
          <w:rFonts w:ascii="inherit" w:eastAsia="微软雅黑" w:hAnsi="inherit"/>
          <w:color w:val="777777"/>
          <w:sz w:val="21"/>
          <w:szCs w:val="21"/>
        </w:rPr>
        <w:t>5</w:t>
      </w:r>
      <w:r>
        <w:rPr>
          <w:rFonts w:ascii="inherit" w:eastAsia="微软雅黑" w:hAnsi="inherit"/>
          <w:color w:val="777777"/>
          <w:sz w:val="21"/>
          <w:szCs w:val="21"/>
        </w:rPr>
        <w:t>）优先股利润分配涉及的其他事项。</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三）优先分配剩余财产。公司因解散、破产等原因进行清算时，公司财产在按照公司法和破产法有关规定进行清偿后的剩余财产，应当优先向优先股股东支付未派发的股息和公司章程约定的清算金额，不足以支付的按照优先股股东持股比例分配。</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四）优先股转换和回购。公司可以在公司章程中规定优先股转换为普通股、发行人回购优先股的条件、价格和比例。转换选择权或回购选择权可规定由发行人或优先股股东行使。发行人要求回购优先股的，必须完全支付所欠股息，但商业银行发行优先股补充资本的除外。优先股回购后相应减记发行在外的优先股股份总数。</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（五）表决权限制。除以下情况外，优先股股东不出席股东大会会议，所持股份没有表决权：（</w:t>
      </w:r>
      <w:r>
        <w:rPr>
          <w:rFonts w:ascii="inherit" w:eastAsia="微软雅黑" w:hAnsi="inherit"/>
          <w:color w:val="777777"/>
          <w:sz w:val="21"/>
          <w:szCs w:val="21"/>
        </w:rPr>
        <w:t>1</w:t>
      </w:r>
      <w:r>
        <w:rPr>
          <w:rFonts w:ascii="inherit" w:eastAsia="微软雅黑" w:hAnsi="inherit"/>
          <w:color w:val="777777"/>
          <w:sz w:val="21"/>
          <w:szCs w:val="21"/>
        </w:rPr>
        <w:t>）修改公司章程中与优先股相关的内容；（</w:t>
      </w:r>
      <w:r>
        <w:rPr>
          <w:rFonts w:ascii="inherit" w:eastAsia="微软雅黑" w:hAnsi="inherit"/>
          <w:color w:val="777777"/>
          <w:sz w:val="21"/>
          <w:szCs w:val="21"/>
        </w:rPr>
        <w:t>2</w:t>
      </w:r>
      <w:r>
        <w:rPr>
          <w:rFonts w:ascii="inherit" w:eastAsia="微软雅黑" w:hAnsi="inherit"/>
          <w:color w:val="777777"/>
          <w:sz w:val="21"/>
          <w:szCs w:val="21"/>
        </w:rPr>
        <w:t>）一次或累计减少公司注册资本超过百分之十；（</w:t>
      </w:r>
      <w:r>
        <w:rPr>
          <w:rFonts w:ascii="inherit" w:eastAsia="微软雅黑" w:hAnsi="inherit"/>
          <w:color w:val="777777"/>
          <w:sz w:val="21"/>
          <w:szCs w:val="21"/>
        </w:rPr>
        <w:t>3</w:t>
      </w:r>
      <w:r>
        <w:rPr>
          <w:rFonts w:ascii="inherit" w:eastAsia="微软雅黑" w:hAnsi="inherit"/>
          <w:color w:val="777777"/>
          <w:sz w:val="21"/>
          <w:szCs w:val="21"/>
        </w:rPr>
        <w:t>）公司合并、分立、解散或变更公司形式；（</w:t>
      </w:r>
      <w:r>
        <w:rPr>
          <w:rFonts w:ascii="inherit" w:eastAsia="微软雅黑" w:hAnsi="inherit"/>
          <w:color w:val="777777"/>
          <w:sz w:val="21"/>
          <w:szCs w:val="21"/>
        </w:rPr>
        <w:t>4</w:t>
      </w:r>
      <w:r>
        <w:rPr>
          <w:rFonts w:ascii="inherit" w:eastAsia="微软雅黑" w:hAnsi="inherit"/>
          <w:color w:val="777777"/>
          <w:sz w:val="21"/>
          <w:szCs w:val="21"/>
        </w:rPr>
        <w:t>）发行优先股；（</w:t>
      </w:r>
      <w:r>
        <w:rPr>
          <w:rFonts w:ascii="inherit" w:eastAsia="微软雅黑" w:hAnsi="inherit"/>
          <w:color w:val="777777"/>
          <w:sz w:val="21"/>
          <w:szCs w:val="21"/>
        </w:rPr>
        <w:t>5</w:t>
      </w:r>
      <w:r>
        <w:rPr>
          <w:rFonts w:ascii="inherit" w:eastAsia="微软雅黑" w:hAnsi="inherit"/>
          <w:color w:val="777777"/>
          <w:sz w:val="21"/>
          <w:szCs w:val="21"/>
        </w:rPr>
        <w:t>）公司章程规定的其他情形。上述事项的决议，除须经出席会议的普通股股东（含表决权恢复的优先股股东）所持表决权的三分之二以上通过之外，还须经出席会议的优先股股东（不含表决权恢复的优先股股东）所持表决权的三分之二以上通过。</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（六）表决权恢复。公司累计</w:t>
      </w:r>
      <w:r>
        <w:rPr>
          <w:rFonts w:ascii="inherit" w:eastAsia="微软雅黑" w:hAnsi="inherit"/>
          <w:color w:val="777777"/>
          <w:sz w:val="21"/>
          <w:szCs w:val="21"/>
        </w:rPr>
        <w:t>3</w:t>
      </w:r>
      <w:r>
        <w:rPr>
          <w:rFonts w:ascii="inherit" w:eastAsia="微软雅黑" w:hAnsi="inherit"/>
          <w:color w:val="777777"/>
          <w:sz w:val="21"/>
          <w:szCs w:val="21"/>
        </w:rPr>
        <w:t>个会计年度或连续</w:t>
      </w:r>
      <w:r>
        <w:rPr>
          <w:rFonts w:ascii="inherit" w:eastAsia="微软雅黑" w:hAnsi="inherit"/>
          <w:color w:val="777777"/>
          <w:sz w:val="21"/>
          <w:szCs w:val="21"/>
        </w:rPr>
        <w:t>2</w:t>
      </w:r>
      <w:r>
        <w:rPr>
          <w:rFonts w:ascii="inherit" w:eastAsia="微软雅黑" w:hAnsi="inherit"/>
          <w:color w:val="777777"/>
          <w:sz w:val="21"/>
          <w:szCs w:val="21"/>
        </w:rPr>
        <w:t>个会计年度未按约定支付优先股股息的，优先股股东有权出席股东大会，每股优先股股份享有公司章程规定的表决权。对于股息可累积到下一会计年度的优先股，表决权恢复直至公司全额支付所欠股息。对于股息不可累积的优先股，表决权恢复直至公司全额支付当年股息。公司章程可规定优先股表决权恢复的其他情形。</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（七）与股份种类相关的计算。以下事项计算持股比例时，仅计算普通股和表决权恢复的优先股：（</w:t>
      </w:r>
      <w:r>
        <w:rPr>
          <w:rFonts w:ascii="inherit" w:eastAsia="微软雅黑" w:hAnsi="inherit"/>
          <w:color w:val="777777"/>
          <w:sz w:val="21"/>
          <w:szCs w:val="21"/>
        </w:rPr>
        <w:t>1</w:t>
      </w:r>
      <w:r>
        <w:rPr>
          <w:rFonts w:ascii="inherit" w:eastAsia="微软雅黑" w:hAnsi="inherit"/>
          <w:color w:val="777777"/>
          <w:sz w:val="21"/>
          <w:szCs w:val="21"/>
        </w:rPr>
        <w:t>）根据公司法第一百零一条，请求召开临时股东大会；（</w:t>
      </w:r>
      <w:r>
        <w:rPr>
          <w:rFonts w:ascii="inherit" w:eastAsia="微软雅黑" w:hAnsi="inherit"/>
          <w:color w:val="777777"/>
          <w:sz w:val="21"/>
          <w:szCs w:val="21"/>
        </w:rPr>
        <w:t>2</w:t>
      </w:r>
      <w:r>
        <w:rPr>
          <w:rFonts w:ascii="inherit" w:eastAsia="微软雅黑" w:hAnsi="inherit"/>
          <w:color w:val="777777"/>
          <w:sz w:val="21"/>
          <w:szCs w:val="21"/>
        </w:rPr>
        <w:t>）根据公司法第一</w:t>
      </w:r>
      <w:r>
        <w:rPr>
          <w:rFonts w:ascii="inherit" w:eastAsia="微软雅黑" w:hAnsi="inherit"/>
          <w:color w:val="777777"/>
          <w:sz w:val="21"/>
          <w:szCs w:val="21"/>
        </w:rPr>
        <w:lastRenderedPageBreak/>
        <w:t>百零二条，召集和主持股东大会；（</w:t>
      </w:r>
      <w:r>
        <w:rPr>
          <w:rFonts w:ascii="inherit" w:eastAsia="微软雅黑" w:hAnsi="inherit"/>
          <w:color w:val="777777"/>
          <w:sz w:val="21"/>
          <w:szCs w:val="21"/>
        </w:rPr>
        <w:t>3</w:t>
      </w:r>
      <w:r>
        <w:rPr>
          <w:rFonts w:ascii="inherit" w:eastAsia="微软雅黑" w:hAnsi="inherit"/>
          <w:color w:val="777777"/>
          <w:sz w:val="21"/>
          <w:szCs w:val="21"/>
        </w:rPr>
        <w:t>）根据公司法第一百零三条，提交股东大会临时提案；（</w:t>
      </w:r>
      <w:r>
        <w:rPr>
          <w:rFonts w:ascii="inherit" w:eastAsia="微软雅黑" w:hAnsi="inherit"/>
          <w:color w:val="777777"/>
          <w:sz w:val="21"/>
          <w:szCs w:val="21"/>
        </w:rPr>
        <w:t>4</w:t>
      </w:r>
      <w:r>
        <w:rPr>
          <w:rFonts w:ascii="inherit" w:eastAsia="微软雅黑" w:hAnsi="inherit"/>
          <w:color w:val="777777"/>
          <w:sz w:val="21"/>
          <w:szCs w:val="21"/>
        </w:rPr>
        <w:t>）根据公司法第二百一十七条，认定控股股东。</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二、优先股发行与交易</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（八）发行人范围。公开发行优先股的发行人限于证监会规定的上市公司，非公开发行优先股的发行人限于上市公司（含注册地在境内的境外上市公司）和非上市公众公司。</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九）发行条件。公司已发行的优先股不得超过公司普通股股份总数的百分之五十，且筹资金额不得超过发行前净资产的百分之五十，已回购、转换的优先股不纳入计算。公司公开发行优先股以及上市公司非公开发行优先股的其他条件适用证券法的规定。非上市公众公司非公开发行优先股的条件由证监会另行规定。</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（十）公开发行。公司公开发行优先股的，应当在公司章程中规定以下事项：（</w:t>
      </w:r>
      <w:r>
        <w:rPr>
          <w:rFonts w:ascii="inherit" w:eastAsia="微软雅黑" w:hAnsi="inherit"/>
          <w:color w:val="777777"/>
          <w:sz w:val="21"/>
          <w:szCs w:val="21"/>
        </w:rPr>
        <w:t>1</w:t>
      </w:r>
      <w:r>
        <w:rPr>
          <w:rFonts w:ascii="inherit" w:eastAsia="微软雅黑" w:hAnsi="inherit"/>
          <w:color w:val="777777"/>
          <w:sz w:val="21"/>
          <w:szCs w:val="21"/>
        </w:rPr>
        <w:t>）采取固定股息率；（</w:t>
      </w:r>
      <w:r>
        <w:rPr>
          <w:rFonts w:ascii="inherit" w:eastAsia="微软雅黑" w:hAnsi="inherit"/>
          <w:color w:val="777777"/>
          <w:sz w:val="21"/>
          <w:szCs w:val="21"/>
        </w:rPr>
        <w:t>2</w:t>
      </w:r>
      <w:r>
        <w:rPr>
          <w:rFonts w:ascii="inherit" w:eastAsia="微软雅黑" w:hAnsi="inherit"/>
          <w:color w:val="777777"/>
          <w:sz w:val="21"/>
          <w:szCs w:val="21"/>
        </w:rPr>
        <w:t>）在有可分配税后利润的情况下必须向优先股股东分配股息；（</w:t>
      </w:r>
      <w:r>
        <w:rPr>
          <w:rFonts w:ascii="inherit" w:eastAsia="微软雅黑" w:hAnsi="inherit"/>
          <w:color w:val="777777"/>
          <w:sz w:val="21"/>
          <w:szCs w:val="21"/>
        </w:rPr>
        <w:t>3</w:t>
      </w:r>
      <w:r>
        <w:rPr>
          <w:rFonts w:ascii="inherit" w:eastAsia="微软雅黑" w:hAnsi="inherit"/>
          <w:color w:val="777777"/>
          <w:sz w:val="21"/>
          <w:szCs w:val="21"/>
        </w:rPr>
        <w:t>）未向优先股股东足额派发股息的差额部分应当累积到下一会计年度；（</w:t>
      </w:r>
      <w:r>
        <w:rPr>
          <w:rFonts w:ascii="inherit" w:eastAsia="微软雅黑" w:hAnsi="inherit"/>
          <w:color w:val="777777"/>
          <w:sz w:val="21"/>
          <w:szCs w:val="21"/>
        </w:rPr>
        <w:t>4</w:t>
      </w:r>
      <w:r>
        <w:rPr>
          <w:rFonts w:ascii="inherit" w:eastAsia="微软雅黑" w:hAnsi="inherit"/>
          <w:color w:val="777777"/>
          <w:sz w:val="21"/>
          <w:szCs w:val="21"/>
        </w:rPr>
        <w:t>）优先股股东按照约定的股息率分配股息后，不再同普通股股东一起参加剩余利润分配。商业银行发行优先股补充资本的，可就第（</w:t>
      </w:r>
      <w:r>
        <w:rPr>
          <w:rFonts w:ascii="inherit" w:eastAsia="微软雅黑" w:hAnsi="inherit"/>
          <w:color w:val="777777"/>
          <w:sz w:val="21"/>
          <w:szCs w:val="21"/>
        </w:rPr>
        <w:t>2</w:t>
      </w:r>
      <w:r>
        <w:rPr>
          <w:rFonts w:ascii="inherit" w:eastAsia="微软雅黑" w:hAnsi="inherit"/>
          <w:color w:val="777777"/>
          <w:sz w:val="21"/>
          <w:szCs w:val="21"/>
        </w:rPr>
        <w:t>）项和第（</w:t>
      </w:r>
      <w:r>
        <w:rPr>
          <w:rFonts w:ascii="inherit" w:eastAsia="微软雅黑" w:hAnsi="inherit"/>
          <w:color w:val="777777"/>
          <w:sz w:val="21"/>
          <w:szCs w:val="21"/>
        </w:rPr>
        <w:t>3</w:t>
      </w:r>
      <w:r>
        <w:rPr>
          <w:rFonts w:ascii="inherit" w:eastAsia="微软雅黑" w:hAnsi="inherit"/>
          <w:color w:val="777777"/>
          <w:sz w:val="21"/>
          <w:szCs w:val="21"/>
        </w:rPr>
        <w:t>）项事项另行规定。</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一）交易转让及登记存管。优先股应当在证券交易所、全国中小企业股份转让系统或者在国务院批准的其他证券交易场所交易或转让。优先股应当在中国证券登记结算公司集中登记存管。优先股交易或转让环节的投资者适当性标准应当与发行环节一致。</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（十二）信息披露。公司应当在发行文件中详尽说明优先股股东的权利义务，充分揭示风险。同时，应按规定真实、准确、完整、及时、公平地披露或者提供信息，不得有虚假记载、误导性陈述或重大遗漏。</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（十三）公司收购。优先股可以作为并购重组支付手段。上市公司收购要约适用于被收购公司的所有股东，但可以针对优先股股东和普通股股东提出不同的收购条件。根据证券法</w:t>
      </w:r>
      <w:r>
        <w:rPr>
          <w:rFonts w:ascii="inherit" w:eastAsia="微软雅黑" w:hAnsi="inherit"/>
          <w:color w:val="777777"/>
          <w:sz w:val="21"/>
          <w:szCs w:val="21"/>
        </w:rPr>
        <w:lastRenderedPageBreak/>
        <w:t>第八十六条计算收购人持有上市公司已发行股份比例，以及根据证券法第八十八条和第九十六条计算触发要约收购义务时，表决权未恢复的优先股不计入持股数额和股本总额。</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（十四）与持股数额相关的计算。以下事项计算持股数额时，仅计算普通股和表决权恢复的优先股：（</w:t>
      </w:r>
      <w:r>
        <w:rPr>
          <w:rFonts w:ascii="inherit" w:eastAsia="微软雅黑" w:hAnsi="inherit"/>
          <w:color w:val="777777"/>
          <w:sz w:val="21"/>
          <w:szCs w:val="21"/>
        </w:rPr>
        <w:t>1</w:t>
      </w:r>
      <w:r>
        <w:rPr>
          <w:rFonts w:ascii="inherit" w:eastAsia="微软雅黑" w:hAnsi="inherit"/>
          <w:color w:val="777777"/>
          <w:sz w:val="21"/>
          <w:szCs w:val="21"/>
        </w:rPr>
        <w:t>）根据证券法第五十四条和第六十六条，认定持有公司股份最多的前十名股东的名单和持股数额；（</w:t>
      </w:r>
      <w:r>
        <w:rPr>
          <w:rFonts w:ascii="inherit" w:eastAsia="微软雅黑" w:hAnsi="inherit"/>
          <w:color w:val="777777"/>
          <w:sz w:val="21"/>
          <w:szCs w:val="21"/>
        </w:rPr>
        <w:t>2</w:t>
      </w:r>
      <w:r>
        <w:rPr>
          <w:rFonts w:ascii="inherit" w:eastAsia="微软雅黑" w:hAnsi="inherit"/>
          <w:color w:val="777777"/>
          <w:sz w:val="21"/>
          <w:szCs w:val="21"/>
        </w:rPr>
        <w:t>）根据证券法第四十七条、第六十七条和第七十四条，认定持有公司百分之五以上股份的股东。</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三、组织管理和配套政策</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五）加强组织管理。证监会应加强与有关部门的协调配合，积极稳妥地组织开展优先股试点工作。证监会应当根据公司法、证券法和本指导意见，制定并发布优先股试点的具体规定，指导证券自律组织完善相关业务规则。</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证监会应当加强市场监管，督促公司认真履行信息披露义务，督促中介机构诚实守信、勤勉尽责，依法查处违法违规行为，切实保护投资者合法权益。</w:t>
      </w:r>
    </w:p>
    <w:p w:rsidR="007674C6" w:rsidRDefault="007674C6" w:rsidP="007674C6">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十六）完善配套政策。优先股相关会计处理和财务报告，应当遵循财政部发布的企业会计准则及其他相关会计标准。企业投资优先股获得的股息、红利等投资收益，符合税法规定条件的，可以作为企业所得税免税收入。全国社会保障基金、企业年金投资优先股的比例不受现行证券品种投资比例的限制，具体政策由国务院主管部门制定。外资行业准入管理中外资持股比例优先股与普通股合并计算。试点中需要配套制定的其他政策事项，由证监会根据试点进展情况提出，商有关部门办理，重大事项报告国务院。</w:t>
      </w:r>
    </w:p>
    <w:p w:rsidR="007674C6" w:rsidRDefault="007674C6" w:rsidP="007674C6">
      <w:pPr>
        <w:pStyle w:val="a3"/>
        <w:spacing w:before="0" w:beforeAutospacing="0" w:after="0" w:afterAutospacing="0" w:line="270" w:lineRule="atLeast"/>
        <w:jc w:val="right"/>
        <w:rPr>
          <w:rFonts w:ascii="微软雅黑" w:eastAsia="微软雅黑" w:hAnsi="微软雅黑" w:hint="eastAsia"/>
          <w:color w:val="777777"/>
          <w:sz w:val="18"/>
          <w:szCs w:val="18"/>
        </w:rPr>
      </w:pPr>
      <w:r>
        <w:rPr>
          <w:rFonts w:ascii="微软雅黑" w:eastAsia="微软雅黑" w:hAnsi="微软雅黑" w:hint="eastAsia"/>
          <w:color w:val="777777"/>
          <w:sz w:val="18"/>
          <w:szCs w:val="18"/>
        </w:rPr>
        <w:t>国务院</w:t>
      </w:r>
      <w:r>
        <w:rPr>
          <w:rFonts w:ascii="inherit" w:eastAsia="微软雅黑" w:hAnsi="inherit"/>
          <w:color w:val="777777"/>
          <w:sz w:val="18"/>
          <w:szCs w:val="18"/>
        </w:rPr>
        <w:t>    </w:t>
      </w:r>
    </w:p>
    <w:p w:rsidR="007674C6" w:rsidRDefault="007674C6" w:rsidP="007674C6">
      <w:pPr>
        <w:pStyle w:val="a3"/>
        <w:spacing w:before="0" w:beforeAutospacing="0" w:after="0" w:afterAutospacing="0" w:line="270" w:lineRule="atLeast"/>
        <w:jc w:val="right"/>
        <w:rPr>
          <w:rFonts w:ascii="微软雅黑" w:eastAsia="微软雅黑" w:hAnsi="微软雅黑" w:hint="eastAsia"/>
          <w:color w:val="777777"/>
          <w:sz w:val="18"/>
          <w:szCs w:val="18"/>
        </w:rPr>
      </w:pPr>
      <w:r>
        <w:rPr>
          <w:rFonts w:ascii="微软雅黑" w:eastAsia="微软雅黑" w:hAnsi="微软雅黑" w:hint="eastAsia"/>
          <w:color w:val="777777"/>
          <w:sz w:val="18"/>
          <w:szCs w:val="18"/>
        </w:rPr>
        <w:t>2013年</w:t>
      </w:r>
      <w:r>
        <w:rPr>
          <w:rFonts w:ascii="inherit" w:eastAsia="微软雅黑" w:hAnsi="inherit"/>
          <w:color w:val="777777"/>
          <w:sz w:val="18"/>
          <w:szCs w:val="18"/>
        </w:rPr>
        <w:t>11</w:t>
      </w:r>
      <w:r>
        <w:rPr>
          <w:rFonts w:ascii="微软雅黑" w:eastAsia="微软雅黑" w:hAnsi="微软雅黑" w:hint="eastAsia"/>
          <w:color w:val="777777"/>
          <w:sz w:val="18"/>
          <w:szCs w:val="18"/>
        </w:rPr>
        <w:t>月</w:t>
      </w:r>
      <w:r>
        <w:rPr>
          <w:rFonts w:ascii="inherit" w:eastAsia="微软雅黑" w:hAnsi="inherit"/>
          <w:color w:val="777777"/>
          <w:sz w:val="18"/>
          <w:szCs w:val="18"/>
        </w:rPr>
        <w:t>30</w:t>
      </w:r>
      <w:r>
        <w:rPr>
          <w:rFonts w:ascii="微软雅黑" w:eastAsia="微软雅黑" w:hAnsi="微软雅黑" w:hint="eastAsia"/>
          <w:color w:val="777777"/>
          <w:sz w:val="18"/>
          <w:szCs w:val="18"/>
        </w:rPr>
        <w:t>日</w:t>
      </w:r>
    </w:p>
    <w:p w:rsidR="007674C6" w:rsidRDefault="007674C6" w:rsidP="007674C6">
      <w:pPr>
        <w:pStyle w:val="a3"/>
        <w:spacing w:before="0" w:beforeAutospacing="0" w:after="0" w:afterAutospacing="0" w:line="270" w:lineRule="atLeast"/>
        <w:rPr>
          <w:rFonts w:ascii="微软雅黑" w:eastAsia="微软雅黑" w:hAnsi="微软雅黑" w:hint="eastAsia"/>
          <w:color w:val="777777"/>
          <w:sz w:val="18"/>
          <w:szCs w:val="18"/>
        </w:rPr>
      </w:pPr>
      <w:r>
        <w:rPr>
          <w:rFonts w:ascii="微软雅黑" w:eastAsia="微软雅黑" w:hAnsi="微软雅黑" w:hint="eastAsia"/>
          <w:color w:val="777777"/>
          <w:sz w:val="18"/>
          <w:szCs w:val="18"/>
        </w:rPr>
        <w:t>（此件公开发布）</w:t>
      </w:r>
    </w:p>
    <w:p w:rsidR="00C741CA" w:rsidRDefault="00C741CA">
      <w:pPr>
        <w:rPr>
          <w:rFonts w:hint="eastAsia"/>
        </w:rPr>
      </w:pPr>
    </w:p>
    <w:sectPr w:rsidR="00C74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B4"/>
    <w:rsid w:val="00360DB4"/>
    <w:rsid w:val="007674C6"/>
    <w:rsid w:val="00C7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74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74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74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7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68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2015-01-25T14:20:00Z</dcterms:created>
  <dcterms:modified xsi:type="dcterms:W3CDTF">2015-01-25T14:21:00Z</dcterms:modified>
</cp:coreProperties>
</file>