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71047" w14:textId="4B7914D7" w:rsidR="00426562" w:rsidRDefault="00426562" w:rsidP="00426562">
      <w:pPr>
        <w:pStyle w:val="a3"/>
        <w:shd w:val="clear" w:color="auto" w:fill="FFFFFF"/>
        <w:wordWrap w:val="0"/>
        <w:spacing w:before="0" w:beforeAutospacing="0" w:after="225" w:afterAutospacing="0"/>
        <w:jc w:val="center"/>
        <w:rPr>
          <w:color w:val="333333"/>
          <w:sz w:val="21"/>
          <w:szCs w:val="21"/>
        </w:rPr>
      </w:pPr>
      <w:r>
        <w:rPr>
          <w:rFonts w:hint="eastAsia"/>
          <w:color w:val="FF0000"/>
          <w:sz w:val="21"/>
          <w:szCs w:val="21"/>
        </w:rPr>
        <w:t>财政部 国家税务总局关于股息红利有关个人所得税政策的补充通知</w:t>
      </w:r>
      <w:r>
        <w:rPr>
          <w:rFonts w:hint="eastAsia"/>
          <w:color w:val="333333"/>
          <w:sz w:val="21"/>
          <w:szCs w:val="21"/>
        </w:rPr>
        <w:t> [</w:t>
      </w:r>
      <w:r>
        <w:rPr>
          <w:rFonts w:hint="eastAsia"/>
          <w:color w:val="0000FF"/>
          <w:sz w:val="21"/>
          <w:szCs w:val="21"/>
        </w:rPr>
        <w:t>全文废止</w:t>
      </w:r>
      <w:r>
        <w:rPr>
          <w:rFonts w:hint="eastAsia"/>
          <w:color w:val="333333"/>
          <w:sz w:val="21"/>
          <w:szCs w:val="21"/>
        </w:rPr>
        <w:t>]</w:t>
      </w:r>
    </w:p>
    <w:p w14:paraId="7F2166BA" w14:textId="479C7434" w:rsidR="00426562" w:rsidRDefault="00426562" w:rsidP="00426562">
      <w:pPr>
        <w:pStyle w:val="a3"/>
        <w:shd w:val="clear" w:color="auto" w:fill="FFFFFF"/>
        <w:wordWrap w:val="0"/>
        <w:spacing w:before="0" w:beforeAutospacing="0" w:after="225" w:afterAutospacing="0"/>
        <w:jc w:val="center"/>
        <w:rPr>
          <w:color w:val="333333"/>
          <w:sz w:val="21"/>
          <w:szCs w:val="21"/>
        </w:rPr>
      </w:pPr>
      <w:r>
        <w:rPr>
          <w:rFonts w:hint="eastAsia"/>
          <w:color w:val="0000FF"/>
          <w:sz w:val="21"/>
          <w:szCs w:val="21"/>
        </w:rPr>
        <w:t>财税[2005]107号</w:t>
      </w:r>
      <w:r>
        <w:rPr>
          <w:rFonts w:hint="eastAsia"/>
          <w:color w:val="0000FF"/>
          <w:sz w:val="21"/>
          <w:szCs w:val="21"/>
        </w:rPr>
        <w:t xml:space="preserve"> </w:t>
      </w:r>
      <w:r>
        <w:rPr>
          <w:color w:val="0000FF"/>
          <w:sz w:val="21"/>
          <w:szCs w:val="21"/>
        </w:rPr>
        <w:t xml:space="preserve">   </w:t>
      </w:r>
      <w:r>
        <w:rPr>
          <w:rFonts w:hint="eastAsia"/>
          <w:color w:val="333333"/>
          <w:sz w:val="21"/>
          <w:szCs w:val="21"/>
        </w:rPr>
        <w:t>2005-06-24</w:t>
      </w:r>
    </w:p>
    <w:p w14:paraId="74885C51" w14:textId="06758E49" w:rsidR="00426562" w:rsidRDefault="00426562" w:rsidP="00426562">
      <w:pPr>
        <w:pStyle w:val="a3"/>
        <w:shd w:val="clear" w:color="auto" w:fill="FFFFFF"/>
        <w:wordWrap w:val="0"/>
        <w:spacing w:before="0" w:beforeAutospacing="0" w:after="225" w:afterAutospacing="0"/>
        <w:jc w:val="center"/>
        <w:rPr>
          <w:rFonts w:hint="eastAsia"/>
          <w:color w:val="333333"/>
          <w:sz w:val="21"/>
          <w:szCs w:val="21"/>
        </w:rPr>
      </w:pPr>
      <w:r>
        <w:rPr>
          <w:rFonts w:hint="eastAsia"/>
          <w:color w:val="333333"/>
          <w:sz w:val="21"/>
          <w:szCs w:val="21"/>
        </w:rPr>
        <w:t xml:space="preserve">                                        </w:t>
      </w:r>
    </w:p>
    <w:p w14:paraId="79F12DC9" w14:textId="77777777" w:rsidR="00426562" w:rsidRDefault="00426562" w:rsidP="00426562">
      <w:pPr>
        <w:pStyle w:val="a3"/>
        <w:shd w:val="clear" w:color="auto" w:fill="FFFFFF"/>
        <w:wordWrap w:val="0"/>
        <w:spacing w:before="0" w:beforeAutospacing="0" w:after="225" w:afterAutospacing="0"/>
        <w:rPr>
          <w:rFonts w:hint="eastAsia"/>
          <w:color w:val="333333"/>
          <w:sz w:val="21"/>
          <w:szCs w:val="21"/>
        </w:rPr>
      </w:pPr>
      <w:r>
        <w:rPr>
          <w:rFonts w:hint="eastAsia"/>
          <w:color w:val="333333"/>
          <w:sz w:val="21"/>
          <w:szCs w:val="21"/>
        </w:rPr>
        <w:t>各省、自治区、直辖市、计划单列市财政厅（局）、国家税务局、地方税务局，新疆生产建设兵团财务局：     </w:t>
      </w:r>
      <w:r>
        <w:rPr>
          <w:rFonts w:hint="eastAsia"/>
          <w:color w:val="333333"/>
          <w:sz w:val="21"/>
          <w:szCs w:val="21"/>
        </w:rPr>
        <w:br/>
        <w:t>为进一步规范股息红利税收政策，加强税收征管，现将个人所得税股息红利所得减免税政策有关执行口径问题通知如下：     </w:t>
      </w:r>
      <w:r>
        <w:rPr>
          <w:rFonts w:hint="eastAsia"/>
          <w:color w:val="333333"/>
          <w:sz w:val="21"/>
          <w:szCs w:val="21"/>
        </w:rPr>
        <w:br/>
        <w:t>一、</w:t>
      </w:r>
      <w:hyperlink r:id="rId4" w:history="1">
        <w:r>
          <w:rPr>
            <w:rStyle w:val="a4"/>
            <w:rFonts w:hint="eastAsia"/>
            <w:sz w:val="21"/>
            <w:szCs w:val="21"/>
          </w:rPr>
          <w:t>财税[2005]102号</w:t>
        </w:r>
      </w:hyperlink>
      <w:r>
        <w:rPr>
          <w:rFonts w:hint="eastAsia"/>
          <w:color w:val="333333"/>
          <w:sz w:val="21"/>
          <w:szCs w:val="21"/>
        </w:rPr>
        <w:t>文下发之日后（含当日）上市公司实际派发的股息红利所得，按照</w:t>
      </w:r>
      <w:hyperlink r:id="rId5" w:history="1">
        <w:r>
          <w:rPr>
            <w:rStyle w:val="a4"/>
            <w:rFonts w:hint="eastAsia"/>
            <w:sz w:val="21"/>
            <w:szCs w:val="21"/>
          </w:rPr>
          <w:t>财税[2005]102号</w:t>
        </w:r>
      </w:hyperlink>
      <w:r>
        <w:rPr>
          <w:rFonts w:hint="eastAsia"/>
          <w:color w:val="333333"/>
          <w:sz w:val="21"/>
          <w:szCs w:val="21"/>
        </w:rPr>
        <w:t>文规定的减征个人所得税政策执行。     </w:t>
      </w:r>
      <w:r>
        <w:rPr>
          <w:rFonts w:hint="eastAsia"/>
          <w:color w:val="333333"/>
          <w:sz w:val="21"/>
          <w:szCs w:val="21"/>
        </w:rPr>
        <w:br/>
        <w:t>符合上述规定的上市公司，已按股息红利全额计算扣缴个人所得税的，可按</w:t>
      </w:r>
      <w:hyperlink r:id="rId6" w:history="1">
        <w:r>
          <w:rPr>
            <w:rStyle w:val="a4"/>
            <w:rFonts w:hint="eastAsia"/>
            <w:sz w:val="21"/>
            <w:szCs w:val="21"/>
          </w:rPr>
          <w:t>财税[2005]102号</w:t>
        </w:r>
      </w:hyperlink>
      <w:r>
        <w:rPr>
          <w:rFonts w:hint="eastAsia"/>
          <w:color w:val="333333"/>
          <w:sz w:val="21"/>
          <w:szCs w:val="21"/>
        </w:rPr>
        <w:t>文规定的减税政策将多扣缴的税款退还个人</w:t>
      </w:r>
      <w:bookmarkStart w:id="0" w:name="_GoBack"/>
      <w:bookmarkEnd w:id="0"/>
      <w:r>
        <w:rPr>
          <w:rFonts w:hint="eastAsia"/>
          <w:color w:val="333333"/>
          <w:sz w:val="21"/>
          <w:szCs w:val="21"/>
        </w:rPr>
        <w:t>投资者；税款已缴入国库的，由财税部门按规定程序办理退税，并由扣缴义务人退还个人投资者。    </w:t>
      </w:r>
    </w:p>
    <w:p w14:paraId="34767740" w14:textId="77777777" w:rsidR="00426562" w:rsidRDefault="00426562" w:rsidP="00426562">
      <w:pPr>
        <w:pStyle w:val="a3"/>
        <w:shd w:val="clear" w:color="auto" w:fill="FFFFFF"/>
        <w:wordWrap w:val="0"/>
        <w:spacing w:before="0" w:beforeAutospacing="0" w:after="225" w:afterAutospacing="0"/>
        <w:rPr>
          <w:rFonts w:hint="eastAsia"/>
          <w:color w:val="333333"/>
          <w:sz w:val="21"/>
          <w:szCs w:val="21"/>
        </w:rPr>
      </w:pPr>
      <w:r>
        <w:rPr>
          <w:rFonts w:hint="eastAsia"/>
          <w:color w:val="333333"/>
          <w:sz w:val="21"/>
          <w:szCs w:val="21"/>
        </w:rPr>
        <w:t>二、对证券投资基金从上市公司分配取得的股息红利所得，按照</w:t>
      </w:r>
      <w:hyperlink r:id="rId7" w:history="1">
        <w:r>
          <w:rPr>
            <w:rStyle w:val="a4"/>
            <w:rFonts w:hint="eastAsia"/>
            <w:sz w:val="21"/>
            <w:szCs w:val="21"/>
          </w:rPr>
          <w:t>财税[2005]102号</w:t>
        </w:r>
      </w:hyperlink>
      <w:r>
        <w:rPr>
          <w:rFonts w:hint="eastAsia"/>
          <w:color w:val="333333"/>
          <w:sz w:val="21"/>
          <w:szCs w:val="21"/>
        </w:rPr>
        <w:t>文规定，扣缴义务人在代扣代缴个人所得税时，减按50%计算应纳税所得额。    </w:t>
      </w:r>
    </w:p>
    <w:p w14:paraId="3FC99636" w14:textId="77777777" w:rsidR="00426562" w:rsidRDefault="00426562" w:rsidP="00426562">
      <w:pPr>
        <w:pStyle w:val="a3"/>
        <w:shd w:val="clear" w:color="auto" w:fill="FFFFFF"/>
        <w:wordWrap w:val="0"/>
        <w:spacing w:before="0" w:beforeAutospacing="0" w:after="225" w:afterAutospacing="0"/>
        <w:rPr>
          <w:rFonts w:hint="eastAsia"/>
          <w:color w:val="333333"/>
          <w:sz w:val="21"/>
          <w:szCs w:val="21"/>
        </w:rPr>
      </w:pPr>
      <w:r>
        <w:rPr>
          <w:rFonts w:hint="eastAsia"/>
          <w:color w:val="333333"/>
          <w:sz w:val="21"/>
          <w:szCs w:val="21"/>
        </w:rPr>
        <w:t>三、</w:t>
      </w:r>
      <w:hyperlink r:id="rId8" w:history="1">
        <w:r>
          <w:rPr>
            <w:rStyle w:val="a4"/>
            <w:rFonts w:hint="eastAsia"/>
            <w:sz w:val="21"/>
            <w:szCs w:val="21"/>
          </w:rPr>
          <w:t>财税[2005]102号</w:t>
        </w:r>
      </w:hyperlink>
      <w:r>
        <w:rPr>
          <w:rFonts w:hint="eastAsia"/>
          <w:color w:val="333333"/>
          <w:sz w:val="21"/>
          <w:szCs w:val="21"/>
        </w:rPr>
        <w:t>文所称上市公司是指在上海证券交易所、深圳证券交易所挂牌交易的上市公司。    </w:t>
      </w:r>
    </w:p>
    <w:p w14:paraId="339465CB" w14:textId="517269F1" w:rsidR="00426562" w:rsidRDefault="00426562" w:rsidP="00426562">
      <w:pPr>
        <w:pStyle w:val="a3"/>
        <w:shd w:val="clear" w:color="auto" w:fill="FFFFFF"/>
        <w:wordWrap w:val="0"/>
        <w:spacing w:before="0" w:beforeAutospacing="0" w:after="225" w:afterAutospacing="0"/>
        <w:rPr>
          <w:color w:val="333333"/>
          <w:sz w:val="21"/>
          <w:szCs w:val="21"/>
        </w:rPr>
      </w:pPr>
      <w:r>
        <w:rPr>
          <w:rFonts w:hint="eastAsia"/>
          <w:color w:val="333333"/>
          <w:sz w:val="21"/>
          <w:szCs w:val="21"/>
        </w:rPr>
        <w:t>请遵照执行。</w:t>
      </w:r>
    </w:p>
    <w:p w14:paraId="2D571B91" w14:textId="01C95B6D" w:rsidR="00426562" w:rsidRDefault="00426562" w:rsidP="00426562">
      <w:pPr>
        <w:pStyle w:val="a3"/>
        <w:shd w:val="clear" w:color="auto" w:fill="FFFFFF"/>
        <w:wordWrap w:val="0"/>
        <w:spacing w:before="0" w:beforeAutospacing="0" w:after="225" w:afterAutospacing="0"/>
        <w:rPr>
          <w:color w:val="333333"/>
          <w:sz w:val="21"/>
          <w:szCs w:val="21"/>
        </w:rPr>
      </w:pPr>
    </w:p>
    <w:p w14:paraId="39337753" w14:textId="77777777" w:rsidR="00426562" w:rsidRDefault="00426562" w:rsidP="00426562">
      <w:pPr>
        <w:pStyle w:val="a3"/>
        <w:shd w:val="clear" w:color="auto" w:fill="FFFFFF"/>
        <w:wordWrap w:val="0"/>
        <w:spacing w:before="0" w:beforeAutospacing="0" w:after="225" w:afterAutospacing="0"/>
        <w:rPr>
          <w:rFonts w:hint="eastAsia"/>
          <w:color w:val="333333"/>
          <w:sz w:val="21"/>
          <w:szCs w:val="21"/>
        </w:rPr>
      </w:pPr>
      <w:r>
        <w:rPr>
          <w:rFonts w:hint="eastAsia"/>
          <w:color w:val="0000FF"/>
          <w:sz w:val="21"/>
          <w:szCs w:val="21"/>
        </w:rPr>
        <w:t>备  注</w:t>
      </w:r>
      <w:r>
        <w:rPr>
          <w:rFonts w:hint="eastAsia"/>
          <w:color w:val="333333"/>
          <w:sz w:val="21"/>
          <w:szCs w:val="21"/>
        </w:rPr>
        <w:t>——依据</w:t>
      </w:r>
      <w:hyperlink r:id="rId9" w:history="1">
        <w:r>
          <w:rPr>
            <w:rStyle w:val="a4"/>
            <w:rFonts w:hint="eastAsia"/>
            <w:color w:val="FF0000"/>
            <w:sz w:val="21"/>
            <w:szCs w:val="21"/>
          </w:rPr>
          <w:t>财税[2012]85号 关于实施上市公司股息红利差别化个人所得税政策有关问题的通知</w:t>
        </w:r>
      </w:hyperlink>
      <w:r>
        <w:rPr>
          <w:rFonts w:hint="eastAsia"/>
          <w:color w:val="333333"/>
          <w:sz w:val="21"/>
          <w:szCs w:val="21"/>
        </w:rPr>
        <w:t>，本法规自2013.1.1起废止。</w:t>
      </w:r>
    </w:p>
    <w:p w14:paraId="24C51E98" w14:textId="77777777" w:rsidR="00426562" w:rsidRPr="00426562" w:rsidRDefault="00426562" w:rsidP="00426562">
      <w:pPr>
        <w:pStyle w:val="a3"/>
        <w:shd w:val="clear" w:color="auto" w:fill="FFFFFF"/>
        <w:wordWrap w:val="0"/>
        <w:spacing w:before="0" w:beforeAutospacing="0" w:after="225" w:afterAutospacing="0"/>
        <w:rPr>
          <w:rFonts w:hint="eastAsia"/>
          <w:color w:val="333333"/>
          <w:sz w:val="21"/>
          <w:szCs w:val="21"/>
        </w:rPr>
      </w:pPr>
    </w:p>
    <w:p w14:paraId="5F11DDDB" w14:textId="77777777" w:rsidR="00426562" w:rsidRDefault="00426562" w:rsidP="00426562">
      <w:pPr>
        <w:pStyle w:val="a3"/>
        <w:shd w:val="clear" w:color="auto" w:fill="FFFFFF"/>
        <w:wordWrap w:val="0"/>
        <w:spacing w:before="0" w:beforeAutospacing="0" w:after="225" w:afterAutospacing="0"/>
        <w:rPr>
          <w:rFonts w:hint="eastAsia"/>
          <w:color w:val="333333"/>
          <w:sz w:val="21"/>
          <w:szCs w:val="21"/>
        </w:rPr>
      </w:pPr>
      <w:r>
        <w:rPr>
          <w:rFonts w:hint="eastAsia"/>
          <w:color w:val="333333"/>
          <w:sz w:val="21"/>
          <w:szCs w:val="21"/>
        </w:rPr>
        <w:t>关联政策：</w:t>
      </w:r>
      <w:r>
        <w:rPr>
          <w:rFonts w:hint="eastAsia"/>
          <w:color w:val="333333"/>
          <w:sz w:val="21"/>
          <w:szCs w:val="21"/>
        </w:rPr>
        <w:br/>
      </w:r>
      <w:hyperlink r:id="rId10" w:history="1">
        <w:r>
          <w:rPr>
            <w:rStyle w:val="a4"/>
            <w:rFonts w:hint="eastAsia"/>
            <w:color w:val="FF0000"/>
            <w:sz w:val="21"/>
            <w:szCs w:val="21"/>
          </w:rPr>
          <w:t>有关基金所涉及的个人所得税政策总结</w:t>
        </w:r>
      </w:hyperlink>
      <w:r>
        <w:rPr>
          <w:rFonts w:hint="eastAsia"/>
          <w:color w:val="FF0000"/>
          <w:sz w:val="21"/>
          <w:szCs w:val="21"/>
        </w:rPr>
        <w:t> </w:t>
      </w:r>
    </w:p>
    <w:p w14:paraId="20CF51BB" w14:textId="77777777" w:rsidR="000C7289" w:rsidRPr="00426562" w:rsidRDefault="000C7289" w:rsidP="00426562"/>
    <w:sectPr w:rsidR="000C7289" w:rsidRPr="004265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6D3"/>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26562"/>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46D3"/>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16949"/>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3728"/>
  <w15:chartTrackingRefBased/>
  <w15:docId w15:val="{FC5D4CF3-3DCA-456B-BC3B-4F92AA1C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694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169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646812">
      <w:bodyDiv w:val="1"/>
      <w:marLeft w:val="0"/>
      <w:marRight w:val="0"/>
      <w:marTop w:val="0"/>
      <w:marBottom w:val="0"/>
      <w:divBdr>
        <w:top w:val="none" w:sz="0" w:space="0" w:color="auto"/>
        <w:left w:val="none" w:sz="0" w:space="0" w:color="auto"/>
        <w:bottom w:val="none" w:sz="0" w:space="0" w:color="auto"/>
        <w:right w:val="none" w:sz="0" w:space="0" w:color="auto"/>
      </w:divBdr>
    </w:div>
    <w:div w:id="171160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i5.cn/article/74/24323.html" TargetMode="External"/><Relationship Id="rId3" Type="http://schemas.openxmlformats.org/officeDocument/2006/relationships/webSettings" Target="webSettings.xml"/><Relationship Id="rId7" Type="http://schemas.openxmlformats.org/officeDocument/2006/relationships/hyperlink" Target="http://www.shui5.cn/article/74/24323.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hui5.cn/article/74/24323.html" TargetMode="External"/><Relationship Id="rId11" Type="http://schemas.openxmlformats.org/officeDocument/2006/relationships/fontTable" Target="fontTable.xml"/><Relationship Id="rId5" Type="http://schemas.openxmlformats.org/officeDocument/2006/relationships/hyperlink" Target="http://www.shui5.cn/article/74/24323.html" TargetMode="External"/><Relationship Id="rId10" Type="http://schemas.openxmlformats.org/officeDocument/2006/relationships/hyperlink" Target="http://www.shui5.cn/article/ce/46226.html" TargetMode="External"/><Relationship Id="rId4" Type="http://schemas.openxmlformats.org/officeDocument/2006/relationships/hyperlink" Target="http://www.shui5.cn/article/74/24323.html" TargetMode="External"/><Relationship Id="rId9" Type="http://schemas.openxmlformats.org/officeDocument/2006/relationships/hyperlink" Target="http://www.shui5.cn/article/ea/5636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4</cp:revision>
  <dcterms:created xsi:type="dcterms:W3CDTF">2020-01-09T02:41:00Z</dcterms:created>
  <dcterms:modified xsi:type="dcterms:W3CDTF">2020-01-09T02:47:00Z</dcterms:modified>
</cp:coreProperties>
</file>