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60F" w:rsidRPr="0005560F" w:rsidRDefault="0005560F" w:rsidP="0005560F">
      <w:pPr>
        <w:widowControl/>
        <w:shd w:val="clear" w:color="auto" w:fill="FFFFFF"/>
        <w:spacing w:line="420" w:lineRule="atLeast"/>
        <w:jc w:val="left"/>
        <w:rPr>
          <w:rFonts w:ascii="微软雅黑" w:eastAsia="微软雅黑" w:hAnsi="微软雅黑" w:cs="宋体"/>
          <w:color w:val="2E4D87"/>
          <w:kern w:val="0"/>
          <w:sz w:val="27"/>
          <w:szCs w:val="27"/>
        </w:rPr>
      </w:pPr>
      <w:r w:rsidRPr="0005560F">
        <w:rPr>
          <w:rFonts w:ascii="微软雅黑" w:eastAsia="微软雅黑" w:hAnsi="微软雅黑" w:cs="宋体" w:hint="eastAsia"/>
          <w:color w:val="2E4D87"/>
          <w:kern w:val="0"/>
          <w:sz w:val="27"/>
          <w:szCs w:val="27"/>
        </w:rPr>
        <w:t>【财政部 税务总局 证监会】《关于继续实施全国中小企业股份转让系统挂牌公司股息红利差别化个人所得税政策的公告》</w:t>
      </w:r>
    </w:p>
    <w:p w:rsidR="0005560F" w:rsidRPr="0005560F" w:rsidRDefault="0005560F" w:rsidP="0005560F">
      <w:pPr>
        <w:widowControl/>
        <w:shd w:val="clear" w:color="auto" w:fill="FFFFFF"/>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999999"/>
          <w:kern w:val="0"/>
          <w:szCs w:val="21"/>
        </w:rPr>
        <w:t>2019-07-19</w:t>
      </w:r>
      <w:r w:rsidRPr="0005560F">
        <w:rPr>
          <w:rFonts w:ascii="微软雅黑" w:eastAsia="微软雅黑" w:hAnsi="微软雅黑" w:cs="宋体" w:hint="eastAsia"/>
          <w:color w:val="333333"/>
          <w:kern w:val="0"/>
          <w:szCs w:val="21"/>
        </w:rPr>
        <w:t> </w:t>
      </w:r>
      <w:r w:rsidRPr="0005560F">
        <w:rPr>
          <w:rFonts w:ascii="微软雅黑" w:eastAsia="微软雅黑" w:hAnsi="微软雅黑" w:cs="宋体"/>
          <w:noProof/>
          <w:color w:val="999999"/>
          <w:kern w:val="0"/>
          <w:szCs w:val="21"/>
        </w:rPr>
        <w:drawing>
          <wp:inline distT="0" distB="0" distL="0" distR="0">
            <wp:extent cx="198120" cy="1339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8120" cy="133985"/>
                    </a:xfrm>
                    <a:prstGeom prst="rect">
                      <a:avLst/>
                    </a:prstGeom>
                    <a:noFill/>
                    <a:ln>
                      <a:noFill/>
                    </a:ln>
                  </pic:spPr>
                </pic:pic>
              </a:graphicData>
            </a:graphic>
          </wp:inline>
        </w:drawing>
      </w:r>
      <w:r w:rsidRPr="0005560F">
        <w:rPr>
          <w:rFonts w:ascii="微软雅黑" w:eastAsia="微软雅黑" w:hAnsi="微软雅黑" w:cs="宋体" w:hint="eastAsia"/>
          <w:color w:val="999999"/>
          <w:kern w:val="0"/>
          <w:szCs w:val="21"/>
        </w:rPr>
        <w:t> 2706 </w:t>
      </w:r>
      <w:hyperlink r:id="rId5" w:history="1">
        <w:r w:rsidRPr="0005560F">
          <w:rPr>
            <w:rFonts w:ascii="微软雅黑" w:eastAsia="微软雅黑" w:hAnsi="微软雅黑" w:cs="宋体"/>
            <w:noProof/>
            <w:color w:val="337AB7"/>
            <w:kern w:val="0"/>
            <w:szCs w:val="21"/>
          </w:rPr>
          <w:drawing>
            <wp:inline distT="0" distB="0" distL="0" distR="0">
              <wp:extent cx="191770" cy="191770"/>
              <wp:effectExtent l="0" t="0" r="0" b="0"/>
              <wp:docPr id="3" name="图片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770" cy="191770"/>
                      </a:xfrm>
                      <a:prstGeom prst="rect">
                        <a:avLst/>
                      </a:prstGeom>
                      <a:noFill/>
                      <a:ln>
                        <a:noFill/>
                      </a:ln>
                    </pic:spPr>
                  </pic:pic>
                </a:graphicData>
              </a:graphic>
            </wp:inline>
          </w:drawing>
        </w:r>
        <w:r w:rsidRPr="0005560F">
          <w:rPr>
            <w:rFonts w:ascii="微软雅黑" w:eastAsia="微软雅黑" w:hAnsi="微软雅黑" w:cs="宋体" w:hint="eastAsia"/>
            <w:color w:val="337AB7"/>
            <w:kern w:val="0"/>
            <w:szCs w:val="21"/>
            <w:u w:val="single"/>
          </w:rPr>
          <w:t> </w:t>
        </w:r>
      </w:hyperlink>
      <w:r w:rsidRPr="0005560F">
        <w:rPr>
          <w:rFonts w:ascii="微软雅黑" w:eastAsia="微软雅黑" w:hAnsi="微软雅黑" w:cs="宋体"/>
          <w:noProof/>
          <w:color w:val="337AB7"/>
          <w:kern w:val="0"/>
          <w:szCs w:val="21"/>
        </w:rPr>
        <w:drawing>
          <wp:inline distT="0" distB="0" distL="0" distR="0">
            <wp:extent cx="191770" cy="191770"/>
            <wp:effectExtent l="0" t="0" r="0" b="0"/>
            <wp:docPr id="2" name="图片 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770" cy="191770"/>
                    </a:xfrm>
                    <a:prstGeom prst="rect">
                      <a:avLst/>
                    </a:prstGeom>
                    <a:noFill/>
                    <a:ln>
                      <a:noFill/>
                    </a:ln>
                  </pic:spPr>
                </pic:pic>
              </a:graphicData>
            </a:graphic>
          </wp:inline>
        </w:drawing>
      </w:r>
      <w:r w:rsidRPr="0005560F">
        <w:rPr>
          <w:rFonts w:ascii="微软雅黑" w:eastAsia="微软雅黑" w:hAnsi="微软雅黑" w:cs="宋体" w:hint="eastAsia"/>
          <w:color w:val="999999"/>
          <w:kern w:val="0"/>
          <w:sz w:val="24"/>
          <w:szCs w:val="24"/>
        </w:rPr>
        <w:t>A</w:t>
      </w:r>
      <w:r w:rsidRPr="0005560F">
        <w:rPr>
          <w:rFonts w:ascii="微软雅黑" w:eastAsia="微软雅黑" w:hAnsi="微软雅黑" w:cs="宋体" w:hint="eastAsia"/>
          <w:color w:val="999999"/>
          <w:kern w:val="0"/>
          <w:sz w:val="18"/>
          <w:szCs w:val="18"/>
        </w:rPr>
        <w:t>-</w:t>
      </w:r>
      <w:r w:rsidRPr="0005560F">
        <w:rPr>
          <w:rFonts w:ascii="微软雅黑" w:eastAsia="微软雅黑" w:hAnsi="微软雅黑" w:cs="宋体" w:hint="eastAsia"/>
          <w:color w:val="999999"/>
          <w:kern w:val="0"/>
          <w:sz w:val="24"/>
          <w:szCs w:val="24"/>
        </w:rPr>
        <w:t>A</w:t>
      </w:r>
      <w:r w:rsidRPr="0005560F">
        <w:rPr>
          <w:rFonts w:ascii="微软雅黑" w:eastAsia="微软雅黑" w:hAnsi="微软雅黑" w:cs="宋体" w:hint="eastAsia"/>
          <w:color w:val="999999"/>
          <w:kern w:val="0"/>
          <w:sz w:val="18"/>
          <w:szCs w:val="18"/>
        </w:rPr>
        <w:t>+</w:t>
      </w:r>
      <w:r w:rsidRPr="0005560F">
        <w:rPr>
          <w:rFonts w:ascii="微软雅黑" w:eastAsia="微软雅黑" w:hAnsi="微软雅黑" w:cs="宋体"/>
          <w:noProof/>
          <w:color w:val="337AB7"/>
          <w:kern w:val="0"/>
          <w:szCs w:val="21"/>
        </w:rPr>
        <w:drawing>
          <wp:inline distT="0" distB="0" distL="0" distR="0">
            <wp:extent cx="191770" cy="191770"/>
            <wp:effectExtent l="0" t="0" r="0" b="0"/>
            <wp:docPr id="1" name="图片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770" cy="191770"/>
                    </a:xfrm>
                    <a:prstGeom prst="rect">
                      <a:avLst/>
                    </a:prstGeom>
                    <a:noFill/>
                    <a:ln>
                      <a:noFill/>
                    </a:ln>
                  </pic:spPr>
                </pic:pic>
              </a:graphicData>
            </a:graphic>
          </wp:inline>
        </w:drawing>
      </w:r>
    </w:p>
    <w:p w:rsidR="0005560F" w:rsidRPr="0005560F" w:rsidRDefault="0005560F" w:rsidP="0005560F">
      <w:pPr>
        <w:widowControl/>
        <w:ind w:firstLine="465"/>
        <w:jc w:val="center"/>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18"/>
          <w:szCs w:val="18"/>
        </w:rPr>
        <w:t>财政部 税务总局 证监会公告2019年第78号</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18"/>
          <w:szCs w:val="18"/>
        </w:rPr>
        <w:br/>
      </w:r>
      <w:bookmarkStart w:id="0" w:name="_GoBack"/>
      <w:bookmarkEnd w:id="0"/>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现就继续实施全国中小企业股份转让系统挂牌公司（以下简称挂牌公司）股息红利差别化个人所得税政策公告如下：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一、个人持有挂牌公司的股票，持股期限超过1年的，对股息红利所得暂免征收个人所得税。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个人持有挂牌公司的股票，持股期限在1个月以内（含1个月）的，其股息红利所得全额计入应纳税所得额；持股期限在1个月以上至1年（含1年）的，其股息红利所得暂减按50%计入应纳税所得额；上述所得统一适用20%的税率计征个人所得税。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本公告所称挂牌公司是指股票在全国中小企业股份转让系统公开转让的非上市公众公司；持股期限是指个人取得挂牌公司股票之日至转让交割该股票之日前一日的持有时间。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二、挂牌公司派发股息红利时，对截至股权登记</w:t>
      </w:r>
      <w:proofErr w:type="gramStart"/>
      <w:r w:rsidRPr="0005560F">
        <w:rPr>
          <w:rFonts w:ascii="微软雅黑" w:eastAsia="微软雅黑" w:hAnsi="微软雅黑" w:cs="宋体" w:hint="eastAsia"/>
          <w:color w:val="6D6D6D"/>
          <w:kern w:val="0"/>
          <w:sz w:val="23"/>
          <w:szCs w:val="23"/>
        </w:rPr>
        <w:t>日个人</w:t>
      </w:r>
      <w:proofErr w:type="gramEnd"/>
      <w:r w:rsidRPr="0005560F">
        <w:rPr>
          <w:rFonts w:ascii="微软雅黑" w:eastAsia="微软雅黑" w:hAnsi="微软雅黑" w:cs="宋体" w:hint="eastAsia"/>
          <w:color w:val="6D6D6D"/>
          <w:kern w:val="0"/>
          <w:sz w:val="23"/>
          <w:szCs w:val="23"/>
        </w:rPr>
        <w:t>持股1年以内（含1年）且尚未转让的，挂牌公司暂不扣缴个人所得税；</w:t>
      </w:r>
      <w:proofErr w:type="gramStart"/>
      <w:r w:rsidRPr="0005560F">
        <w:rPr>
          <w:rFonts w:ascii="微软雅黑" w:eastAsia="微软雅黑" w:hAnsi="微软雅黑" w:cs="宋体" w:hint="eastAsia"/>
          <w:color w:val="6D6D6D"/>
          <w:kern w:val="0"/>
          <w:sz w:val="23"/>
          <w:szCs w:val="23"/>
        </w:rPr>
        <w:t>待个人</w:t>
      </w:r>
      <w:proofErr w:type="gramEnd"/>
      <w:r w:rsidRPr="0005560F">
        <w:rPr>
          <w:rFonts w:ascii="微软雅黑" w:eastAsia="微软雅黑" w:hAnsi="微软雅黑" w:cs="宋体" w:hint="eastAsia"/>
          <w:color w:val="6D6D6D"/>
          <w:kern w:val="0"/>
          <w:sz w:val="23"/>
          <w:szCs w:val="23"/>
        </w:rPr>
        <w:t>转让股票时，证券登记结算公司根据其持股期限计算应纳税额，由证券公司等股票托管机构从个人资金账户中扣收并划付证券登记结算公司，证券登记结算公司应于次月5个工作日内划付挂牌公司，挂牌公司在收到税款当月的法定申报期内向主管税务机关申报缴纳，并应办理全员全额扣缴申报。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lastRenderedPageBreak/>
        <w:t>个人应在资金账户留足资金,依法履行纳税义务。证券公司等股票托管机构应依法划扣税款，对个人资金账户暂无资金或资金不足的，证券公司等股票托管机构应当及时通知个人补足资金，并划扣税款。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三、个人转让股票时，按照先进先出的原则计算持股期限，即证券账户中先取得的股票视为先转让。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应纳税所得额以个人投资者证券账户为单位计算，持股数量以每日</w:t>
      </w:r>
      <w:proofErr w:type="gramStart"/>
      <w:r w:rsidRPr="0005560F">
        <w:rPr>
          <w:rFonts w:ascii="微软雅黑" w:eastAsia="微软雅黑" w:hAnsi="微软雅黑" w:cs="宋体" w:hint="eastAsia"/>
          <w:color w:val="6D6D6D"/>
          <w:kern w:val="0"/>
          <w:sz w:val="23"/>
          <w:szCs w:val="23"/>
        </w:rPr>
        <w:t>日</w:t>
      </w:r>
      <w:proofErr w:type="gramEnd"/>
      <w:r w:rsidRPr="0005560F">
        <w:rPr>
          <w:rFonts w:ascii="微软雅黑" w:eastAsia="微软雅黑" w:hAnsi="微软雅黑" w:cs="宋体" w:hint="eastAsia"/>
          <w:color w:val="6D6D6D"/>
          <w:kern w:val="0"/>
          <w:sz w:val="23"/>
          <w:szCs w:val="23"/>
        </w:rPr>
        <w:t>终结算后个人投资者证券账户的持有记录为准，证券账户取得或转让的股票数为每日</w:t>
      </w:r>
      <w:proofErr w:type="gramStart"/>
      <w:r w:rsidRPr="0005560F">
        <w:rPr>
          <w:rFonts w:ascii="微软雅黑" w:eastAsia="微软雅黑" w:hAnsi="微软雅黑" w:cs="宋体" w:hint="eastAsia"/>
          <w:color w:val="6D6D6D"/>
          <w:kern w:val="0"/>
          <w:sz w:val="23"/>
          <w:szCs w:val="23"/>
        </w:rPr>
        <w:t>日</w:t>
      </w:r>
      <w:proofErr w:type="gramEnd"/>
      <w:r w:rsidRPr="0005560F">
        <w:rPr>
          <w:rFonts w:ascii="微软雅黑" w:eastAsia="微软雅黑" w:hAnsi="微软雅黑" w:cs="宋体" w:hint="eastAsia"/>
          <w:color w:val="6D6D6D"/>
          <w:kern w:val="0"/>
          <w:sz w:val="23"/>
          <w:szCs w:val="23"/>
        </w:rPr>
        <w:t>终结算后的净增（减）股票数。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四、对证券投资基金从挂牌公司取得的股息红利所得，按照本公告规定计征个人所得税。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五、本公告所称个人持有挂牌公司的股票包括：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（一）在全国中小企业股份转让系统挂牌前取得的股票；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（二）通过全国中小企业股份转让系统转让取得的股票；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（三）因司法扣划取得的股票；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（四）因依法继承或家庭财产分割取得的股票；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（五）通过收购取得的股票；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（六）权证行权取得的股票；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（七）</w:t>
      </w:r>
      <w:proofErr w:type="gramStart"/>
      <w:r w:rsidRPr="0005560F">
        <w:rPr>
          <w:rFonts w:ascii="微软雅黑" w:eastAsia="微软雅黑" w:hAnsi="微软雅黑" w:cs="宋体" w:hint="eastAsia"/>
          <w:color w:val="6D6D6D"/>
          <w:kern w:val="0"/>
          <w:sz w:val="23"/>
          <w:szCs w:val="23"/>
        </w:rPr>
        <w:t>使用附认股权</w:t>
      </w:r>
      <w:proofErr w:type="gramEnd"/>
      <w:r w:rsidRPr="0005560F">
        <w:rPr>
          <w:rFonts w:ascii="微软雅黑" w:eastAsia="微软雅黑" w:hAnsi="微软雅黑" w:cs="宋体" w:hint="eastAsia"/>
          <w:color w:val="6D6D6D"/>
          <w:kern w:val="0"/>
          <w:sz w:val="23"/>
          <w:szCs w:val="23"/>
        </w:rPr>
        <w:t>、可转换成股份条款的公司债券认购或者转换的股票；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（八）取得发行的股票、配股、股票股利及公积金转增股本；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（九）挂牌公司合并，个人持有的被合并公司股票转换的合并后公司股票；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（十）挂牌公司分立，个人持有的被分立公司股票转换的分立后公司股票；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（十一）其他从全国中小企业股份转让系统取得的股票。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lastRenderedPageBreak/>
        <w:t>六、本公告所称转让股票包括下列情形：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（一）通过全国中小企业股份转让系统转让股票；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（二）持有的股票被司法扣划；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（三）因依法继承、捐赠或家庭财产分割让</w:t>
      </w:r>
      <w:proofErr w:type="gramStart"/>
      <w:r w:rsidRPr="0005560F">
        <w:rPr>
          <w:rFonts w:ascii="微软雅黑" w:eastAsia="微软雅黑" w:hAnsi="微软雅黑" w:cs="宋体" w:hint="eastAsia"/>
          <w:color w:val="6D6D6D"/>
          <w:kern w:val="0"/>
          <w:sz w:val="23"/>
          <w:szCs w:val="23"/>
        </w:rPr>
        <w:t>渡股票</w:t>
      </w:r>
      <w:proofErr w:type="gramEnd"/>
      <w:r w:rsidRPr="0005560F">
        <w:rPr>
          <w:rFonts w:ascii="微软雅黑" w:eastAsia="微软雅黑" w:hAnsi="微软雅黑" w:cs="宋体" w:hint="eastAsia"/>
          <w:color w:val="6D6D6D"/>
          <w:kern w:val="0"/>
          <w:sz w:val="23"/>
          <w:szCs w:val="23"/>
        </w:rPr>
        <w:t>所有权；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（四）用股票接受要约收购；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（五）行使现金选择权将股票转让给提供现金选择权的第三方；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（六）用股票认购或申购交易型开放式指数基金（ETF）份额；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（七）其他具有转让实质的情形。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七、对个人和证券投资基金从全国中小企业股份转让系统挂牌的原STAQ、NET系统挂牌公司（以下简称两网公司）以及全国中小企业股份转让系统挂牌的退市公司取得的股息红利所得，按照本公告规定计征个人所得税，但退市公司的限售股按照《财政部 国家税务总局 证监会关于实施上市公司股息红利差别化个人所得税政策有关问题的通知》（财税〔2012〕85号）第四条规定执行。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八、本公告所称年（月）是指自然年（月），即持股一年是指从上一年某月某日至本年同月同日的前一日连续持股，持股一个月是指从上月某日至本月同日的前一日连续持股。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九、财政、税务、证监等部门要加强协调、通力合作，切实做好政策实施的各项工作。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挂牌公司、两网公司、退市公司，证券登记结算公司以及证券公司等股票托管机构应积极配合税务机关做好股息红利个人所得税征收管理工作。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十、本公告自2019年7月1日起至2024年6月30日</w:t>
      </w:r>
      <w:proofErr w:type="gramStart"/>
      <w:r w:rsidRPr="0005560F">
        <w:rPr>
          <w:rFonts w:ascii="微软雅黑" w:eastAsia="微软雅黑" w:hAnsi="微软雅黑" w:cs="宋体" w:hint="eastAsia"/>
          <w:color w:val="6D6D6D"/>
          <w:kern w:val="0"/>
          <w:sz w:val="23"/>
          <w:szCs w:val="23"/>
        </w:rPr>
        <w:t>止</w:t>
      </w:r>
      <w:proofErr w:type="gramEnd"/>
      <w:r w:rsidRPr="0005560F">
        <w:rPr>
          <w:rFonts w:ascii="微软雅黑" w:eastAsia="微软雅黑" w:hAnsi="微软雅黑" w:cs="宋体" w:hint="eastAsia"/>
          <w:color w:val="6D6D6D"/>
          <w:kern w:val="0"/>
          <w:sz w:val="23"/>
          <w:szCs w:val="23"/>
        </w:rPr>
        <w:t>执行，挂牌公司、两网公司、退市公司派发股息红利，股权登记日在2019年7月1日至2024年6</w:t>
      </w:r>
      <w:r w:rsidRPr="0005560F">
        <w:rPr>
          <w:rFonts w:ascii="微软雅黑" w:eastAsia="微软雅黑" w:hAnsi="微软雅黑" w:cs="宋体" w:hint="eastAsia"/>
          <w:color w:val="6D6D6D"/>
          <w:kern w:val="0"/>
          <w:sz w:val="23"/>
          <w:szCs w:val="23"/>
        </w:rPr>
        <w:lastRenderedPageBreak/>
        <w:t>月30日的，股息红利所得按照本公告的规定执行。本公告实施之</w:t>
      </w:r>
      <w:proofErr w:type="gramStart"/>
      <w:r w:rsidRPr="0005560F">
        <w:rPr>
          <w:rFonts w:ascii="微软雅黑" w:eastAsia="微软雅黑" w:hAnsi="微软雅黑" w:cs="宋体" w:hint="eastAsia"/>
          <w:color w:val="6D6D6D"/>
          <w:kern w:val="0"/>
          <w:sz w:val="23"/>
          <w:szCs w:val="23"/>
        </w:rPr>
        <w:t>日个人</w:t>
      </w:r>
      <w:proofErr w:type="gramEnd"/>
      <w:r w:rsidRPr="0005560F">
        <w:rPr>
          <w:rFonts w:ascii="微软雅黑" w:eastAsia="微软雅黑" w:hAnsi="微软雅黑" w:cs="宋体" w:hint="eastAsia"/>
          <w:color w:val="6D6D6D"/>
          <w:kern w:val="0"/>
          <w:sz w:val="23"/>
          <w:szCs w:val="23"/>
        </w:rPr>
        <w:t>投资者证券账户已持有的挂牌公司、两网公司、退市公司股票，其持股时间自取得之日起计算。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十一、《财政部 国家税务总局 证监会关于实施全国中小企业股份转让系统挂牌公司股息红利差别化个人所得税政策有关问题的通知》（财税〔2014〕48号）以及《财政部 国家税务总局 证监会关于上市公司股息红利差别化个人所得税政策有关问题的通知》（财税〔2015〕101号）第四条废止。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特此公告。 </w:t>
      </w:r>
    </w:p>
    <w:p w:rsidR="0005560F" w:rsidRPr="0005560F" w:rsidRDefault="0005560F" w:rsidP="0005560F">
      <w:pPr>
        <w:widowControl/>
        <w:ind w:firstLine="465"/>
        <w:jc w:val="lef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br/>
      </w:r>
    </w:p>
    <w:p w:rsidR="0005560F" w:rsidRPr="0005560F" w:rsidRDefault="0005560F" w:rsidP="0005560F">
      <w:pPr>
        <w:widowControl/>
        <w:ind w:firstLine="465"/>
        <w:jc w:val="righ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 xml:space="preserve">　　                                                  财政部　  税务总局　　证监会 </w:t>
      </w:r>
    </w:p>
    <w:p w:rsidR="0005560F" w:rsidRPr="0005560F" w:rsidRDefault="0005560F" w:rsidP="0005560F">
      <w:pPr>
        <w:widowControl/>
        <w:ind w:firstLine="465"/>
        <w:jc w:val="right"/>
        <w:rPr>
          <w:rFonts w:ascii="微软雅黑" w:eastAsia="微软雅黑" w:hAnsi="微软雅黑" w:cs="宋体" w:hint="eastAsia"/>
          <w:color w:val="333333"/>
          <w:kern w:val="0"/>
          <w:szCs w:val="21"/>
        </w:rPr>
      </w:pPr>
      <w:r w:rsidRPr="0005560F">
        <w:rPr>
          <w:rFonts w:ascii="微软雅黑" w:eastAsia="微软雅黑" w:hAnsi="微软雅黑" w:cs="宋体" w:hint="eastAsia"/>
          <w:color w:val="6D6D6D"/>
          <w:kern w:val="0"/>
          <w:sz w:val="23"/>
          <w:szCs w:val="23"/>
        </w:rPr>
        <w:t xml:space="preserve">　　                                                         2019年7月12日</w:t>
      </w:r>
    </w:p>
    <w:p w:rsidR="000C7289" w:rsidRDefault="0005560F">
      <w:r>
        <w:rPr>
          <w:rFonts w:hint="eastAsia"/>
        </w:rPr>
        <w:t>v</w:t>
      </w:r>
    </w:p>
    <w:sectPr w:rsidR="000C72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60F"/>
    <w:rsid w:val="00010054"/>
    <w:rsid w:val="00022643"/>
    <w:rsid w:val="00035ED1"/>
    <w:rsid w:val="0004298D"/>
    <w:rsid w:val="00042EEA"/>
    <w:rsid w:val="0004490F"/>
    <w:rsid w:val="00050EB6"/>
    <w:rsid w:val="0005560F"/>
    <w:rsid w:val="000637DD"/>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24068"/>
    <w:rsid w:val="00332F79"/>
    <w:rsid w:val="003832A8"/>
    <w:rsid w:val="00390B99"/>
    <w:rsid w:val="00394118"/>
    <w:rsid w:val="00407171"/>
    <w:rsid w:val="0041206D"/>
    <w:rsid w:val="0041305E"/>
    <w:rsid w:val="00414D74"/>
    <w:rsid w:val="00416965"/>
    <w:rsid w:val="00425AEF"/>
    <w:rsid w:val="004263DD"/>
    <w:rsid w:val="00430F56"/>
    <w:rsid w:val="004451A1"/>
    <w:rsid w:val="004653C9"/>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65CBF"/>
    <w:rsid w:val="009D02E2"/>
    <w:rsid w:val="009D62FC"/>
    <w:rsid w:val="009D7264"/>
    <w:rsid w:val="009F7DD9"/>
    <w:rsid w:val="00A01876"/>
    <w:rsid w:val="00A445E6"/>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E48A0"/>
  <w15:chartTrackingRefBased/>
  <w15:docId w15:val="{48EA86C5-B59F-422D-BEB3-D77BA9AE9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atespan">
    <w:name w:val="date_span"/>
    <w:basedOn w:val="a0"/>
    <w:rsid w:val="0005560F"/>
  </w:style>
  <w:style w:type="character" w:customStyle="1" w:styleId="numspan">
    <w:name w:val="num_span"/>
    <w:basedOn w:val="a0"/>
    <w:rsid w:val="0005560F"/>
  </w:style>
  <w:style w:type="character" w:styleId="a3">
    <w:name w:val="Hyperlink"/>
    <w:basedOn w:val="a0"/>
    <w:uiPriority w:val="99"/>
    <w:semiHidden/>
    <w:unhideWhenUsed/>
    <w:rsid w:val="0005560F"/>
    <w:rPr>
      <w:color w:val="0000FF"/>
      <w:u w:val="single"/>
    </w:rPr>
  </w:style>
  <w:style w:type="character" w:customStyle="1" w:styleId="downspan">
    <w:name w:val="down_span"/>
    <w:basedOn w:val="a0"/>
    <w:rsid w:val="0005560F"/>
  </w:style>
  <w:style w:type="character" w:customStyle="1" w:styleId="downa">
    <w:name w:val="down_a"/>
    <w:basedOn w:val="a0"/>
    <w:rsid w:val="0005560F"/>
  </w:style>
  <w:style w:type="character" w:customStyle="1" w:styleId="upspan">
    <w:name w:val="up_span"/>
    <w:basedOn w:val="a0"/>
    <w:rsid w:val="0005560F"/>
  </w:style>
  <w:style w:type="character" w:customStyle="1" w:styleId="upa">
    <w:name w:val="up_a"/>
    <w:basedOn w:val="a0"/>
    <w:rsid w:val="0005560F"/>
  </w:style>
  <w:style w:type="paragraph" w:styleId="a4">
    <w:name w:val="Normal (Web)"/>
    <w:basedOn w:val="a"/>
    <w:uiPriority w:val="99"/>
    <w:semiHidden/>
    <w:unhideWhenUsed/>
    <w:rsid w:val="0005560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123849">
      <w:bodyDiv w:val="1"/>
      <w:marLeft w:val="0"/>
      <w:marRight w:val="0"/>
      <w:marTop w:val="0"/>
      <w:marBottom w:val="0"/>
      <w:divBdr>
        <w:top w:val="none" w:sz="0" w:space="0" w:color="auto"/>
        <w:left w:val="none" w:sz="0" w:space="0" w:color="auto"/>
        <w:bottom w:val="none" w:sz="0" w:space="0" w:color="auto"/>
        <w:right w:val="none" w:sz="0" w:space="0" w:color="auto"/>
      </w:divBdr>
      <w:divsChild>
        <w:div w:id="190844207">
          <w:marLeft w:val="0"/>
          <w:marRight w:val="0"/>
          <w:marTop w:val="0"/>
          <w:marBottom w:val="0"/>
          <w:divBdr>
            <w:top w:val="none" w:sz="0" w:space="0" w:color="auto"/>
            <w:left w:val="single" w:sz="12" w:space="15" w:color="CC333B"/>
            <w:bottom w:val="none" w:sz="0" w:space="0" w:color="auto"/>
            <w:right w:val="none" w:sz="0" w:space="0" w:color="auto"/>
          </w:divBdr>
        </w:div>
        <w:div w:id="1749688388">
          <w:marLeft w:val="0"/>
          <w:marRight w:val="0"/>
          <w:marTop w:val="0"/>
          <w:marBottom w:val="0"/>
          <w:divBdr>
            <w:top w:val="none" w:sz="0" w:space="0" w:color="auto"/>
            <w:left w:val="none" w:sz="0" w:space="0" w:color="auto"/>
            <w:bottom w:val="none" w:sz="0" w:space="0" w:color="auto"/>
            <w:right w:val="none" w:sz="0" w:space="0" w:color="auto"/>
          </w:divBdr>
          <w:divsChild>
            <w:div w:id="1400710529">
              <w:marLeft w:val="0"/>
              <w:marRight w:val="0"/>
              <w:marTop w:val="0"/>
              <w:marBottom w:val="0"/>
              <w:divBdr>
                <w:top w:val="none" w:sz="0" w:space="0" w:color="auto"/>
                <w:left w:val="none" w:sz="0" w:space="0" w:color="auto"/>
                <w:bottom w:val="none" w:sz="0" w:space="0" w:color="auto"/>
                <w:right w:val="none" w:sz="0" w:space="0" w:color="auto"/>
              </w:divBdr>
            </w:div>
            <w:div w:id="14176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ervice.weibo.com/share/share.php?appkey=&amp;title=%27%E8%B4%A2%E6%94%BF%E9%83%A8%20%E7%A8%8E%E5%8A%A1%E6%80%BB%E5%B1%80%20%E8%AF%81%E7%9B%91%E4%BC%9A%E5%85%AC%E5%91%8A2019%E5%B9%B4%E7%AC%AC78%E5%8F%B7%E7%8E%B0%E5%B0%B1%E7%BB%A7%E7%BB%AD%E5%AE%9E%E6%96%BD%E5%85%A8%E5%9B%BD%E4%B8%AD%E5%B0%8F%E4%BC%81%E4%B8%9A%E8%82%A1%E4%BB%BD%E8%BD%AC%E8%AE%A9%E7%B3%BB%E7%BB%9F%E6%8C%82%E7%89%8C%E5%85%AC%E5%8F%B8%EF%BC%88%E4%BB%A5%E4%B8%8B%E7%AE%80%E7%A7%B0%E6%8C%82%E7%89%8C%E5%85%AC%E5%8F%B8%EF%BC%89%E8%82%A1%E6%81%AF%E7%BA%A2%E5%88%A9%E5%B7%AE%E5%88%AB%E5%8C%96%E4%B8%AA%E4%BA%BA%E6%89%80%E5%BE%97%E7%A8%8E%E6%94%BF%E7%AD%96%E5%85%AC%E5%91%8A%E5%A6%82%E4%B8%8B%EF%BC%9A%C2%A0%E4%B8%80%E3%80%81%E4%B8%AA%E4%BA%BA%E6%8C%81%E6%9C%89%E6%8C%82%E7%89%8C%E5%85%AC%E5%8F%B8%E7%9A%84%E8%82%A1%E7%A5%A8%EF%BC%8C%E6%8C%81%E8%82%A1%E6%9C%9F%E9%99%90%E8%B6%85%E8%BF%871%E5%B9%B4%E7%9A%84%EF%BC%8C%E5%AF%B9%E8%82%A1%E6%81%AF%E7%BA%A2%E5%88%A9%E6%89%80%E5%BE%97%E6%9A%82%E5%85%8D%E5%BE%81%E6%94%B6%E4%B8%AA%E4%BA%BA%E6%89%80%E5%BE%97%E7%A8%8E%E3%80%82%C2%A0%E4%B8%AA%E4%BA%BA%E6%8C%81%E6%9C%89%E6%8C%82%E7%89%8C%E5%85%AC%E5%8F%B8%E7%9A%84%E8%82%A1%E7%A5%A8%EF%BC%8C%E6%8C%81%E8%82%A1%E6%9C%9F%E9%99%90%E5%9C%A81%E4%B8%AA%E6%9C%88%E4%BB%A5%E5%86%85%EF%BC%88%E5%90%AB1%E4%B8%AA%E6%9C%88%EF%BC%89%E7%9A%84%EF%BC%8C%E5%85%B6%E8%82%A1%E6%81%AF%27&amp;url=http://www.neeq.com.cn//www.neeq.com.cn/regulation_list/200006334.html&amp;pic=&amp;searchPic=false&amp;style=simpl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javascript:void(0);"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1</cp:revision>
  <dcterms:created xsi:type="dcterms:W3CDTF">2020-01-09T01:49:00Z</dcterms:created>
  <dcterms:modified xsi:type="dcterms:W3CDTF">2020-01-09T01:54:00Z</dcterms:modified>
</cp:coreProperties>
</file>