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A9715" w14:textId="77777777" w:rsidR="00B2171E" w:rsidRPr="00B2171E" w:rsidRDefault="00B2171E" w:rsidP="00B2171E">
      <w:pPr>
        <w:widowControl/>
        <w:numPr>
          <w:ilvl w:val="0"/>
          <w:numId w:val="1"/>
        </w:numPr>
        <w:shd w:val="clear" w:color="auto" w:fill="FFFFFF"/>
        <w:spacing w:line="420" w:lineRule="atLeast"/>
        <w:ind w:left="0"/>
        <w:jc w:val="center"/>
        <w:rPr>
          <w:rFonts w:ascii="微软雅黑" w:eastAsia="微软雅黑" w:hAnsi="微软雅黑" w:cs="宋体"/>
          <w:color w:val="0066CC"/>
          <w:kern w:val="0"/>
          <w:sz w:val="36"/>
          <w:szCs w:val="36"/>
        </w:rPr>
      </w:pPr>
      <w:r w:rsidRPr="00B2171E">
        <w:rPr>
          <w:rFonts w:ascii="微软雅黑" w:eastAsia="微软雅黑" w:hAnsi="微软雅黑" w:cs="宋体" w:hint="eastAsia"/>
          <w:color w:val="0066CC"/>
          <w:kern w:val="0"/>
          <w:sz w:val="36"/>
          <w:szCs w:val="36"/>
        </w:rPr>
        <w:t>财政部 国家税务总局 证监会</w:t>
      </w:r>
    </w:p>
    <w:p w14:paraId="2AC2DF1D" w14:textId="77777777" w:rsidR="00B2171E" w:rsidRPr="00B2171E" w:rsidRDefault="00B2171E" w:rsidP="00B2171E">
      <w:pPr>
        <w:widowControl/>
        <w:numPr>
          <w:ilvl w:val="0"/>
          <w:numId w:val="1"/>
        </w:numPr>
        <w:shd w:val="clear" w:color="auto" w:fill="FFFFFF"/>
        <w:spacing w:line="750" w:lineRule="atLeast"/>
        <w:ind w:left="0"/>
        <w:jc w:val="center"/>
        <w:rPr>
          <w:rFonts w:ascii="微软雅黑" w:eastAsia="微软雅黑" w:hAnsi="微软雅黑" w:cs="宋体" w:hint="eastAsia"/>
          <w:color w:val="CC0000"/>
          <w:kern w:val="0"/>
          <w:sz w:val="42"/>
          <w:szCs w:val="42"/>
        </w:rPr>
      </w:pPr>
      <w:r w:rsidRPr="00B2171E">
        <w:rPr>
          <w:rFonts w:ascii="微软雅黑" w:eastAsia="微软雅黑" w:hAnsi="微软雅黑" w:cs="宋体" w:hint="eastAsia"/>
          <w:color w:val="CC0000"/>
          <w:kern w:val="0"/>
          <w:sz w:val="42"/>
          <w:szCs w:val="42"/>
        </w:rPr>
        <w:t>关于个人转让上市公司限售股所得征收个人所得</w:t>
      </w:r>
      <w:proofErr w:type="gramStart"/>
      <w:r w:rsidRPr="00B2171E">
        <w:rPr>
          <w:rFonts w:ascii="微软雅黑" w:eastAsia="微软雅黑" w:hAnsi="微软雅黑" w:cs="宋体" w:hint="eastAsia"/>
          <w:color w:val="CC0000"/>
          <w:kern w:val="0"/>
          <w:sz w:val="42"/>
          <w:szCs w:val="42"/>
        </w:rPr>
        <w:t>税有关</w:t>
      </w:r>
      <w:proofErr w:type="gramEnd"/>
      <w:r w:rsidRPr="00B2171E">
        <w:rPr>
          <w:rFonts w:ascii="微软雅黑" w:eastAsia="微软雅黑" w:hAnsi="微软雅黑" w:cs="宋体" w:hint="eastAsia"/>
          <w:color w:val="CC0000"/>
          <w:kern w:val="0"/>
          <w:sz w:val="42"/>
          <w:szCs w:val="42"/>
        </w:rPr>
        <w:t>问题的通知</w:t>
      </w:r>
    </w:p>
    <w:p w14:paraId="10F63740" w14:textId="77777777" w:rsidR="00B2171E" w:rsidRPr="00B2171E" w:rsidRDefault="00B2171E" w:rsidP="00B2171E">
      <w:pPr>
        <w:widowControl/>
        <w:numPr>
          <w:ilvl w:val="0"/>
          <w:numId w:val="1"/>
        </w:numPr>
        <w:shd w:val="clear" w:color="auto" w:fill="FFFFFF"/>
        <w:spacing w:line="450" w:lineRule="atLeast"/>
        <w:ind w:left="0"/>
        <w:jc w:val="center"/>
        <w:rPr>
          <w:rFonts w:ascii="微软雅黑" w:eastAsia="微软雅黑" w:hAnsi="微软雅黑" w:cs="宋体" w:hint="eastAsia"/>
          <w:color w:val="333333"/>
          <w:kern w:val="0"/>
          <w:szCs w:val="21"/>
        </w:rPr>
      </w:pPr>
      <w:r w:rsidRPr="00B2171E">
        <w:rPr>
          <w:rFonts w:ascii="微软雅黑" w:eastAsia="微软雅黑" w:hAnsi="微软雅黑" w:cs="宋体" w:hint="eastAsia"/>
          <w:color w:val="333333"/>
          <w:kern w:val="0"/>
          <w:szCs w:val="21"/>
        </w:rPr>
        <w:t>财税[2009]167号</w:t>
      </w:r>
    </w:p>
    <w:p w14:paraId="55431B8B" w14:textId="77777777" w:rsidR="00B2171E" w:rsidRPr="00B2171E" w:rsidRDefault="00B2171E" w:rsidP="00B2171E">
      <w:pPr>
        <w:widowControl/>
        <w:numPr>
          <w:ilvl w:val="0"/>
          <w:numId w:val="1"/>
        </w:numPr>
        <w:shd w:val="clear" w:color="auto" w:fill="FFFFFF"/>
        <w:spacing w:line="540" w:lineRule="atLeast"/>
        <w:ind w:left="0"/>
        <w:jc w:val="left"/>
        <w:rPr>
          <w:rFonts w:ascii="宋体" w:eastAsia="宋体" w:hAnsi="宋体" w:cs="宋体" w:hint="eastAsia"/>
          <w:color w:val="333333"/>
          <w:kern w:val="0"/>
          <w:sz w:val="24"/>
          <w:szCs w:val="24"/>
        </w:rPr>
      </w:pPr>
      <w:bookmarkStart w:id="0" w:name="_GoBack"/>
      <w:bookmarkEnd w:id="0"/>
      <w:r w:rsidRPr="00B2171E">
        <w:rPr>
          <w:rFonts w:ascii="宋体" w:eastAsia="宋体" w:hAnsi="宋体" w:cs="宋体" w:hint="eastAsia"/>
          <w:color w:val="333333"/>
          <w:kern w:val="0"/>
          <w:sz w:val="24"/>
          <w:szCs w:val="24"/>
        </w:rPr>
        <w:t xml:space="preserve">各省、自治区、直辖市、计划单列市财政厅（局）、国家税务局、地方税务局，新疆生产建设兵团财务局，上海、深圳证券交易所，中国证券登记结算公司： </w:t>
      </w:r>
      <w:r w:rsidRPr="00B2171E">
        <w:rPr>
          <w:rFonts w:ascii="宋体" w:eastAsia="宋体" w:hAnsi="宋体" w:cs="宋体" w:hint="eastAsia"/>
          <w:color w:val="333333"/>
          <w:kern w:val="0"/>
          <w:sz w:val="24"/>
          <w:szCs w:val="24"/>
        </w:rPr>
        <w:br/>
        <w:t xml:space="preserve">    为进一步完善股权分置改革后的相关制度，发挥税收对高收入者的调节作用，促进资本市场长期稳定健康发展，经国务院批准，现就个人转让上市公司限售流通股（以下简称限售股）取得的所得征收个人所得税有关问题通知如下： </w:t>
      </w:r>
      <w:r w:rsidRPr="00B2171E">
        <w:rPr>
          <w:rFonts w:ascii="宋体" w:eastAsia="宋体" w:hAnsi="宋体" w:cs="宋体" w:hint="eastAsia"/>
          <w:color w:val="333333"/>
          <w:kern w:val="0"/>
          <w:sz w:val="24"/>
          <w:szCs w:val="24"/>
        </w:rPr>
        <w:br/>
        <w:t xml:space="preserve">    一、自2010年1月1日起，对个人转让限售股取得的所得，按照“财产转让所得”，适用20%的比例税率征收个人所得税。 </w:t>
      </w:r>
      <w:r w:rsidRPr="00B2171E">
        <w:rPr>
          <w:rFonts w:ascii="宋体" w:eastAsia="宋体" w:hAnsi="宋体" w:cs="宋体" w:hint="eastAsia"/>
          <w:color w:val="333333"/>
          <w:kern w:val="0"/>
          <w:sz w:val="24"/>
          <w:szCs w:val="24"/>
        </w:rPr>
        <w:br/>
        <w:t xml:space="preserve">    二、本通知所称限售股，包括： </w:t>
      </w:r>
      <w:r w:rsidRPr="00B2171E">
        <w:rPr>
          <w:rFonts w:ascii="宋体" w:eastAsia="宋体" w:hAnsi="宋体" w:cs="宋体" w:hint="eastAsia"/>
          <w:color w:val="333333"/>
          <w:kern w:val="0"/>
          <w:sz w:val="24"/>
          <w:szCs w:val="24"/>
        </w:rPr>
        <w:br/>
        <w:t>    1.上市公司股权分置改革完成后股票复牌日之前股东所持原非流通股股份，以及股票复牌日至解禁日期间由上述股份孳生的送、转股（以下</w:t>
      </w:r>
      <w:proofErr w:type="gramStart"/>
      <w:r w:rsidRPr="00B2171E">
        <w:rPr>
          <w:rFonts w:ascii="宋体" w:eastAsia="宋体" w:hAnsi="宋体" w:cs="宋体" w:hint="eastAsia"/>
          <w:color w:val="333333"/>
          <w:kern w:val="0"/>
          <w:sz w:val="24"/>
          <w:szCs w:val="24"/>
        </w:rPr>
        <w:t>统称股</w:t>
      </w:r>
      <w:proofErr w:type="gramEnd"/>
      <w:r w:rsidRPr="00B2171E">
        <w:rPr>
          <w:rFonts w:ascii="宋体" w:eastAsia="宋体" w:hAnsi="宋体" w:cs="宋体" w:hint="eastAsia"/>
          <w:color w:val="333333"/>
          <w:kern w:val="0"/>
          <w:sz w:val="24"/>
          <w:szCs w:val="24"/>
        </w:rPr>
        <w:t xml:space="preserve">改限售股）； </w:t>
      </w:r>
      <w:r w:rsidRPr="00B2171E">
        <w:rPr>
          <w:rFonts w:ascii="宋体" w:eastAsia="宋体" w:hAnsi="宋体" w:cs="宋体" w:hint="eastAsia"/>
          <w:color w:val="333333"/>
          <w:kern w:val="0"/>
          <w:sz w:val="24"/>
          <w:szCs w:val="24"/>
        </w:rPr>
        <w:br/>
        <w:t xml:space="preserve">    2.2006年股权分置改革新老划断后，首次公开发行股票并上市的公司形成的限售股，以及上市首日至解禁日期间由上述股份孳生的送、转股（以下统称新股限售股）； </w:t>
      </w:r>
      <w:r w:rsidRPr="00B2171E">
        <w:rPr>
          <w:rFonts w:ascii="宋体" w:eastAsia="宋体" w:hAnsi="宋体" w:cs="宋体" w:hint="eastAsia"/>
          <w:color w:val="333333"/>
          <w:kern w:val="0"/>
          <w:sz w:val="24"/>
          <w:szCs w:val="24"/>
        </w:rPr>
        <w:br/>
        <w:t xml:space="preserve">    3.财政部、税务总局、法制办和证监会共同确定的其他限售股。 </w:t>
      </w:r>
      <w:r w:rsidRPr="00B2171E">
        <w:rPr>
          <w:rFonts w:ascii="宋体" w:eastAsia="宋体" w:hAnsi="宋体" w:cs="宋体" w:hint="eastAsia"/>
          <w:color w:val="333333"/>
          <w:kern w:val="0"/>
          <w:sz w:val="24"/>
          <w:szCs w:val="24"/>
        </w:rPr>
        <w:br/>
        <w:t xml:space="preserve">    三、个人转让限售股，以每次限售股转让收入，减除股票原值和合理税费后的余额，为应纳税所得额。即： </w:t>
      </w:r>
      <w:r w:rsidRPr="00B2171E">
        <w:rPr>
          <w:rFonts w:ascii="宋体" w:eastAsia="宋体" w:hAnsi="宋体" w:cs="宋体" w:hint="eastAsia"/>
          <w:color w:val="333333"/>
          <w:kern w:val="0"/>
          <w:sz w:val="24"/>
          <w:szCs w:val="24"/>
        </w:rPr>
        <w:br/>
        <w:t xml:space="preserve">    应纳税所得额＝限售股转让收入－（限售股原值+合理税费） </w:t>
      </w:r>
      <w:r w:rsidRPr="00B2171E">
        <w:rPr>
          <w:rFonts w:ascii="宋体" w:eastAsia="宋体" w:hAnsi="宋体" w:cs="宋体" w:hint="eastAsia"/>
          <w:color w:val="333333"/>
          <w:kern w:val="0"/>
          <w:sz w:val="24"/>
          <w:szCs w:val="24"/>
        </w:rPr>
        <w:br/>
      </w:r>
      <w:r w:rsidRPr="00B2171E">
        <w:rPr>
          <w:rFonts w:ascii="宋体" w:eastAsia="宋体" w:hAnsi="宋体" w:cs="宋体" w:hint="eastAsia"/>
          <w:color w:val="333333"/>
          <w:kern w:val="0"/>
          <w:sz w:val="24"/>
          <w:szCs w:val="24"/>
        </w:rPr>
        <w:lastRenderedPageBreak/>
        <w:t xml:space="preserve">    应纳税额 = 应纳税所得额×20% </w:t>
      </w:r>
      <w:r w:rsidRPr="00B2171E">
        <w:rPr>
          <w:rFonts w:ascii="宋体" w:eastAsia="宋体" w:hAnsi="宋体" w:cs="宋体" w:hint="eastAsia"/>
          <w:color w:val="333333"/>
          <w:kern w:val="0"/>
          <w:sz w:val="24"/>
          <w:szCs w:val="24"/>
        </w:rPr>
        <w:br/>
        <w:t xml:space="preserve">    本通知所称的限售股转让收入，是指转让限售股股票实际取得的收入。限售股原值，是指限售股买入时的买入价及按照规定缴纳的有关费用。合理税费，是指转让限售股过程中发生的印花税、佣金、过户费等与交易相关的税费。 </w:t>
      </w:r>
      <w:r w:rsidRPr="00B2171E">
        <w:rPr>
          <w:rFonts w:ascii="宋体" w:eastAsia="宋体" w:hAnsi="宋体" w:cs="宋体" w:hint="eastAsia"/>
          <w:color w:val="333333"/>
          <w:kern w:val="0"/>
          <w:sz w:val="24"/>
          <w:szCs w:val="24"/>
        </w:rPr>
        <w:br/>
        <w:t xml:space="preserve">    如果纳税人未能提供完整、真实的限售股原值凭证的，不能准确计算限售股原值的，主管税务机关一律按限售股转让收入的15%核定限售股原值及合理税费。 </w:t>
      </w:r>
      <w:r w:rsidRPr="00B2171E">
        <w:rPr>
          <w:rFonts w:ascii="宋体" w:eastAsia="宋体" w:hAnsi="宋体" w:cs="宋体" w:hint="eastAsia"/>
          <w:color w:val="333333"/>
          <w:kern w:val="0"/>
          <w:sz w:val="24"/>
          <w:szCs w:val="24"/>
        </w:rPr>
        <w:br/>
        <w:t xml:space="preserve">    四、限售股转让所得个人所得税，以限售股持有者为纳税义务人，以个人股东开户的证券机构为扣缴义务人。限售股个人所得税由证券机构所在地主管税务机关负责征收管理。 </w:t>
      </w:r>
      <w:r w:rsidRPr="00B2171E">
        <w:rPr>
          <w:rFonts w:ascii="宋体" w:eastAsia="宋体" w:hAnsi="宋体" w:cs="宋体" w:hint="eastAsia"/>
          <w:color w:val="333333"/>
          <w:kern w:val="0"/>
          <w:sz w:val="24"/>
          <w:szCs w:val="24"/>
        </w:rPr>
        <w:br/>
        <w:t xml:space="preserve">    五、限售股转让所得个人所得税，采取证券机构预扣预缴、纳税人自行申报清算和证券机构直接扣缴相结合的方式征收。证券机构预扣预缴的税款，于次月7日内以纳税保证金形式向主管税务机关缴纳。主管税务机关在收取纳税保证金时，应向证券机构开具《中华人民共和国纳税保证金收据》，并纳入专户存储。 </w:t>
      </w:r>
      <w:r w:rsidRPr="00B2171E">
        <w:rPr>
          <w:rFonts w:ascii="宋体" w:eastAsia="宋体" w:hAnsi="宋体" w:cs="宋体" w:hint="eastAsia"/>
          <w:color w:val="333333"/>
          <w:kern w:val="0"/>
          <w:sz w:val="24"/>
          <w:szCs w:val="24"/>
        </w:rPr>
        <w:br/>
        <w:t xml:space="preserve">    根据证券机构技术和制度准备完成情况，对不同阶段形成的限售股，采取不同的征收管理办法。 </w:t>
      </w:r>
      <w:r w:rsidRPr="00B2171E">
        <w:rPr>
          <w:rFonts w:ascii="宋体" w:eastAsia="宋体" w:hAnsi="宋体" w:cs="宋体" w:hint="eastAsia"/>
          <w:color w:val="333333"/>
          <w:kern w:val="0"/>
          <w:sz w:val="24"/>
          <w:szCs w:val="24"/>
        </w:rPr>
        <w:br/>
        <w:t>    （一）证券机构技术和制度准备完成前形成的限售股，证券机构按照股改限售</w:t>
      </w:r>
      <w:proofErr w:type="gramStart"/>
      <w:r w:rsidRPr="00B2171E">
        <w:rPr>
          <w:rFonts w:ascii="宋体" w:eastAsia="宋体" w:hAnsi="宋体" w:cs="宋体" w:hint="eastAsia"/>
          <w:color w:val="333333"/>
          <w:kern w:val="0"/>
          <w:sz w:val="24"/>
          <w:szCs w:val="24"/>
        </w:rPr>
        <w:t>股股改复牌</w:t>
      </w:r>
      <w:proofErr w:type="gramEnd"/>
      <w:r w:rsidRPr="00B2171E">
        <w:rPr>
          <w:rFonts w:ascii="宋体" w:eastAsia="宋体" w:hAnsi="宋体" w:cs="宋体" w:hint="eastAsia"/>
          <w:color w:val="333333"/>
          <w:kern w:val="0"/>
          <w:sz w:val="24"/>
          <w:szCs w:val="24"/>
        </w:rPr>
        <w:t xml:space="preserve">日收盘价，或新股限售股上市首日收盘价计算转让收入，按照计算出的转让收入的15%确定限售股原值和合理税费，以转让收入减去原值和合理税费后的余额，适用20%税率，计算预扣预缴个人所得税额。 </w:t>
      </w:r>
      <w:r w:rsidRPr="00B2171E">
        <w:rPr>
          <w:rFonts w:ascii="宋体" w:eastAsia="宋体" w:hAnsi="宋体" w:cs="宋体" w:hint="eastAsia"/>
          <w:color w:val="333333"/>
          <w:kern w:val="0"/>
          <w:sz w:val="24"/>
          <w:szCs w:val="24"/>
        </w:rPr>
        <w:br/>
        <w:t>    纳税人按照实际转让收入与实际成本计算出的应纳税额，与证券机构</w:t>
      </w:r>
      <w:proofErr w:type="gramStart"/>
      <w:r w:rsidRPr="00B2171E">
        <w:rPr>
          <w:rFonts w:ascii="宋体" w:eastAsia="宋体" w:hAnsi="宋体" w:cs="宋体" w:hint="eastAsia"/>
          <w:color w:val="333333"/>
          <w:kern w:val="0"/>
          <w:sz w:val="24"/>
          <w:szCs w:val="24"/>
        </w:rPr>
        <w:t>预扣预缴税</w:t>
      </w:r>
      <w:proofErr w:type="gramEnd"/>
      <w:r w:rsidRPr="00B2171E">
        <w:rPr>
          <w:rFonts w:ascii="宋体" w:eastAsia="宋体" w:hAnsi="宋体" w:cs="宋体" w:hint="eastAsia"/>
          <w:color w:val="333333"/>
          <w:kern w:val="0"/>
          <w:sz w:val="24"/>
          <w:szCs w:val="24"/>
        </w:rPr>
        <w:t>额有差异的，纳税人应自证券机构代扣并解缴税款的次月1日起3个月内，持加盖证券机构印章的交易记录和相关完整、真实凭证，向主管税务</w:t>
      </w:r>
      <w:r w:rsidRPr="00B2171E">
        <w:rPr>
          <w:rFonts w:ascii="宋体" w:eastAsia="宋体" w:hAnsi="宋体" w:cs="宋体" w:hint="eastAsia"/>
          <w:color w:val="333333"/>
          <w:kern w:val="0"/>
          <w:sz w:val="24"/>
          <w:szCs w:val="24"/>
        </w:rPr>
        <w:lastRenderedPageBreak/>
        <w:t xml:space="preserve">机关提出清算申报并办理清算事宜。主管税务机关审核确认后，按照重新计算的应纳税额，办理退（补）税手续。纳税人在规定期限内未到主管税务机关办理清算事宜的，税务机关不再办理清算事宜，已预扣预缴的税款从纳税保证金账户全额缴入国库。 </w:t>
      </w:r>
      <w:r w:rsidRPr="00B2171E">
        <w:rPr>
          <w:rFonts w:ascii="宋体" w:eastAsia="宋体" w:hAnsi="宋体" w:cs="宋体" w:hint="eastAsia"/>
          <w:color w:val="333333"/>
          <w:kern w:val="0"/>
          <w:sz w:val="24"/>
          <w:szCs w:val="24"/>
        </w:rPr>
        <w:br/>
        <w:t xml:space="preserve">    （二）证券机构技术和制度准备完成后新上市公司的限售股，按照证券机构事先植入结算系统的限售股成本原值和发生的合理税费，以实际转让收入减去原值和合理税费后的余额，适用20%税率，计算直接扣缴个人所得税额。 </w:t>
      </w:r>
      <w:r w:rsidRPr="00B2171E">
        <w:rPr>
          <w:rFonts w:ascii="宋体" w:eastAsia="宋体" w:hAnsi="宋体" w:cs="宋体" w:hint="eastAsia"/>
          <w:color w:val="333333"/>
          <w:kern w:val="0"/>
          <w:sz w:val="24"/>
          <w:szCs w:val="24"/>
        </w:rPr>
        <w:br/>
        <w:t xml:space="preserve">    六、纳税人同时持有限售股及该股流通股的，其股票转让所得，按照限售股优先原则，即：转让股票视同为先转让限售股，按规定计算缴纳个人所得税。 </w:t>
      </w:r>
      <w:r w:rsidRPr="00B2171E">
        <w:rPr>
          <w:rFonts w:ascii="宋体" w:eastAsia="宋体" w:hAnsi="宋体" w:cs="宋体" w:hint="eastAsia"/>
          <w:color w:val="333333"/>
          <w:kern w:val="0"/>
          <w:sz w:val="24"/>
          <w:szCs w:val="24"/>
        </w:rPr>
        <w:br/>
        <w:t>    七、证券机构等应积极配合税务机关做好各项征收管理工作，并于每月15日前，将上月限售股减持的有关信息传递至主管税务机关。限售股减持信息包括：股东姓名、公民身份号码、开户证券公司名称及地址、限售股股票代码、本期减持股数及减</w:t>
      </w:r>
      <w:proofErr w:type="gramStart"/>
      <w:r w:rsidRPr="00B2171E">
        <w:rPr>
          <w:rFonts w:ascii="宋体" w:eastAsia="宋体" w:hAnsi="宋体" w:cs="宋体" w:hint="eastAsia"/>
          <w:color w:val="333333"/>
          <w:kern w:val="0"/>
          <w:sz w:val="24"/>
          <w:szCs w:val="24"/>
        </w:rPr>
        <w:t>持取得</w:t>
      </w:r>
      <w:proofErr w:type="gramEnd"/>
      <w:r w:rsidRPr="00B2171E">
        <w:rPr>
          <w:rFonts w:ascii="宋体" w:eastAsia="宋体" w:hAnsi="宋体" w:cs="宋体" w:hint="eastAsia"/>
          <w:color w:val="333333"/>
          <w:kern w:val="0"/>
          <w:sz w:val="24"/>
          <w:szCs w:val="24"/>
        </w:rPr>
        <w:t xml:space="preserve">的收入总额。证券机构有义务向纳税人提供加盖印章的限售股交易记录。 </w:t>
      </w:r>
      <w:r w:rsidRPr="00B2171E">
        <w:rPr>
          <w:rFonts w:ascii="宋体" w:eastAsia="宋体" w:hAnsi="宋体" w:cs="宋体" w:hint="eastAsia"/>
          <w:color w:val="333333"/>
          <w:kern w:val="0"/>
          <w:sz w:val="24"/>
          <w:szCs w:val="24"/>
        </w:rPr>
        <w:br/>
        <w:t xml:space="preserve">    八、对个人在上海证券交易所、深圳证券交易所转让从上市公司公开发行和转让市场取得的上市公司股票所得，继续免征个人所得税。 </w:t>
      </w:r>
      <w:r w:rsidRPr="00B2171E">
        <w:rPr>
          <w:rFonts w:ascii="宋体" w:eastAsia="宋体" w:hAnsi="宋体" w:cs="宋体" w:hint="eastAsia"/>
          <w:color w:val="333333"/>
          <w:kern w:val="0"/>
          <w:sz w:val="24"/>
          <w:szCs w:val="24"/>
        </w:rPr>
        <w:br/>
        <w:t xml:space="preserve">    九、财政、税务、证监等部门要加强协调、通力合作，切实做好政策实施的各项工作。 </w:t>
      </w:r>
      <w:r w:rsidRPr="00B2171E">
        <w:rPr>
          <w:rFonts w:ascii="宋体" w:eastAsia="宋体" w:hAnsi="宋体" w:cs="宋体" w:hint="eastAsia"/>
          <w:color w:val="333333"/>
          <w:kern w:val="0"/>
          <w:sz w:val="24"/>
          <w:szCs w:val="24"/>
        </w:rPr>
        <w:br/>
        <w:t xml:space="preserve">    请遵照执行。 </w:t>
      </w:r>
    </w:p>
    <w:p w14:paraId="0A848A4D" w14:textId="77777777" w:rsidR="00B2171E" w:rsidRPr="00B2171E" w:rsidRDefault="00B2171E" w:rsidP="00B2171E">
      <w:pPr>
        <w:widowControl/>
        <w:shd w:val="clear" w:color="auto" w:fill="FFFFFF"/>
        <w:spacing w:line="540" w:lineRule="atLeast"/>
        <w:jc w:val="left"/>
        <w:rPr>
          <w:rFonts w:ascii="宋体" w:eastAsia="宋体" w:hAnsi="宋体" w:cs="宋体" w:hint="eastAsia"/>
          <w:color w:val="333333"/>
          <w:kern w:val="0"/>
          <w:sz w:val="24"/>
          <w:szCs w:val="24"/>
        </w:rPr>
      </w:pPr>
    </w:p>
    <w:p w14:paraId="19BA678B" w14:textId="77777777" w:rsidR="00B2171E" w:rsidRPr="00B2171E" w:rsidRDefault="00B2171E" w:rsidP="00B2171E">
      <w:pPr>
        <w:widowControl/>
        <w:shd w:val="clear" w:color="auto" w:fill="FFFFFF"/>
        <w:spacing w:line="540" w:lineRule="atLeast"/>
        <w:jc w:val="right"/>
        <w:rPr>
          <w:rFonts w:ascii="宋体" w:eastAsia="宋体" w:hAnsi="宋体" w:cs="宋体" w:hint="eastAsia"/>
          <w:color w:val="333333"/>
          <w:kern w:val="0"/>
          <w:sz w:val="24"/>
          <w:szCs w:val="24"/>
        </w:rPr>
      </w:pPr>
      <w:r w:rsidRPr="00B2171E">
        <w:rPr>
          <w:rFonts w:ascii="宋体" w:eastAsia="宋体" w:hAnsi="宋体" w:cs="宋体" w:hint="eastAsia"/>
          <w:color w:val="333333"/>
          <w:kern w:val="0"/>
          <w:sz w:val="24"/>
          <w:szCs w:val="24"/>
        </w:rPr>
        <w:t xml:space="preserve">财政部  国家税务总局  证监会 </w:t>
      </w:r>
      <w:r w:rsidRPr="00B2171E">
        <w:rPr>
          <w:rFonts w:ascii="宋体" w:eastAsia="宋体" w:hAnsi="宋体" w:cs="宋体" w:hint="eastAsia"/>
          <w:color w:val="333333"/>
          <w:kern w:val="0"/>
          <w:sz w:val="24"/>
          <w:szCs w:val="24"/>
        </w:rPr>
        <w:br/>
        <w:t>二○○九年十二月三十一日</w:t>
      </w:r>
    </w:p>
    <w:p w14:paraId="11383AE2" w14:textId="77777777" w:rsidR="000C7289" w:rsidRPr="00B2171E" w:rsidRDefault="000C7289"/>
    <w:sectPr w:rsidR="000C7289" w:rsidRPr="00B21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8463D" w14:textId="77777777" w:rsidR="004C4413" w:rsidRDefault="004C4413" w:rsidP="00B2171E">
      <w:r>
        <w:separator/>
      </w:r>
    </w:p>
  </w:endnote>
  <w:endnote w:type="continuationSeparator" w:id="0">
    <w:p w14:paraId="171C278A" w14:textId="77777777" w:rsidR="004C4413" w:rsidRDefault="004C4413" w:rsidP="00B21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B7289" w14:textId="77777777" w:rsidR="004C4413" w:rsidRDefault="004C4413" w:rsidP="00B2171E">
      <w:r>
        <w:separator/>
      </w:r>
    </w:p>
  </w:footnote>
  <w:footnote w:type="continuationSeparator" w:id="0">
    <w:p w14:paraId="52B67B2C" w14:textId="77777777" w:rsidR="004C4413" w:rsidRDefault="004C4413" w:rsidP="00B21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A7338"/>
    <w:multiLevelType w:val="multilevel"/>
    <w:tmpl w:val="152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17"/>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73217"/>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C4413"/>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2171E"/>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81952-DD64-4D31-BE47-FE8A4B81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7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171E"/>
    <w:rPr>
      <w:sz w:val="18"/>
      <w:szCs w:val="18"/>
    </w:rPr>
  </w:style>
  <w:style w:type="paragraph" w:styleId="a5">
    <w:name w:val="footer"/>
    <w:basedOn w:val="a"/>
    <w:link w:val="a6"/>
    <w:uiPriority w:val="99"/>
    <w:unhideWhenUsed/>
    <w:rsid w:val="00B2171E"/>
    <w:pPr>
      <w:tabs>
        <w:tab w:val="center" w:pos="4153"/>
        <w:tab w:val="right" w:pos="8306"/>
      </w:tabs>
      <w:snapToGrid w:val="0"/>
      <w:jc w:val="left"/>
    </w:pPr>
    <w:rPr>
      <w:sz w:val="18"/>
      <w:szCs w:val="18"/>
    </w:rPr>
  </w:style>
  <w:style w:type="character" w:customStyle="1" w:styleId="a6">
    <w:name w:val="页脚 字符"/>
    <w:basedOn w:val="a0"/>
    <w:link w:val="a5"/>
    <w:uiPriority w:val="99"/>
    <w:rsid w:val="00B2171E"/>
    <w:rPr>
      <w:sz w:val="18"/>
      <w:szCs w:val="18"/>
    </w:rPr>
  </w:style>
  <w:style w:type="character" w:styleId="a7">
    <w:name w:val="Hyperlink"/>
    <w:basedOn w:val="a0"/>
    <w:uiPriority w:val="99"/>
    <w:semiHidden/>
    <w:unhideWhenUsed/>
    <w:rsid w:val="00B2171E"/>
    <w:rPr>
      <w:strike w:val="0"/>
      <w:dstrike w:val="0"/>
      <w:color w:val="333333"/>
      <w:sz w:val="18"/>
      <w:szCs w:val="18"/>
      <w:u w:val="none"/>
      <w:effect w:val="none"/>
      <w:bdr w:val="none" w:sz="0" w:space="0" w:color="auto" w:frame="1"/>
    </w:rPr>
  </w:style>
  <w:style w:type="paragraph" w:styleId="a8">
    <w:name w:val="Normal (Web)"/>
    <w:basedOn w:val="a"/>
    <w:uiPriority w:val="99"/>
    <w:semiHidden/>
    <w:unhideWhenUsed/>
    <w:rsid w:val="00B2171E"/>
    <w:pPr>
      <w:widowControl/>
      <w:jc w:val="left"/>
    </w:pPr>
    <w:rPr>
      <w:rFonts w:ascii="宋体" w:eastAsia="宋体" w:hAnsi="宋体" w:cs="宋体"/>
      <w:kern w:val="0"/>
      <w:sz w:val="24"/>
      <w:szCs w:val="24"/>
    </w:rPr>
  </w:style>
  <w:style w:type="paragraph" w:customStyle="1" w:styleId="svtexth3">
    <w:name w:val="sv_texth3"/>
    <w:basedOn w:val="a"/>
    <w:rsid w:val="00B2171E"/>
    <w:pPr>
      <w:widowControl/>
      <w:spacing w:line="540" w:lineRule="atLeast"/>
      <w:jc w:val="left"/>
    </w:pPr>
    <w:rPr>
      <w:rFonts w:ascii="宋体" w:eastAsia="宋体" w:hAnsi="宋体" w:cs="宋体"/>
      <w:color w:val="333333"/>
      <w:kern w:val="0"/>
      <w:sz w:val="24"/>
      <w:szCs w:val="24"/>
    </w:rPr>
  </w:style>
  <w:style w:type="paragraph" w:customStyle="1" w:styleId="svtexth1red">
    <w:name w:val="sv_texth1_red"/>
    <w:basedOn w:val="a"/>
    <w:rsid w:val="00B2171E"/>
    <w:pPr>
      <w:widowControl/>
      <w:spacing w:line="750" w:lineRule="atLeast"/>
      <w:jc w:val="center"/>
    </w:pPr>
    <w:rPr>
      <w:rFonts w:ascii="微软雅黑" w:eastAsia="微软雅黑" w:hAnsi="微软雅黑" w:cs="宋体"/>
      <w:color w:val="CC0000"/>
      <w:kern w:val="0"/>
      <w:sz w:val="42"/>
      <w:szCs w:val="42"/>
    </w:rPr>
  </w:style>
  <w:style w:type="paragraph" w:customStyle="1" w:styleId="svtexth2">
    <w:name w:val="sv_texth2"/>
    <w:basedOn w:val="a"/>
    <w:rsid w:val="00B2171E"/>
    <w:pPr>
      <w:widowControl/>
      <w:spacing w:line="525" w:lineRule="atLeast"/>
      <w:jc w:val="center"/>
    </w:pPr>
    <w:rPr>
      <w:rFonts w:ascii="宋体" w:eastAsia="宋体" w:hAnsi="宋体" w:cs="宋体"/>
      <w:color w:val="999999"/>
      <w:kern w:val="0"/>
      <w:sz w:val="18"/>
      <w:szCs w:val="18"/>
    </w:rPr>
  </w:style>
  <w:style w:type="paragraph" w:customStyle="1" w:styleId="svblack1430">
    <w:name w:val="sv_black14_30"/>
    <w:basedOn w:val="a"/>
    <w:rsid w:val="00B2171E"/>
    <w:pPr>
      <w:widowControl/>
      <w:spacing w:line="450" w:lineRule="atLeast"/>
      <w:jc w:val="left"/>
    </w:pPr>
    <w:rPr>
      <w:rFonts w:ascii="宋体" w:eastAsia="宋体" w:hAnsi="宋体" w:cs="宋体"/>
      <w:kern w:val="0"/>
      <w:szCs w:val="21"/>
    </w:rPr>
  </w:style>
  <w:style w:type="paragraph" w:customStyle="1" w:styleId="svblue24">
    <w:name w:val="sv_blue24"/>
    <w:basedOn w:val="a"/>
    <w:rsid w:val="00B2171E"/>
    <w:pPr>
      <w:widowControl/>
      <w:jc w:val="left"/>
    </w:pPr>
    <w:rPr>
      <w:rFonts w:ascii="微软雅黑" w:eastAsia="微软雅黑" w:hAnsi="微软雅黑" w:cs="宋体"/>
      <w:color w:val="0066CC"/>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40543">
      <w:bodyDiv w:val="1"/>
      <w:marLeft w:val="0"/>
      <w:marRight w:val="0"/>
      <w:marTop w:val="0"/>
      <w:marBottom w:val="0"/>
      <w:divBdr>
        <w:top w:val="none" w:sz="0" w:space="0" w:color="auto"/>
        <w:left w:val="none" w:sz="0" w:space="0" w:color="auto"/>
        <w:bottom w:val="none" w:sz="0" w:space="0" w:color="auto"/>
        <w:right w:val="none" w:sz="0" w:space="0" w:color="auto"/>
      </w:divBdr>
      <w:divsChild>
        <w:div w:id="92629305">
          <w:marLeft w:val="0"/>
          <w:marRight w:val="0"/>
          <w:marTop w:val="0"/>
          <w:marBottom w:val="0"/>
          <w:divBdr>
            <w:top w:val="none" w:sz="0" w:space="0" w:color="auto"/>
            <w:left w:val="none" w:sz="0" w:space="0" w:color="auto"/>
            <w:bottom w:val="none" w:sz="0" w:space="0" w:color="auto"/>
            <w:right w:val="none" w:sz="0" w:space="0" w:color="auto"/>
          </w:divBdr>
          <w:divsChild>
            <w:div w:id="2343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Test</dc:creator>
  <cp:keywords/>
  <dc:description/>
  <cp:lastModifiedBy>Test Test</cp:lastModifiedBy>
  <cp:revision>2</cp:revision>
  <dcterms:created xsi:type="dcterms:W3CDTF">2019-03-03T15:23:00Z</dcterms:created>
  <dcterms:modified xsi:type="dcterms:W3CDTF">2019-03-03T15:23:00Z</dcterms:modified>
</cp:coreProperties>
</file>