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650" w:type="pct"/>
        <w:jc w:val="center"/>
        <w:tblCellSpacing w:w="0" w:type="dxa"/>
        <w:tblCellMar>
          <w:left w:w="0" w:type="dxa"/>
          <w:right w:w="0" w:type="dxa"/>
        </w:tblCellMar>
        <w:tblLook w:val="04A0" w:firstRow="1" w:lastRow="0" w:firstColumn="1" w:lastColumn="0" w:noHBand="0" w:noVBand="1"/>
      </w:tblPr>
      <w:tblGrid>
        <w:gridCol w:w="7725"/>
      </w:tblGrid>
      <w:tr w:rsidR="00017B71" w:rsidRPr="00017B71" w14:paraId="0E15DD6C" w14:textId="77777777" w:rsidTr="00017B71">
        <w:trPr>
          <w:tblCellSpacing w:w="0" w:type="dxa"/>
          <w:jc w:val="center"/>
        </w:trPr>
        <w:tc>
          <w:tcPr>
            <w:tcW w:w="0" w:type="auto"/>
            <w:vAlign w:val="center"/>
            <w:hideMark/>
          </w:tcPr>
          <w:p w14:paraId="106F04BF" w14:textId="77777777" w:rsidR="00017B71" w:rsidRPr="00017B71" w:rsidRDefault="00017B71" w:rsidP="00017B71">
            <w:pPr>
              <w:widowControl/>
              <w:spacing w:line="300" w:lineRule="atLeast"/>
              <w:jc w:val="center"/>
              <w:rPr>
                <w:rFonts w:ascii="ˎ̥" w:eastAsia="宋体" w:hAnsi="ˎ̥" w:cs="宋体"/>
                <w:b/>
                <w:bCs/>
                <w:color w:val="454545"/>
                <w:kern w:val="0"/>
                <w:sz w:val="24"/>
                <w:szCs w:val="24"/>
              </w:rPr>
            </w:pPr>
            <w:r w:rsidRPr="00017B71">
              <w:rPr>
                <w:rFonts w:ascii="ˎ̥" w:eastAsia="宋体" w:hAnsi="ˎ̥" w:cs="宋体"/>
                <w:b/>
                <w:bCs/>
                <w:color w:val="454545"/>
                <w:kern w:val="0"/>
                <w:sz w:val="27"/>
                <w:szCs w:val="27"/>
              </w:rPr>
              <w:t>财政部</w:t>
            </w:r>
            <w:r w:rsidRPr="00017B71">
              <w:rPr>
                <w:rFonts w:ascii="ˎ̥" w:eastAsia="宋体" w:hAnsi="ˎ̥" w:cs="宋体"/>
                <w:b/>
                <w:bCs/>
                <w:color w:val="454545"/>
                <w:kern w:val="0"/>
                <w:sz w:val="27"/>
                <w:szCs w:val="27"/>
              </w:rPr>
              <w:t xml:space="preserve"> </w:t>
            </w:r>
            <w:r w:rsidRPr="00017B71">
              <w:rPr>
                <w:rFonts w:ascii="ˎ̥" w:eastAsia="宋体" w:hAnsi="ˎ̥" w:cs="宋体"/>
                <w:b/>
                <w:bCs/>
                <w:color w:val="454545"/>
                <w:kern w:val="0"/>
                <w:sz w:val="27"/>
                <w:szCs w:val="27"/>
              </w:rPr>
              <w:t>国家税务总局</w:t>
            </w:r>
            <w:r w:rsidRPr="00017B71">
              <w:rPr>
                <w:rFonts w:ascii="ˎ̥" w:eastAsia="宋体" w:hAnsi="ˎ̥" w:cs="宋体"/>
                <w:b/>
                <w:bCs/>
                <w:color w:val="454545"/>
                <w:kern w:val="0"/>
                <w:sz w:val="27"/>
                <w:szCs w:val="27"/>
              </w:rPr>
              <w:t xml:space="preserve"> </w:t>
            </w:r>
            <w:r w:rsidRPr="00017B71">
              <w:rPr>
                <w:rFonts w:ascii="ˎ̥" w:eastAsia="宋体" w:hAnsi="ˎ̥" w:cs="宋体"/>
                <w:b/>
                <w:bCs/>
                <w:color w:val="454545"/>
                <w:kern w:val="0"/>
                <w:sz w:val="27"/>
                <w:szCs w:val="27"/>
              </w:rPr>
              <w:t>证监会关于个人转让上市公司限售股所得征收个人所得税有关问题的补充通知</w:t>
            </w:r>
            <w:r w:rsidRPr="00017B71">
              <w:rPr>
                <w:rFonts w:ascii="ˎ̥" w:eastAsia="宋体" w:hAnsi="ˎ̥" w:cs="宋体"/>
                <w:b/>
                <w:bCs/>
                <w:color w:val="454545"/>
                <w:kern w:val="0"/>
                <w:sz w:val="27"/>
                <w:szCs w:val="27"/>
              </w:rPr>
              <w:t xml:space="preserve"> </w:t>
            </w:r>
            <w:r w:rsidRPr="00017B71">
              <w:rPr>
                <w:rFonts w:ascii="ˎ̥" w:eastAsia="宋体" w:hAnsi="ˎ̥" w:cs="宋体"/>
                <w:b/>
                <w:bCs/>
                <w:color w:val="454545"/>
                <w:kern w:val="0"/>
                <w:sz w:val="24"/>
                <w:szCs w:val="24"/>
              </w:rPr>
              <w:t xml:space="preserve">  </w:t>
            </w:r>
          </w:p>
        </w:tc>
      </w:tr>
      <w:tr w:rsidR="00017B71" w:rsidRPr="00017B71" w14:paraId="532596A1" w14:textId="77777777" w:rsidTr="00017B71">
        <w:trPr>
          <w:trHeight w:val="160"/>
          <w:tblCellSpacing w:w="0" w:type="dxa"/>
          <w:jc w:val="center"/>
        </w:trPr>
        <w:tc>
          <w:tcPr>
            <w:tcW w:w="0" w:type="auto"/>
            <w:vAlign w:val="center"/>
            <w:hideMark/>
          </w:tcPr>
          <w:p w14:paraId="77DC2287" w14:textId="77777777" w:rsidR="00017B71" w:rsidRPr="00017B71" w:rsidRDefault="00017B71" w:rsidP="00017B71">
            <w:pPr>
              <w:widowControl/>
              <w:spacing w:line="300" w:lineRule="atLeast"/>
              <w:jc w:val="left"/>
              <w:rPr>
                <w:rFonts w:ascii="ˎ̥" w:eastAsia="宋体" w:hAnsi="ˎ̥" w:cs="宋体"/>
                <w:b/>
                <w:bCs/>
                <w:color w:val="454545"/>
                <w:kern w:val="0"/>
                <w:sz w:val="24"/>
                <w:szCs w:val="24"/>
              </w:rPr>
            </w:pPr>
            <w:r w:rsidRPr="00017B71">
              <w:rPr>
                <w:rFonts w:ascii="ˎ̥" w:eastAsia="宋体" w:hAnsi="ˎ̥" w:cs="宋体"/>
                <w:b/>
                <w:bCs/>
                <w:color w:val="454545"/>
                <w:kern w:val="0"/>
                <w:sz w:val="24"/>
                <w:szCs w:val="24"/>
              </w:rPr>
              <w:pict w14:anchorId="012F58D1">
                <v:rect id="_x0000_i1025" style="width:0;height:.5pt" o:hralign="center" o:hrstd="t" o:hr="t" fillcolor="#a0a0a0" stroked="f"/>
              </w:pict>
            </w:r>
          </w:p>
        </w:tc>
      </w:tr>
      <w:tr w:rsidR="00017B71" w:rsidRPr="00017B71" w14:paraId="6A9F5540" w14:textId="77777777" w:rsidTr="00017B71">
        <w:trPr>
          <w:trHeight w:val="250"/>
          <w:tblCellSpacing w:w="0" w:type="dxa"/>
          <w:jc w:val="center"/>
        </w:trPr>
        <w:tc>
          <w:tcPr>
            <w:tcW w:w="0" w:type="auto"/>
            <w:vAlign w:val="center"/>
            <w:hideMark/>
          </w:tcPr>
          <w:p w14:paraId="64109134" w14:textId="77777777" w:rsidR="00017B71" w:rsidRPr="00017B71" w:rsidRDefault="00017B71" w:rsidP="00017B71">
            <w:pPr>
              <w:widowControl/>
              <w:spacing w:line="540" w:lineRule="atLeast"/>
              <w:jc w:val="center"/>
              <w:rPr>
                <w:rFonts w:ascii="ˎ̥" w:eastAsia="宋体" w:hAnsi="ˎ̥" w:cs="宋体"/>
                <w:b/>
                <w:bCs/>
                <w:color w:val="DF0000"/>
                <w:kern w:val="0"/>
                <w:sz w:val="18"/>
                <w:szCs w:val="18"/>
              </w:rPr>
            </w:pPr>
            <w:r w:rsidRPr="00017B71">
              <w:rPr>
                <w:rFonts w:ascii="ˎ̥" w:eastAsia="宋体" w:hAnsi="ˎ̥" w:cs="宋体"/>
                <w:b/>
                <w:bCs/>
                <w:color w:val="DF0000"/>
                <w:kern w:val="0"/>
                <w:sz w:val="18"/>
                <w:szCs w:val="18"/>
              </w:rPr>
              <w:t>财税〔</w:t>
            </w:r>
            <w:r w:rsidRPr="00017B71">
              <w:rPr>
                <w:rFonts w:ascii="ˎ̥" w:eastAsia="宋体" w:hAnsi="ˎ̥" w:cs="宋体"/>
                <w:b/>
                <w:bCs/>
                <w:color w:val="DF0000"/>
                <w:kern w:val="0"/>
                <w:sz w:val="18"/>
                <w:szCs w:val="18"/>
              </w:rPr>
              <w:t>2010</w:t>
            </w:r>
            <w:r w:rsidRPr="00017B71">
              <w:rPr>
                <w:rFonts w:ascii="ˎ̥" w:eastAsia="宋体" w:hAnsi="ˎ̥" w:cs="宋体"/>
                <w:b/>
                <w:bCs/>
                <w:color w:val="DF0000"/>
                <w:kern w:val="0"/>
                <w:sz w:val="18"/>
                <w:szCs w:val="18"/>
              </w:rPr>
              <w:t>〕</w:t>
            </w:r>
            <w:r w:rsidRPr="00017B71">
              <w:rPr>
                <w:rFonts w:ascii="ˎ̥" w:eastAsia="宋体" w:hAnsi="ˎ̥" w:cs="宋体"/>
                <w:b/>
                <w:bCs/>
                <w:color w:val="DF0000"/>
                <w:kern w:val="0"/>
                <w:sz w:val="18"/>
                <w:szCs w:val="18"/>
              </w:rPr>
              <w:t>70</w:t>
            </w:r>
            <w:r w:rsidRPr="00017B71">
              <w:rPr>
                <w:rFonts w:ascii="ˎ̥" w:eastAsia="宋体" w:hAnsi="ˎ̥" w:cs="宋体"/>
                <w:b/>
                <w:bCs/>
                <w:color w:val="DF0000"/>
                <w:kern w:val="0"/>
                <w:sz w:val="18"/>
                <w:szCs w:val="18"/>
              </w:rPr>
              <w:t>号</w:t>
            </w:r>
            <w:r w:rsidRPr="00017B71">
              <w:rPr>
                <w:rFonts w:ascii="ˎ̥" w:eastAsia="宋体" w:hAnsi="ˎ̥" w:cs="宋体"/>
                <w:b/>
                <w:bCs/>
                <w:color w:val="DF0000"/>
                <w:kern w:val="0"/>
                <w:sz w:val="18"/>
                <w:szCs w:val="18"/>
              </w:rPr>
              <w:t> </w:t>
            </w:r>
          </w:p>
        </w:tc>
      </w:tr>
      <w:tr w:rsidR="00017B71" w:rsidRPr="00017B71" w14:paraId="0CB53890" w14:textId="77777777" w:rsidTr="00017B71">
        <w:trPr>
          <w:tblCellSpacing w:w="0" w:type="dxa"/>
          <w:jc w:val="center"/>
        </w:trPr>
        <w:tc>
          <w:tcPr>
            <w:tcW w:w="0" w:type="auto"/>
            <w:vAlign w:val="center"/>
            <w:hideMark/>
          </w:tcPr>
          <w:p w14:paraId="7D965E86" w14:textId="77777777" w:rsidR="00017B71" w:rsidRPr="00017B71" w:rsidRDefault="00017B71" w:rsidP="00017B71">
            <w:pPr>
              <w:widowControl/>
              <w:spacing w:line="540" w:lineRule="atLeast"/>
              <w:jc w:val="right"/>
              <w:rPr>
                <w:rFonts w:ascii="ˎ̥" w:eastAsia="宋体" w:hAnsi="ˎ̥" w:cs="宋体"/>
                <w:color w:val="005DDC"/>
                <w:kern w:val="0"/>
                <w:sz w:val="18"/>
                <w:szCs w:val="18"/>
              </w:rPr>
            </w:pPr>
            <w:r w:rsidRPr="00017B71">
              <w:rPr>
                <w:rFonts w:ascii="ˎ̥" w:eastAsia="宋体" w:hAnsi="ˎ̥" w:cs="宋体"/>
                <w:color w:val="FF0000"/>
                <w:kern w:val="0"/>
                <w:sz w:val="18"/>
                <w:szCs w:val="18"/>
              </w:rPr>
              <w:t>全文有效</w:t>
            </w:r>
            <w:r w:rsidRPr="00017B71">
              <w:rPr>
                <w:rFonts w:ascii="ˎ̥" w:eastAsia="宋体" w:hAnsi="ˎ̥" w:cs="宋体"/>
                <w:color w:val="005DDC"/>
                <w:kern w:val="0"/>
                <w:sz w:val="18"/>
                <w:szCs w:val="18"/>
              </w:rPr>
              <w:t>   </w:t>
            </w:r>
            <w:r w:rsidRPr="00017B71">
              <w:rPr>
                <w:rFonts w:ascii="ˎ̥" w:eastAsia="宋体" w:hAnsi="ˎ̥" w:cs="宋体"/>
                <w:color w:val="005DDC"/>
                <w:kern w:val="0"/>
                <w:sz w:val="18"/>
                <w:szCs w:val="18"/>
              </w:rPr>
              <w:t>成文日期：</w:t>
            </w:r>
            <w:r w:rsidRPr="00017B71">
              <w:rPr>
                <w:rFonts w:ascii="ˎ̥" w:eastAsia="宋体" w:hAnsi="ˎ̥" w:cs="宋体"/>
                <w:color w:val="005DDC"/>
                <w:kern w:val="0"/>
                <w:sz w:val="18"/>
                <w:szCs w:val="18"/>
              </w:rPr>
              <w:t>2010-11-10</w:t>
            </w:r>
          </w:p>
        </w:tc>
      </w:tr>
      <w:tr w:rsidR="00017B71" w:rsidRPr="00017B71" w14:paraId="1AAFCFB6" w14:textId="77777777" w:rsidTr="00017B71">
        <w:trPr>
          <w:tblCellSpacing w:w="0" w:type="dxa"/>
          <w:jc w:val="center"/>
        </w:trPr>
        <w:tc>
          <w:tcPr>
            <w:tcW w:w="0" w:type="auto"/>
            <w:tcMar>
              <w:top w:w="45" w:type="dxa"/>
              <w:left w:w="0" w:type="dxa"/>
              <w:bottom w:w="0" w:type="dxa"/>
              <w:right w:w="0" w:type="dxa"/>
            </w:tcMar>
            <w:vAlign w:val="center"/>
            <w:hideMark/>
          </w:tcPr>
          <w:p w14:paraId="1F47A5C9" w14:textId="77777777" w:rsidR="00017B71" w:rsidRPr="00017B71" w:rsidRDefault="00017B71" w:rsidP="00017B71">
            <w:pPr>
              <w:widowControl/>
              <w:spacing w:line="270" w:lineRule="atLeast"/>
              <w:jc w:val="center"/>
              <w:rPr>
                <w:rFonts w:ascii="ˎ̥" w:eastAsia="宋体" w:hAnsi="ˎ̥" w:cs="宋体"/>
                <w:b/>
                <w:bCs/>
                <w:color w:val="111111"/>
                <w:kern w:val="0"/>
                <w:sz w:val="20"/>
                <w:szCs w:val="20"/>
              </w:rPr>
            </w:pPr>
            <w:r w:rsidRPr="00017B71">
              <w:rPr>
                <w:rFonts w:ascii="ˎ̥" w:eastAsia="宋体" w:hAnsi="ˎ̥" w:cs="宋体"/>
                <w:b/>
                <w:bCs/>
                <w:color w:val="111111"/>
                <w:kern w:val="0"/>
                <w:sz w:val="20"/>
                <w:szCs w:val="20"/>
              </w:rPr>
              <w:t xml:space="preserve">  </w:t>
            </w:r>
          </w:p>
        </w:tc>
      </w:tr>
    </w:tbl>
    <w:p w14:paraId="65C03BBA" w14:textId="77777777" w:rsidR="00017B71" w:rsidRPr="00017B71" w:rsidRDefault="00017B71" w:rsidP="00017B71">
      <w:pPr>
        <w:widowControl/>
        <w:jc w:val="center"/>
        <w:rPr>
          <w:rFonts w:ascii="宋体" w:eastAsia="宋体" w:hAnsi="宋体" w:cs="宋体"/>
          <w:vanish/>
          <w:kern w:val="0"/>
          <w:sz w:val="24"/>
          <w:szCs w:val="24"/>
        </w:rPr>
      </w:pPr>
    </w:p>
    <w:tbl>
      <w:tblPr>
        <w:tblW w:w="4650" w:type="pct"/>
        <w:jc w:val="center"/>
        <w:tblCellSpacing w:w="0" w:type="dxa"/>
        <w:tblCellMar>
          <w:left w:w="0" w:type="dxa"/>
          <w:right w:w="0" w:type="dxa"/>
        </w:tblCellMar>
        <w:tblLook w:val="04A0" w:firstRow="1" w:lastRow="0" w:firstColumn="1" w:lastColumn="0" w:noHBand="0" w:noVBand="1"/>
      </w:tblPr>
      <w:tblGrid>
        <w:gridCol w:w="7725"/>
      </w:tblGrid>
      <w:tr w:rsidR="00017B71" w:rsidRPr="00017B71" w14:paraId="5B9B5621" w14:textId="77777777" w:rsidTr="00017B71">
        <w:trPr>
          <w:tblCellSpacing w:w="0" w:type="dxa"/>
          <w:jc w:val="center"/>
        </w:trPr>
        <w:tc>
          <w:tcPr>
            <w:tcW w:w="0" w:type="auto"/>
            <w:vAlign w:val="center"/>
            <w:hideMark/>
          </w:tcPr>
          <w:p w14:paraId="1AC03AC5" w14:textId="77777777" w:rsidR="00017B71" w:rsidRPr="00017B71" w:rsidRDefault="00017B71" w:rsidP="00017B71">
            <w:pPr>
              <w:widowControl/>
              <w:spacing w:line="540" w:lineRule="atLeast"/>
              <w:jc w:val="right"/>
              <w:divId w:val="1687248563"/>
              <w:rPr>
                <w:rFonts w:ascii="ˎ̥" w:eastAsia="宋体" w:hAnsi="ˎ̥" w:cs="宋体"/>
                <w:color w:val="005DDC"/>
                <w:kern w:val="0"/>
                <w:sz w:val="18"/>
                <w:szCs w:val="18"/>
              </w:rPr>
            </w:pPr>
            <w:r w:rsidRPr="00017B71">
              <w:rPr>
                <w:rFonts w:ascii="ˎ̥" w:eastAsia="宋体" w:hAnsi="ˎ̥" w:cs="宋体"/>
                <w:color w:val="005DDC"/>
                <w:kern w:val="0"/>
                <w:sz w:val="18"/>
                <w:szCs w:val="18"/>
              </w:rPr>
              <w:t>字体：</w:t>
            </w:r>
            <w:r w:rsidRPr="00017B71">
              <w:rPr>
                <w:rFonts w:ascii="ˎ̥" w:eastAsia="宋体" w:hAnsi="ˎ̥" w:cs="宋体"/>
                <w:color w:val="005DDC"/>
                <w:kern w:val="0"/>
                <w:sz w:val="18"/>
                <w:szCs w:val="18"/>
              </w:rPr>
              <w:t xml:space="preserve"> </w:t>
            </w:r>
            <w:r w:rsidRPr="00017B71">
              <w:rPr>
                <w:rFonts w:ascii="ˎ̥" w:eastAsia="宋体" w:hAnsi="ˎ̥" w:cs="宋体"/>
                <w:color w:val="005DDC"/>
                <w:kern w:val="0"/>
                <w:sz w:val="18"/>
                <w:szCs w:val="18"/>
              </w:rPr>
              <w:t>【</w:t>
            </w:r>
            <w:hyperlink r:id="rId6" w:history="1">
              <w:r w:rsidRPr="00017B71">
                <w:rPr>
                  <w:rFonts w:ascii="ˎ̥" w:eastAsia="宋体" w:hAnsi="ˎ̥" w:cs="宋体"/>
                  <w:color w:val="222222"/>
                  <w:kern w:val="0"/>
                  <w:sz w:val="18"/>
                  <w:szCs w:val="18"/>
                </w:rPr>
                <w:t>大</w:t>
              </w:r>
            </w:hyperlink>
            <w:r w:rsidRPr="00017B71">
              <w:rPr>
                <w:rFonts w:ascii="ˎ̥" w:eastAsia="宋体" w:hAnsi="ˎ̥" w:cs="宋体"/>
                <w:color w:val="005DDC"/>
                <w:kern w:val="0"/>
                <w:sz w:val="18"/>
                <w:szCs w:val="18"/>
              </w:rPr>
              <w:t>】</w:t>
            </w:r>
            <w:r w:rsidRPr="00017B71">
              <w:rPr>
                <w:rFonts w:ascii="ˎ̥" w:eastAsia="宋体" w:hAnsi="ˎ̥" w:cs="宋体"/>
                <w:color w:val="005DDC"/>
                <w:kern w:val="0"/>
                <w:sz w:val="18"/>
                <w:szCs w:val="18"/>
              </w:rPr>
              <w:t xml:space="preserve"> </w:t>
            </w:r>
            <w:r w:rsidRPr="00017B71">
              <w:rPr>
                <w:rFonts w:ascii="ˎ̥" w:eastAsia="宋体" w:hAnsi="ˎ̥" w:cs="宋体"/>
                <w:color w:val="005DDC"/>
                <w:kern w:val="0"/>
                <w:sz w:val="18"/>
                <w:szCs w:val="18"/>
              </w:rPr>
              <w:t>【</w:t>
            </w:r>
            <w:hyperlink r:id="rId7" w:history="1">
              <w:r w:rsidRPr="00017B71">
                <w:rPr>
                  <w:rFonts w:ascii="ˎ̥" w:eastAsia="宋体" w:hAnsi="ˎ̥" w:cs="宋体"/>
                  <w:color w:val="222222"/>
                  <w:kern w:val="0"/>
                  <w:sz w:val="18"/>
                  <w:szCs w:val="18"/>
                </w:rPr>
                <w:t>中</w:t>
              </w:r>
            </w:hyperlink>
            <w:r w:rsidRPr="00017B71">
              <w:rPr>
                <w:rFonts w:ascii="ˎ̥" w:eastAsia="宋体" w:hAnsi="ˎ̥" w:cs="宋体"/>
                <w:color w:val="005DDC"/>
                <w:kern w:val="0"/>
                <w:sz w:val="18"/>
                <w:szCs w:val="18"/>
              </w:rPr>
              <w:t>】</w:t>
            </w:r>
            <w:r w:rsidRPr="00017B71">
              <w:rPr>
                <w:rFonts w:ascii="ˎ̥" w:eastAsia="宋体" w:hAnsi="ˎ̥" w:cs="宋体"/>
                <w:color w:val="005DDC"/>
                <w:kern w:val="0"/>
                <w:sz w:val="18"/>
                <w:szCs w:val="18"/>
              </w:rPr>
              <w:t xml:space="preserve"> </w:t>
            </w:r>
            <w:r w:rsidRPr="00017B71">
              <w:rPr>
                <w:rFonts w:ascii="ˎ̥" w:eastAsia="宋体" w:hAnsi="ˎ̥" w:cs="宋体"/>
                <w:color w:val="005DDC"/>
                <w:kern w:val="0"/>
                <w:sz w:val="18"/>
                <w:szCs w:val="18"/>
              </w:rPr>
              <w:t>【</w:t>
            </w:r>
            <w:hyperlink r:id="rId8" w:history="1">
              <w:r w:rsidRPr="00017B71">
                <w:rPr>
                  <w:rFonts w:ascii="ˎ̥" w:eastAsia="宋体" w:hAnsi="ˎ̥" w:cs="宋体"/>
                  <w:color w:val="222222"/>
                  <w:kern w:val="0"/>
                  <w:sz w:val="18"/>
                  <w:szCs w:val="18"/>
                </w:rPr>
                <w:t>小</w:t>
              </w:r>
            </w:hyperlink>
            <w:r w:rsidRPr="00017B71">
              <w:rPr>
                <w:rFonts w:ascii="ˎ̥" w:eastAsia="宋体" w:hAnsi="ˎ̥" w:cs="宋体"/>
                <w:color w:val="005DDC"/>
                <w:kern w:val="0"/>
                <w:sz w:val="18"/>
                <w:szCs w:val="18"/>
              </w:rPr>
              <w:t>】</w:t>
            </w:r>
            <w:r w:rsidRPr="00017B71">
              <w:rPr>
                <w:rFonts w:ascii="ˎ̥" w:eastAsia="宋体" w:hAnsi="ˎ̥" w:cs="宋体"/>
                <w:color w:val="005DDC"/>
                <w:kern w:val="0"/>
                <w:sz w:val="18"/>
                <w:szCs w:val="18"/>
              </w:rPr>
              <w:t xml:space="preserve"> </w:t>
            </w:r>
          </w:p>
        </w:tc>
      </w:tr>
    </w:tbl>
    <w:p w14:paraId="71442386" w14:textId="77777777" w:rsidR="00017B71" w:rsidRPr="00017B71" w:rsidRDefault="00017B71" w:rsidP="00017B71">
      <w:pPr>
        <w:widowControl/>
        <w:jc w:val="center"/>
        <w:rPr>
          <w:rFonts w:ascii="宋体" w:eastAsia="宋体" w:hAnsi="宋体" w:cs="宋体"/>
          <w:vanish/>
          <w:kern w:val="0"/>
          <w:sz w:val="24"/>
          <w:szCs w:val="24"/>
        </w:rPr>
      </w:pPr>
    </w:p>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017B71" w:rsidRPr="00017B71" w14:paraId="292D6229" w14:textId="77777777" w:rsidTr="00017B71">
        <w:trPr>
          <w:tblCellSpacing w:w="0" w:type="dxa"/>
          <w:jc w:val="center"/>
        </w:trPr>
        <w:tc>
          <w:tcPr>
            <w:tcW w:w="0" w:type="auto"/>
            <w:vAlign w:val="center"/>
            <w:hideMark/>
          </w:tcPr>
          <w:p w14:paraId="5E13CF54" w14:textId="77777777" w:rsidR="00017B71" w:rsidRPr="00017B71" w:rsidRDefault="00017B71" w:rsidP="00017B71">
            <w:pPr>
              <w:widowControl/>
              <w:spacing w:line="540" w:lineRule="atLeast"/>
              <w:jc w:val="left"/>
              <w:divId w:val="1805926322"/>
              <w:rPr>
                <w:rFonts w:ascii="宋体" w:eastAsia="宋体" w:hAnsi="宋体" w:cs="宋体"/>
                <w:color w:val="000000"/>
                <w:kern w:val="0"/>
                <w:sz w:val="24"/>
                <w:szCs w:val="24"/>
              </w:rPr>
            </w:pPr>
            <w:r w:rsidRPr="00017B71">
              <w:rPr>
                <w:rFonts w:ascii="宋体" w:eastAsia="宋体" w:hAnsi="宋体" w:cs="宋体" w:hint="eastAsia"/>
                <w:color w:val="000000"/>
                <w:kern w:val="0"/>
                <w:sz w:val="24"/>
                <w:szCs w:val="24"/>
              </w:rPr>
              <w:t>各省、自治区、直辖市、计划单列市财政厅（局）、国家税务局、地方税务局，新疆生产建设兵团财务局，上海、深圳证券交易所，中国证券登记结算公司：</w:t>
            </w:r>
            <w:r w:rsidRPr="00017B71">
              <w:rPr>
                <w:rFonts w:ascii="宋体" w:eastAsia="宋体" w:hAnsi="宋体" w:cs="宋体" w:hint="eastAsia"/>
                <w:color w:val="000000"/>
                <w:kern w:val="0"/>
                <w:sz w:val="24"/>
                <w:szCs w:val="24"/>
              </w:rPr>
              <w:br/>
              <w:t xml:space="preserve">　　为进一步规范个人转让上市公司限售股（以下简称限售股）税收政策，加强税收征管，根据财政部、国家税务总局、证监会《关于个人转让上市公司限售股征收个人所得税有关问题的通知》（财税[2009]167号）的有关规定，现将个人转让限售股所得征收个人所得税有关政策问题补充通知如下：</w:t>
            </w:r>
            <w:r w:rsidRPr="00017B71">
              <w:rPr>
                <w:rFonts w:ascii="宋体" w:eastAsia="宋体" w:hAnsi="宋体" w:cs="宋体" w:hint="eastAsia"/>
                <w:color w:val="000000"/>
                <w:kern w:val="0"/>
                <w:sz w:val="24"/>
                <w:szCs w:val="24"/>
              </w:rPr>
              <w:br/>
              <w:t xml:space="preserve">　　一、本通知所称限售股，包括：</w:t>
            </w:r>
            <w:r w:rsidRPr="00017B71">
              <w:rPr>
                <w:rFonts w:ascii="宋体" w:eastAsia="宋体" w:hAnsi="宋体" w:cs="宋体" w:hint="eastAsia"/>
                <w:color w:val="000000"/>
                <w:kern w:val="0"/>
                <w:sz w:val="24"/>
                <w:szCs w:val="24"/>
              </w:rPr>
              <w:br/>
              <w:t xml:space="preserve">　　（一）财税[2009]167号文件规定的限售股；</w:t>
            </w:r>
            <w:r w:rsidRPr="00017B71">
              <w:rPr>
                <w:rFonts w:ascii="宋体" w:eastAsia="宋体" w:hAnsi="宋体" w:cs="宋体" w:hint="eastAsia"/>
                <w:color w:val="000000"/>
                <w:kern w:val="0"/>
                <w:sz w:val="24"/>
                <w:szCs w:val="24"/>
              </w:rPr>
              <w:br/>
              <w:t xml:space="preserve">　　（二）个人从机构或其他个人受让的未解禁限售股；</w:t>
            </w:r>
            <w:r w:rsidRPr="00017B71">
              <w:rPr>
                <w:rFonts w:ascii="宋体" w:eastAsia="宋体" w:hAnsi="宋体" w:cs="宋体" w:hint="eastAsia"/>
                <w:color w:val="000000"/>
                <w:kern w:val="0"/>
                <w:sz w:val="24"/>
                <w:szCs w:val="24"/>
              </w:rPr>
              <w:br/>
              <w:t xml:space="preserve">　　（三）个人因依法继承或家庭财产依法分割取得的限售股；</w:t>
            </w:r>
            <w:r w:rsidRPr="00017B71">
              <w:rPr>
                <w:rFonts w:ascii="宋体" w:eastAsia="宋体" w:hAnsi="宋体" w:cs="宋体" w:hint="eastAsia"/>
                <w:color w:val="000000"/>
                <w:kern w:val="0"/>
                <w:sz w:val="24"/>
                <w:szCs w:val="24"/>
              </w:rPr>
              <w:br/>
              <w:t xml:space="preserve">　　（四）个人持有的从代办股份转让系统转到主板市场（或中小板、创业板市场）的限售股；</w:t>
            </w:r>
            <w:r w:rsidRPr="00017B71">
              <w:rPr>
                <w:rFonts w:ascii="宋体" w:eastAsia="宋体" w:hAnsi="宋体" w:cs="宋体" w:hint="eastAsia"/>
                <w:color w:val="000000"/>
                <w:kern w:val="0"/>
                <w:sz w:val="24"/>
                <w:szCs w:val="24"/>
              </w:rPr>
              <w:br/>
              <w:t xml:space="preserve">　　（五）上市公司吸收合并中，个人持有的原被合并方公司限售股所转换的合并方公司股份；</w:t>
            </w:r>
            <w:r w:rsidRPr="00017B71">
              <w:rPr>
                <w:rFonts w:ascii="宋体" w:eastAsia="宋体" w:hAnsi="宋体" w:cs="宋体" w:hint="eastAsia"/>
                <w:color w:val="000000"/>
                <w:kern w:val="0"/>
                <w:sz w:val="24"/>
                <w:szCs w:val="24"/>
              </w:rPr>
              <w:br/>
              <w:t xml:space="preserve">　　（六）上市公司分立中，个人持有的被分立方公司限售股所转换的分立后公司股份；</w:t>
            </w:r>
            <w:r w:rsidRPr="00017B71">
              <w:rPr>
                <w:rFonts w:ascii="宋体" w:eastAsia="宋体" w:hAnsi="宋体" w:cs="宋体" w:hint="eastAsia"/>
                <w:color w:val="000000"/>
                <w:kern w:val="0"/>
                <w:sz w:val="24"/>
                <w:szCs w:val="24"/>
              </w:rPr>
              <w:br/>
              <w:t xml:space="preserve">　　（七）其他限售股。</w:t>
            </w:r>
            <w:r w:rsidRPr="00017B71">
              <w:rPr>
                <w:rFonts w:ascii="宋体" w:eastAsia="宋体" w:hAnsi="宋体" w:cs="宋体" w:hint="eastAsia"/>
                <w:color w:val="000000"/>
                <w:kern w:val="0"/>
                <w:sz w:val="24"/>
                <w:szCs w:val="24"/>
              </w:rPr>
              <w:br/>
            </w:r>
            <w:r w:rsidRPr="00017B71">
              <w:rPr>
                <w:rFonts w:ascii="宋体" w:eastAsia="宋体" w:hAnsi="宋体" w:cs="宋体" w:hint="eastAsia"/>
                <w:color w:val="000000"/>
                <w:kern w:val="0"/>
                <w:sz w:val="24"/>
                <w:szCs w:val="24"/>
              </w:rPr>
              <w:lastRenderedPageBreak/>
              <w:t xml:space="preserve">　　二、根据《个人所得税法实施条例》第八条、第十条的规定，个人转让限售股或发生具有转让限售股实质的其他交易，取得现金、实物、有价证券和其他形式的经济利益均应缴纳个人所得税。限售股在解禁前被多次转让的，转让方对每一次转让所得均应按规定缴纳个人所得税。对具有下列情形的，应按规定征收个人所得税：</w:t>
            </w:r>
            <w:r w:rsidRPr="00017B71">
              <w:rPr>
                <w:rFonts w:ascii="宋体" w:eastAsia="宋体" w:hAnsi="宋体" w:cs="宋体" w:hint="eastAsia"/>
                <w:color w:val="000000"/>
                <w:kern w:val="0"/>
                <w:sz w:val="24"/>
                <w:szCs w:val="24"/>
              </w:rPr>
              <w:br/>
              <w:t xml:space="preserve">　　（一）个人通过证券交易所集中交易系统或大宗交易系统转让限售股；</w:t>
            </w:r>
            <w:r w:rsidRPr="00017B71">
              <w:rPr>
                <w:rFonts w:ascii="宋体" w:eastAsia="宋体" w:hAnsi="宋体" w:cs="宋体" w:hint="eastAsia"/>
                <w:color w:val="000000"/>
                <w:kern w:val="0"/>
                <w:sz w:val="24"/>
                <w:szCs w:val="24"/>
              </w:rPr>
              <w:br/>
              <w:t xml:space="preserve">　　（二）个人用限售股认购或申购交易型开放式指数基金（ETF）份额；</w:t>
            </w:r>
            <w:r w:rsidRPr="00017B71">
              <w:rPr>
                <w:rFonts w:ascii="宋体" w:eastAsia="宋体" w:hAnsi="宋体" w:cs="宋体" w:hint="eastAsia"/>
                <w:color w:val="000000"/>
                <w:kern w:val="0"/>
                <w:sz w:val="24"/>
                <w:szCs w:val="24"/>
              </w:rPr>
              <w:br/>
              <w:t xml:space="preserve">　　（三）个人用限售股接受要约收购；</w:t>
            </w:r>
            <w:r w:rsidRPr="00017B71">
              <w:rPr>
                <w:rFonts w:ascii="宋体" w:eastAsia="宋体" w:hAnsi="宋体" w:cs="宋体" w:hint="eastAsia"/>
                <w:color w:val="000000"/>
                <w:kern w:val="0"/>
                <w:sz w:val="24"/>
                <w:szCs w:val="24"/>
              </w:rPr>
              <w:br/>
              <w:t xml:space="preserve">　　（四）个人行使现金选择权将限售股转让给提供现金选择权的第三方；</w:t>
            </w:r>
            <w:r w:rsidRPr="00017B71">
              <w:rPr>
                <w:rFonts w:ascii="宋体" w:eastAsia="宋体" w:hAnsi="宋体" w:cs="宋体" w:hint="eastAsia"/>
                <w:color w:val="000000"/>
                <w:kern w:val="0"/>
                <w:sz w:val="24"/>
                <w:szCs w:val="24"/>
              </w:rPr>
              <w:br/>
              <w:t xml:space="preserve">　　（五）个人协议转让限售股；</w:t>
            </w:r>
            <w:r w:rsidRPr="00017B71">
              <w:rPr>
                <w:rFonts w:ascii="宋体" w:eastAsia="宋体" w:hAnsi="宋体" w:cs="宋体" w:hint="eastAsia"/>
                <w:color w:val="000000"/>
                <w:kern w:val="0"/>
                <w:sz w:val="24"/>
                <w:szCs w:val="24"/>
              </w:rPr>
              <w:br/>
              <w:t xml:space="preserve">　　（六）个人持有的限售股被司法扣划；</w:t>
            </w:r>
            <w:r w:rsidRPr="00017B71">
              <w:rPr>
                <w:rFonts w:ascii="宋体" w:eastAsia="宋体" w:hAnsi="宋体" w:cs="宋体" w:hint="eastAsia"/>
                <w:color w:val="000000"/>
                <w:kern w:val="0"/>
                <w:sz w:val="24"/>
                <w:szCs w:val="24"/>
              </w:rPr>
              <w:br/>
              <w:t xml:space="preserve">　　（七）个人因依法继承或家庭财产分割让渡限售股所有权；</w:t>
            </w:r>
            <w:r w:rsidRPr="00017B71">
              <w:rPr>
                <w:rFonts w:ascii="宋体" w:eastAsia="宋体" w:hAnsi="宋体" w:cs="宋体" w:hint="eastAsia"/>
                <w:color w:val="000000"/>
                <w:kern w:val="0"/>
                <w:sz w:val="24"/>
                <w:szCs w:val="24"/>
              </w:rPr>
              <w:br/>
              <w:t xml:space="preserve">　　（八）个人用限售股偿还上市公司股权分置改革中由大股东代其向流通股股东支付的对价；</w:t>
            </w:r>
            <w:r w:rsidRPr="00017B71">
              <w:rPr>
                <w:rFonts w:ascii="宋体" w:eastAsia="宋体" w:hAnsi="宋体" w:cs="宋体" w:hint="eastAsia"/>
                <w:color w:val="000000"/>
                <w:kern w:val="0"/>
                <w:sz w:val="24"/>
                <w:szCs w:val="24"/>
              </w:rPr>
              <w:br/>
              <w:t xml:space="preserve">　　（九）其他具有转让实质的情形。</w:t>
            </w:r>
            <w:r w:rsidRPr="00017B71">
              <w:rPr>
                <w:rFonts w:ascii="宋体" w:eastAsia="宋体" w:hAnsi="宋体" w:cs="宋体" w:hint="eastAsia"/>
                <w:color w:val="000000"/>
                <w:kern w:val="0"/>
                <w:sz w:val="24"/>
                <w:szCs w:val="24"/>
              </w:rPr>
              <w:br/>
              <w:t xml:space="preserve">　　三、应纳税所得额的计算</w:t>
            </w:r>
            <w:r w:rsidRPr="00017B71">
              <w:rPr>
                <w:rFonts w:ascii="宋体" w:eastAsia="宋体" w:hAnsi="宋体" w:cs="宋体" w:hint="eastAsia"/>
                <w:color w:val="000000"/>
                <w:kern w:val="0"/>
                <w:sz w:val="24"/>
                <w:szCs w:val="24"/>
              </w:rPr>
              <w:br/>
              <w:t xml:space="preserve">　　（一）个人转让第一条规定的限售股，限售股所对应的公司在证券机构技术和制度准备完成前上市的，应纳税所得额的计算按照财税[2009]167号文件第五条第（一）项规定执行；在证券机构技术和制度准备完成后上市的，应纳税所得额的计算按照财税[2009]167号文件第五条第（二）项规定执行。</w:t>
            </w:r>
            <w:r w:rsidRPr="00017B71">
              <w:rPr>
                <w:rFonts w:ascii="宋体" w:eastAsia="宋体" w:hAnsi="宋体" w:cs="宋体" w:hint="eastAsia"/>
                <w:color w:val="000000"/>
                <w:kern w:val="0"/>
                <w:sz w:val="24"/>
                <w:szCs w:val="24"/>
              </w:rPr>
              <w:br/>
              <w:t xml:space="preserve">　　（二）个人发生第二条第（一）、（二）、（三）、（四）项情形、由证券机构扣缴税款的，扣缴税款的计算按照财税[2009]167号文件规定执</w:t>
            </w:r>
            <w:r w:rsidRPr="00017B71">
              <w:rPr>
                <w:rFonts w:ascii="宋体" w:eastAsia="宋体" w:hAnsi="宋体" w:cs="宋体" w:hint="eastAsia"/>
                <w:color w:val="000000"/>
                <w:kern w:val="0"/>
                <w:sz w:val="24"/>
                <w:szCs w:val="24"/>
              </w:rPr>
              <w:lastRenderedPageBreak/>
              <w:t>行。纳税人申报清算时，实际转让收入按照下列原则计算：</w:t>
            </w:r>
            <w:r w:rsidRPr="00017B71">
              <w:rPr>
                <w:rFonts w:ascii="宋体" w:eastAsia="宋体" w:hAnsi="宋体" w:cs="宋体" w:hint="eastAsia"/>
                <w:color w:val="000000"/>
                <w:kern w:val="0"/>
                <w:sz w:val="24"/>
                <w:szCs w:val="24"/>
              </w:rPr>
              <w:br/>
              <w:t xml:space="preserve">　　第二条第（一）项的转让收入以转让当日该股份实际转让价格计算，证券公司在扣缴税款时，佣金支出统一按照证券主管部门规定的行业最高佣金费率计算；第二条第（二）项的转让收入，通过认购ETF份额方式转让限售股的，以股份过户日的前一交易日该股份收盘价计算，通过申购ETF份额方式转让限售股的，以申购日的前一交易日该股份收盘价计算；第二条第（三）项的转让收入以要约收购的价格计算；第二条第（四）项的转让收入以实际行权价格计算。</w:t>
            </w:r>
            <w:r w:rsidRPr="00017B71">
              <w:rPr>
                <w:rFonts w:ascii="宋体" w:eastAsia="宋体" w:hAnsi="宋体" w:cs="宋体" w:hint="eastAsia"/>
                <w:color w:val="000000"/>
                <w:kern w:val="0"/>
                <w:sz w:val="24"/>
                <w:szCs w:val="24"/>
              </w:rPr>
              <w:br/>
              <w:t xml:space="preserve">　　（三）个人发生第二条第（五）、（六）、（七）、（八）项情形、需向主管税务机关申报纳税的，转让收入按照下列原则计算：</w:t>
            </w:r>
            <w:r w:rsidRPr="00017B71">
              <w:rPr>
                <w:rFonts w:ascii="宋体" w:eastAsia="宋体" w:hAnsi="宋体" w:cs="宋体" w:hint="eastAsia"/>
                <w:color w:val="000000"/>
                <w:kern w:val="0"/>
                <w:sz w:val="24"/>
                <w:szCs w:val="24"/>
              </w:rPr>
              <w:br/>
              <w:t xml:space="preserve">　　第二条第（五）项的转让收入按照实际转让收入计算，转让价格明显偏低且无正当理由的，主管税务机关可以依据协议签订日的前一交易日该股收盘价或其它合理方式核定其转让收入；第二条第（六）项的转让收入以司法执行日的前一交易日该股收盘价计算；第二条第（七）、（八）项的转让收入以转让方取得该股时支付的成本计算。</w:t>
            </w:r>
            <w:r w:rsidRPr="00017B71">
              <w:rPr>
                <w:rFonts w:ascii="宋体" w:eastAsia="宋体" w:hAnsi="宋体" w:cs="宋体" w:hint="eastAsia"/>
                <w:color w:val="000000"/>
                <w:kern w:val="0"/>
                <w:sz w:val="24"/>
                <w:szCs w:val="24"/>
              </w:rPr>
              <w:br/>
              <w:t xml:space="preserve">　　（四）个人转让因协议受让、司法扣划等情形取得未解禁限售股的，成本按照主管税务机关认可的协议受让价格、司法扣划价格核定，无法提供相关资料的，按照财税[2009]167号文件第五条第（一）项规定执行；个人转让因依法继承或家庭财产依法分割取得的限售股的，按财税[2009]167号文件规定缴纳个人所得税，成本按照该限售股前一持有人取得该股时实际成本及税费计算。</w:t>
            </w:r>
            <w:r w:rsidRPr="00017B71">
              <w:rPr>
                <w:rFonts w:ascii="宋体" w:eastAsia="宋体" w:hAnsi="宋体" w:cs="宋体" w:hint="eastAsia"/>
                <w:color w:val="000000"/>
                <w:kern w:val="0"/>
                <w:sz w:val="24"/>
                <w:szCs w:val="24"/>
              </w:rPr>
              <w:br/>
              <w:t xml:space="preserve">　　（五）在证券机构技术和制度准备完成后形成的限售股，自股票上市首日至解禁日期间发生送、转、缩股的，证券登记结算公司应依据送、转、缩股比例对限售股成本原值进行调整；而对于其他权益分派的情形（如现金分红、配股等），不对限售股的成本原值进行调整。</w:t>
            </w:r>
            <w:r w:rsidRPr="00017B71">
              <w:rPr>
                <w:rFonts w:ascii="宋体" w:eastAsia="宋体" w:hAnsi="宋体" w:cs="宋体" w:hint="eastAsia"/>
                <w:color w:val="000000"/>
                <w:kern w:val="0"/>
                <w:sz w:val="24"/>
                <w:szCs w:val="24"/>
              </w:rPr>
              <w:br/>
            </w:r>
            <w:r w:rsidRPr="00017B71">
              <w:rPr>
                <w:rFonts w:ascii="宋体" w:eastAsia="宋体" w:hAnsi="宋体" w:cs="宋体" w:hint="eastAsia"/>
                <w:color w:val="000000"/>
                <w:kern w:val="0"/>
                <w:sz w:val="24"/>
                <w:szCs w:val="24"/>
              </w:rPr>
              <w:lastRenderedPageBreak/>
              <w:t xml:space="preserve">　　（六）因个人持有限售股中存在部分限售股成本原值不明确，导致无法准确计算全部限售股成本原值的，证券登记结算公司一律以实际转让收入的15％作为限售股成本原值和合理税费。</w:t>
            </w:r>
            <w:r w:rsidRPr="00017B71">
              <w:rPr>
                <w:rFonts w:ascii="宋体" w:eastAsia="宋体" w:hAnsi="宋体" w:cs="宋体" w:hint="eastAsia"/>
                <w:color w:val="000000"/>
                <w:kern w:val="0"/>
                <w:sz w:val="24"/>
                <w:szCs w:val="24"/>
              </w:rPr>
              <w:br/>
              <w:t xml:space="preserve">　　四、征收管理</w:t>
            </w:r>
            <w:r w:rsidRPr="00017B71">
              <w:rPr>
                <w:rFonts w:ascii="宋体" w:eastAsia="宋体" w:hAnsi="宋体" w:cs="宋体" w:hint="eastAsia"/>
                <w:color w:val="000000"/>
                <w:kern w:val="0"/>
                <w:sz w:val="24"/>
                <w:szCs w:val="24"/>
              </w:rPr>
              <w:br/>
              <w:t xml:space="preserve">　　（一）纳税人发生第二条第（一）、（二）、（三）、（四）项情形的，对其应纳个人所得税按照财税[2009]167号文件规定，采取证券机构预扣预缴、纳税人自行申报清算和证券机构直接扣缴相结合的方式征收。</w:t>
            </w:r>
            <w:r w:rsidRPr="00017B71">
              <w:rPr>
                <w:rFonts w:ascii="宋体" w:eastAsia="宋体" w:hAnsi="宋体" w:cs="宋体" w:hint="eastAsia"/>
                <w:color w:val="000000"/>
                <w:kern w:val="0"/>
                <w:sz w:val="24"/>
                <w:szCs w:val="24"/>
              </w:rPr>
              <w:br/>
              <w:t xml:space="preserve">　　本通知所称的证券机构，包括证券登记结算公司、证券公司及其分支机构。其中，证券登记结算公司以证券账户为单位计算个人应纳税额，证券公司及其分支机构依据证券登记结算公司提供的数据负责对个人应缴纳的个人所得税以证券账户为单位进行预扣预缴。纳税人对证券登记结算公司计算的应纳税额有异议的，可持相关完整、真实凭证，向主管税务机关提出清算申报并办理清算事宜。主管税务机构审核确认后，按照重新计算的应纳税额，办理退（补）税手续。</w:t>
            </w:r>
            <w:r w:rsidRPr="00017B71">
              <w:rPr>
                <w:rFonts w:ascii="宋体" w:eastAsia="宋体" w:hAnsi="宋体" w:cs="宋体" w:hint="eastAsia"/>
                <w:color w:val="000000"/>
                <w:kern w:val="0"/>
                <w:sz w:val="24"/>
                <w:szCs w:val="24"/>
              </w:rPr>
              <w:br/>
              <w:t xml:space="preserve">　　（二）纳税人发生第二条第（五）、（六）、（七）、（八）项情形的，采取纳税人自行申报纳税的方式。纳税人转让限售股后，应在次月七日内到主管税务机关填报《限售股转让所得个人所得税清算申报表》，自行申报纳税。主管税务机关审核确认后应开具完税凭证，纳税人应持完税凭证、《限售股转让所得个人所得税清算申报表》复印件到证券登记结算公司办理限售股过户手续。纳税人未提供完税凭证和《限售股转让所得个人所得税清算申报表》复印件的，证券登记结算公司不予办理过户。</w:t>
            </w:r>
            <w:r w:rsidRPr="00017B71">
              <w:rPr>
                <w:rFonts w:ascii="宋体" w:eastAsia="宋体" w:hAnsi="宋体" w:cs="宋体" w:hint="eastAsia"/>
                <w:color w:val="000000"/>
                <w:kern w:val="0"/>
                <w:sz w:val="24"/>
                <w:szCs w:val="24"/>
              </w:rPr>
              <w:br/>
              <w:t xml:space="preserve">　　纳税人自行申报的，应一次办结相关涉税事宜，不再执行财税[2009]167号文件中有关纳税人自行申报清算的规定。对第二条第（六）项情形，如国家有权机关要求强制执行的，证券登记结算公司在履行告知义务后予以协助执行，并报告相关主管税务机关。</w:t>
            </w:r>
            <w:r w:rsidRPr="00017B71">
              <w:rPr>
                <w:rFonts w:ascii="宋体" w:eastAsia="宋体" w:hAnsi="宋体" w:cs="宋体" w:hint="eastAsia"/>
                <w:color w:val="000000"/>
                <w:kern w:val="0"/>
                <w:sz w:val="24"/>
                <w:szCs w:val="24"/>
              </w:rPr>
              <w:br/>
            </w:r>
            <w:r w:rsidRPr="00017B71">
              <w:rPr>
                <w:rFonts w:ascii="宋体" w:eastAsia="宋体" w:hAnsi="宋体" w:cs="宋体" w:hint="eastAsia"/>
                <w:color w:val="000000"/>
                <w:kern w:val="0"/>
                <w:sz w:val="24"/>
                <w:szCs w:val="24"/>
              </w:rPr>
              <w:lastRenderedPageBreak/>
              <w:t xml:space="preserve">　　五、个人持有在证券机构技术和制度准备完成后形成的拟上市公司限售股，在公司上市前，个人应委托拟上市公司向证券登记结算公司提供有关限售股成本原值详细资料，以及会计师事务所或税务师事务所对该资料出具的鉴证报告。逾期未提供的，证券登记结算公司以实际转让收入的15%核定限售股原值和合理税费。</w:t>
            </w:r>
            <w:r w:rsidRPr="00017B71">
              <w:rPr>
                <w:rFonts w:ascii="宋体" w:eastAsia="宋体" w:hAnsi="宋体" w:cs="宋体" w:hint="eastAsia"/>
                <w:color w:val="000000"/>
                <w:kern w:val="0"/>
                <w:sz w:val="24"/>
                <w:szCs w:val="24"/>
              </w:rPr>
              <w:br/>
              <w:t xml:space="preserve">　　六、个人转让限售股所得需由证券机构预扣预缴税款的，应在客户资金账户留足资金供证券机构扣缴税款，依法履行纳税义务。证券机构应采取积极、有效措施依法履行扣缴税款义务，对纳税人资金账户暂无资金或资金不足的，证券机构应当及时通知个人投资者补足资金，并扣缴税款。个人投资者未补足资金的，证券机构应当及时报告相关主管税务机关，并依法提供纳税人相关资料。</w:t>
            </w:r>
          </w:p>
          <w:p w14:paraId="3905A8E6" w14:textId="77777777" w:rsidR="00017B71" w:rsidRPr="00017B71" w:rsidRDefault="00017B71" w:rsidP="00017B71">
            <w:pPr>
              <w:widowControl/>
              <w:spacing w:line="540" w:lineRule="atLeast"/>
              <w:jc w:val="right"/>
              <w:rPr>
                <w:rFonts w:ascii="宋体" w:eastAsia="宋体" w:hAnsi="宋体" w:cs="宋体" w:hint="eastAsia"/>
                <w:color w:val="000000"/>
                <w:kern w:val="0"/>
                <w:sz w:val="24"/>
                <w:szCs w:val="24"/>
              </w:rPr>
            </w:pPr>
            <w:r w:rsidRPr="00017B71">
              <w:rPr>
                <w:rFonts w:ascii="宋体" w:eastAsia="宋体" w:hAnsi="宋体" w:cs="宋体" w:hint="eastAsia"/>
                <w:color w:val="000000"/>
                <w:kern w:val="0"/>
                <w:sz w:val="24"/>
                <w:szCs w:val="24"/>
              </w:rPr>
              <w:t xml:space="preserve">　　 </w:t>
            </w:r>
            <w:r w:rsidRPr="00017B71">
              <w:rPr>
                <w:rFonts w:ascii="宋体" w:eastAsia="宋体" w:hAnsi="宋体" w:cs="宋体" w:hint="eastAsia"/>
                <w:color w:val="000000"/>
                <w:kern w:val="0"/>
                <w:sz w:val="24"/>
                <w:szCs w:val="24"/>
              </w:rPr>
              <w:br/>
              <w:t xml:space="preserve">　　</w:t>
            </w:r>
            <w:r w:rsidRPr="00017B71">
              <w:rPr>
                <w:rFonts w:ascii="宋体" w:eastAsia="宋体" w:hAnsi="宋体" w:cs="宋体" w:hint="eastAsia"/>
                <w:color w:val="000000"/>
                <w:kern w:val="0"/>
                <w:sz w:val="24"/>
                <w:szCs w:val="24"/>
              </w:rPr>
              <w:br/>
              <w:t>财政部 国家税务总局 证监会</w:t>
            </w:r>
            <w:r w:rsidRPr="00017B71">
              <w:rPr>
                <w:rFonts w:ascii="宋体" w:eastAsia="宋体" w:hAnsi="宋体" w:cs="宋体" w:hint="eastAsia"/>
                <w:color w:val="000000"/>
                <w:kern w:val="0"/>
                <w:sz w:val="24"/>
                <w:szCs w:val="24"/>
              </w:rPr>
              <w:br/>
              <w:t>二○一○年十一月十日</w:t>
            </w:r>
          </w:p>
        </w:tc>
      </w:tr>
    </w:tbl>
    <w:p w14:paraId="51D4E5CE" w14:textId="77777777" w:rsidR="000C7289" w:rsidRPr="00017B71" w:rsidRDefault="000C7289">
      <w:bookmarkStart w:id="0" w:name="_GoBack"/>
      <w:bookmarkEnd w:id="0"/>
    </w:p>
    <w:sectPr w:rsidR="000C7289" w:rsidRPr="00017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25838" w14:textId="77777777" w:rsidR="005F37D7" w:rsidRDefault="005F37D7" w:rsidP="00017B71">
      <w:r>
        <w:separator/>
      </w:r>
    </w:p>
  </w:endnote>
  <w:endnote w:type="continuationSeparator" w:id="0">
    <w:p w14:paraId="20A4FD56" w14:textId="77777777" w:rsidR="005F37D7" w:rsidRDefault="005F37D7" w:rsidP="0001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8B5B1" w14:textId="77777777" w:rsidR="005F37D7" w:rsidRDefault="005F37D7" w:rsidP="00017B71">
      <w:r>
        <w:separator/>
      </w:r>
    </w:p>
  </w:footnote>
  <w:footnote w:type="continuationSeparator" w:id="0">
    <w:p w14:paraId="79E2669D" w14:textId="77777777" w:rsidR="005F37D7" w:rsidRDefault="005F37D7" w:rsidP="00017B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17"/>
    <w:rsid w:val="00010054"/>
    <w:rsid w:val="00017B71"/>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37D7"/>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04317"/>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8106FE-DF38-4B07-AC13-A43E0B75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7B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7B71"/>
    <w:rPr>
      <w:sz w:val="18"/>
      <w:szCs w:val="18"/>
    </w:rPr>
  </w:style>
  <w:style w:type="paragraph" w:styleId="a5">
    <w:name w:val="footer"/>
    <w:basedOn w:val="a"/>
    <w:link w:val="a6"/>
    <w:uiPriority w:val="99"/>
    <w:unhideWhenUsed/>
    <w:rsid w:val="00017B71"/>
    <w:pPr>
      <w:tabs>
        <w:tab w:val="center" w:pos="4153"/>
        <w:tab w:val="right" w:pos="8306"/>
      </w:tabs>
      <w:snapToGrid w:val="0"/>
      <w:jc w:val="left"/>
    </w:pPr>
    <w:rPr>
      <w:sz w:val="18"/>
      <w:szCs w:val="18"/>
    </w:rPr>
  </w:style>
  <w:style w:type="character" w:customStyle="1" w:styleId="a6">
    <w:name w:val="页脚 字符"/>
    <w:basedOn w:val="a0"/>
    <w:link w:val="a5"/>
    <w:uiPriority w:val="99"/>
    <w:rsid w:val="00017B71"/>
    <w:rPr>
      <w:sz w:val="18"/>
      <w:szCs w:val="18"/>
    </w:rPr>
  </w:style>
  <w:style w:type="character" w:styleId="a7">
    <w:name w:val="Hyperlink"/>
    <w:basedOn w:val="a0"/>
    <w:uiPriority w:val="99"/>
    <w:semiHidden/>
    <w:unhideWhenUsed/>
    <w:rsid w:val="00017B71"/>
    <w:rPr>
      <w:strike w:val="0"/>
      <w:dstrike w:val="0"/>
      <w:color w:val="222222"/>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996379">
      <w:bodyDiv w:val="1"/>
      <w:marLeft w:val="0"/>
      <w:marRight w:val="0"/>
      <w:marTop w:val="0"/>
      <w:marBottom w:val="0"/>
      <w:divBdr>
        <w:top w:val="none" w:sz="0" w:space="0" w:color="auto"/>
        <w:left w:val="none" w:sz="0" w:space="0" w:color="auto"/>
        <w:bottom w:val="none" w:sz="0" w:space="0" w:color="auto"/>
        <w:right w:val="none" w:sz="0" w:space="0" w:color="auto"/>
      </w:divBdr>
      <w:divsChild>
        <w:div w:id="294678249">
          <w:marLeft w:val="0"/>
          <w:marRight w:val="0"/>
          <w:marTop w:val="0"/>
          <w:marBottom w:val="0"/>
          <w:divBdr>
            <w:top w:val="none" w:sz="0" w:space="0" w:color="auto"/>
            <w:left w:val="none" w:sz="0" w:space="0" w:color="auto"/>
            <w:bottom w:val="none" w:sz="0" w:space="0" w:color="auto"/>
            <w:right w:val="none" w:sz="0" w:space="0" w:color="auto"/>
          </w:divBdr>
        </w:div>
        <w:div w:id="148980774">
          <w:marLeft w:val="0"/>
          <w:marRight w:val="0"/>
          <w:marTop w:val="0"/>
          <w:marBottom w:val="0"/>
          <w:divBdr>
            <w:top w:val="none" w:sz="0" w:space="0" w:color="auto"/>
            <w:left w:val="none" w:sz="0" w:space="0" w:color="auto"/>
            <w:bottom w:val="none" w:sz="0" w:space="0" w:color="auto"/>
            <w:right w:val="none" w:sz="0" w:space="0" w:color="auto"/>
          </w:divBdr>
        </w:div>
        <w:div w:id="1687248563">
          <w:marLeft w:val="0"/>
          <w:marRight w:val="0"/>
          <w:marTop w:val="0"/>
          <w:marBottom w:val="0"/>
          <w:divBdr>
            <w:top w:val="none" w:sz="0" w:space="0" w:color="auto"/>
            <w:left w:val="none" w:sz="0" w:space="0" w:color="auto"/>
            <w:bottom w:val="none" w:sz="0" w:space="0" w:color="auto"/>
            <w:right w:val="none" w:sz="0" w:space="0" w:color="auto"/>
          </w:divBdr>
        </w:div>
        <w:div w:id="180592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d.chinatax.gov.cn/guoshui/action/GetArticleView1.do?id=111165&amp;flag=1" TargetMode="External"/><Relationship Id="rId3" Type="http://schemas.openxmlformats.org/officeDocument/2006/relationships/webSettings" Target="webSettings.xml"/><Relationship Id="rId7" Type="http://schemas.openxmlformats.org/officeDocument/2006/relationships/hyperlink" Target="http://hd.chinatax.gov.cn/guoshui/action/GetArticleView1.do?id=111165&amp;flag=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d.chinatax.gov.cn/guoshui/action/GetArticleView1.do?id=111165&amp;flag=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Test</dc:creator>
  <cp:keywords/>
  <dc:description/>
  <cp:lastModifiedBy>Test Test</cp:lastModifiedBy>
  <cp:revision>2</cp:revision>
  <dcterms:created xsi:type="dcterms:W3CDTF">2019-03-03T15:52:00Z</dcterms:created>
  <dcterms:modified xsi:type="dcterms:W3CDTF">2019-03-03T15:52:00Z</dcterms:modified>
</cp:coreProperties>
</file>